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2023464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C14AD16" w:rsidR="00E13C27" w:rsidRPr="00CF1AA2" w:rsidRDefault="008F6665" w:rsidP="0084778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יעקב מרגי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פ/4824/20</w:t>
      </w:r>
      <w:bookmarkEnd w:id="7"/>
    </w:p>
    <w:p w14:paraId="7F6961AC" w14:textId="77777777" w:rsidR="00E13C27" w:rsidRDefault="00E13C27" w:rsidP="005451E0">
      <w:pPr>
        <w:pStyle w:val="David"/>
        <w:spacing w:before="0" w:line="240" w:lineRule="auto"/>
        <w:ind w:left="3544"/>
        <w:rPr>
          <w:rtl/>
        </w:rPr>
      </w:pPr>
    </w:p>
    <w:p w14:paraId="7F6961AD" w14:textId="26BA6281" w:rsidR="00E13C27" w:rsidRPr="00F67051" w:rsidRDefault="00A443CF" w:rsidP="00847782">
      <w:pPr>
        <w:pStyle w:val="HeadHatzaotHok"/>
        <w:rPr>
          <w:rtl/>
        </w:rPr>
      </w:pPr>
      <w:bookmarkStart w:id="8" w:name="LGS_Subject"/>
      <w:r>
        <w:rPr>
          <w:rFonts w:hint="cs"/>
          <w:rtl/>
        </w:rPr>
        <w:t xml:space="preserve">הצעת חוק המועצה להשכלה גבוהה (תיקון </w:t>
      </w:r>
      <w:r w:rsidR="00847782">
        <w:rPr>
          <w:rFonts w:hint="eastAsia"/>
          <w:rtl/>
        </w:rPr>
        <w:t>–</w:t>
      </w:r>
      <w:r>
        <w:rPr>
          <w:rFonts w:hint="cs"/>
          <w:rtl/>
        </w:rPr>
        <w:t xml:space="preserve"> מוסדות ישראליים באזור), </w:t>
      </w:r>
      <w:proofErr w:type="spellStart"/>
      <w:r>
        <w:rPr>
          <w:rFonts w:hint="cs"/>
          <w:rtl/>
        </w:rPr>
        <w:t>התשע"ח</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2"/>
        <w:gridCol w:w="624"/>
        <w:gridCol w:w="4649"/>
      </w:tblGrid>
      <w:tr w:rsidR="005306D6" w14:paraId="035EEF3D" w14:textId="77777777" w:rsidTr="005451E0">
        <w:trPr>
          <w:cantSplit/>
        </w:trPr>
        <w:tc>
          <w:tcPr>
            <w:tcW w:w="1869" w:type="dxa"/>
          </w:tcPr>
          <w:p w14:paraId="3863FF98" w14:textId="4C2FF02C" w:rsidR="005306D6" w:rsidRDefault="005306D6" w:rsidP="002C3041">
            <w:pPr>
              <w:pStyle w:val="TableSideHeading"/>
              <w:keepLines w:val="0"/>
            </w:pPr>
            <w:r>
              <w:rPr>
                <w:rFonts w:hint="cs"/>
                <w:rtl/>
              </w:rPr>
              <w:t>החלפת סעיף 28א</w:t>
            </w:r>
          </w:p>
        </w:tc>
        <w:tc>
          <w:tcPr>
            <w:tcW w:w="624" w:type="dxa"/>
          </w:tcPr>
          <w:p w14:paraId="2A192A9A" w14:textId="1B236EF9" w:rsidR="005306D6" w:rsidRDefault="005306D6" w:rsidP="002C3041">
            <w:pPr>
              <w:pStyle w:val="TableText"/>
              <w:keepLines w:val="0"/>
            </w:pPr>
            <w:r>
              <w:rPr>
                <w:rFonts w:hint="cs"/>
                <w:rtl/>
              </w:rPr>
              <w:t>1.</w:t>
            </w:r>
          </w:p>
        </w:tc>
        <w:tc>
          <w:tcPr>
            <w:tcW w:w="7145" w:type="dxa"/>
            <w:gridSpan w:val="3"/>
          </w:tcPr>
          <w:p w14:paraId="1AE94DEB" w14:textId="48460733" w:rsidR="005306D6" w:rsidRPr="005451E0" w:rsidRDefault="005306D6" w:rsidP="005451E0">
            <w:pPr>
              <w:pStyle w:val="TableBlock"/>
            </w:pPr>
            <w:r w:rsidRPr="00B36131">
              <w:rPr>
                <w:rtl/>
              </w:rPr>
              <w:t xml:space="preserve">בחוק המועצה להשכלה גבוהה, </w:t>
            </w:r>
            <w:proofErr w:type="spellStart"/>
            <w:r w:rsidRPr="00B36131">
              <w:rPr>
                <w:rtl/>
              </w:rPr>
              <w:t>התשי"ח</w:t>
            </w:r>
            <w:proofErr w:type="spellEnd"/>
            <w:r w:rsidRPr="00B36131">
              <w:rPr>
                <w:rtl/>
              </w:rPr>
              <w:t>–1958</w:t>
            </w:r>
            <w:r w:rsidR="0051628D">
              <w:rPr>
                <w:rStyle w:val="a6"/>
                <w:rtl/>
              </w:rPr>
              <w:footnoteReference w:id="2"/>
            </w:r>
            <w:r w:rsidRPr="00B36131">
              <w:rPr>
                <w:rtl/>
              </w:rPr>
              <w:t xml:space="preserve"> (להלן – החוק</w:t>
            </w:r>
            <w:r w:rsidR="0051628D">
              <w:rPr>
                <w:rFonts w:hint="cs"/>
                <w:rtl/>
              </w:rPr>
              <w:t xml:space="preserve"> העיקרי</w:t>
            </w:r>
            <w:r w:rsidRPr="00B36131">
              <w:rPr>
                <w:rtl/>
              </w:rPr>
              <w:t>), במקום סעיף 28א יבוא:</w:t>
            </w:r>
          </w:p>
        </w:tc>
      </w:tr>
      <w:tr w:rsidR="00B36131" w14:paraId="7507893A" w14:textId="77777777" w:rsidTr="005451E0">
        <w:trPr>
          <w:cantSplit/>
          <w:trHeight w:val="60"/>
        </w:trPr>
        <w:tc>
          <w:tcPr>
            <w:tcW w:w="1869" w:type="dxa"/>
          </w:tcPr>
          <w:p w14:paraId="2D2945E5" w14:textId="2552DB3B" w:rsidR="00B36131" w:rsidRDefault="00B36131">
            <w:pPr>
              <w:pStyle w:val="TableSideHeading"/>
              <w:keepLines w:val="0"/>
            </w:pPr>
          </w:p>
        </w:tc>
        <w:tc>
          <w:tcPr>
            <w:tcW w:w="624" w:type="dxa"/>
          </w:tcPr>
          <w:p w14:paraId="236B3C08" w14:textId="77777777" w:rsidR="00B36131" w:rsidRDefault="00B36131">
            <w:pPr>
              <w:pStyle w:val="TableText"/>
              <w:keepLines w:val="0"/>
            </w:pPr>
          </w:p>
        </w:tc>
        <w:tc>
          <w:tcPr>
            <w:tcW w:w="1872" w:type="dxa"/>
          </w:tcPr>
          <w:p w14:paraId="63EAD094" w14:textId="44E49C6E" w:rsidR="00B36131" w:rsidRDefault="0051628D">
            <w:pPr>
              <w:pStyle w:val="TableInnerSideHeading"/>
            </w:pPr>
            <w:r>
              <w:rPr>
                <w:rFonts w:hint="cs"/>
                <w:rtl/>
              </w:rPr>
              <w:t>"</w:t>
            </w:r>
            <w:r w:rsidR="00B36131" w:rsidRPr="005306D6">
              <w:rPr>
                <w:rtl/>
              </w:rPr>
              <w:t>תחולה באזור</w:t>
            </w:r>
          </w:p>
        </w:tc>
        <w:tc>
          <w:tcPr>
            <w:tcW w:w="624" w:type="dxa"/>
          </w:tcPr>
          <w:p w14:paraId="42509728" w14:textId="314F49C7" w:rsidR="00B36131" w:rsidRDefault="00B36131">
            <w:pPr>
              <w:pStyle w:val="TableText"/>
            </w:pPr>
            <w:r>
              <w:rPr>
                <w:rFonts w:hint="cs"/>
                <w:rtl/>
              </w:rPr>
              <w:t>28א</w:t>
            </w:r>
            <w:r w:rsidR="00363DE5">
              <w:rPr>
                <w:rFonts w:hint="cs"/>
                <w:rtl/>
              </w:rPr>
              <w:t>.</w:t>
            </w:r>
          </w:p>
        </w:tc>
        <w:tc>
          <w:tcPr>
            <w:tcW w:w="4649" w:type="dxa"/>
          </w:tcPr>
          <w:p w14:paraId="28C3A7C2" w14:textId="605FCA7A" w:rsidR="00B36131" w:rsidRDefault="0033759E" w:rsidP="005451E0">
            <w:pPr>
              <w:pStyle w:val="TableBlock"/>
            </w:pPr>
            <w:r>
              <w:rPr>
                <w:rFonts w:hint="cs"/>
                <w:rtl/>
              </w:rPr>
              <w:t>כל מי שהוקנו לו סמכויות לפי חוק זה, מוסמך להפעיל את סמכויותיו גם באזור</w:t>
            </w:r>
            <w:r w:rsidR="00AA1FF0">
              <w:rPr>
                <w:rFonts w:hint="cs"/>
                <w:rtl/>
              </w:rPr>
              <w:t>,</w:t>
            </w:r>
            <w:r>
              <w:rPr>
                <w:rFonts w:hint="cs"/>
                <w:rtl/>
              </w:rPr>
              <w:t xml:space="preserve"> </w:t>
            </w:r>
            <w:r w:rsidR="00AA1FF0">
              <w:rPr>
                <w:rFonts w:hint="cs"/>
                <w:rtl/>
              </w:rPr>
              <w:t>ו</w:t>
            </w:r>
            <w:r>
              <w:rPr>
                <w:rFonts w:hint="cs"/>
                <w:rtl/>
              </w:rPr>
              <w:t xml:space="preserve">הזכויות והחובות </w:t>
            </w:r>
            <w:r w:rsidR="00AA1FF0">
              <w:rPr>
                <w:rFonts w:hint="cs"/>
                <w:rtl/>
              </w:rPr>
              <w:t xml:space="preserve">לפי </w:t>
            </w:r>
            <w:r>
              <w:rPr>
                <w:rFonts w:hint="cs"/>
                <w:rtl/>
              </w:rPr>
              <w:t xml:space="preserve">חוק זה יחולו גם באזור; </w:t>
            </w:r>
            <w:r w:rsidR="00B36131">
              <w:rPr>
                <w:rFonts w:hint="cs"/>
                <w:rtl/>
              </w:rPr>
              <w:t xml:space="preserve">לעניין זה, "אזור" </w:t>
            </w:r>
            <w:r w:rsidR="00B36131">
              <w:rPr>
                <w:rtl/>
              </w:rPr>
              <w:t>–</w:t>
            </w:r>
            <w:r w:rsidR="00B36131">
              <w:rPr>
                <w:rFonts w:hint="cs"/>
                <w:rtl/>
              </w:rPr>
              <w:t xml:space="preserve"> </w:t>
            </w:r>
            <w:r w:rsidR="00B36131" w:rsidRPr="005306D6">
              <w:rPr>
                <w:rtl/>
              </w:rPr>
              <w:t>כ</w:t>
            </w:r>
            <w:r w:rsidR="00B36131">
              <w:rPr>
                <w:rtl/>
              </w:rPr>
              <w:t xml:space="preserve">הגדרתו </w:t>
            </w:r>
            <w:r w:rsidR="00B36131">
              <w:rPr>
                <w:rFonts w:hint="cs"/>
                <w:rtl/>
              </w:rPr>
              <w:t>ב</w:t>
            </w:r>
            <w:r w:rsidR="00B36131" w:rsidRPr="005306D6">
              <w:rPr>
                <w:rtl/>
              </w:rPr>
              <w:t>חוק ל</w:t>
            </w:r>
            <w:r w:rsidR="00184B5C">
              <w:rPr>
                <w:rFonts w:hint="cs"/>
                <w:rtl/>
              </w:rPr>
              <w:t>תיקון ול</w:t>
            </w:r>
            <w:r w:rsidR="00B36131" w:rsidRPr="005306D6">
              <w:rPr>
                <w:rtl/>
              </w:rPr>
              <w:t>הארכת תקפן של תקנות שעת חירום (יהודה והשומרון – שיפוט בעב</w:t>
            </w:r>
            <w:r w:rsidR="0051628D">
              <w:rPr>
                <w:rtl/>
              </w:rPr>
              <w:t xml:space="preserve">ירות ועזרה משפטית), </w:t>
            </w:r>
            <w:proofErr w:type="spellStart"/>
            <w:r w:rsidR="00184B5C">
              <w:rPr>
                <w:rFonts w:hint="cs"/>
                <w:rtl/>
              </w:rPr>
              <w:t>התשס"ז</w:t>
            </w:r>
            <w:proofErr w:type="spellEnd"/>
            <w:r w:rsidR="0051628D">
              <w:rPr>
                <w:rtl/>
              </w:rPr>
              <w:t>–</w:t>
            </w:r>
            <w:r w:rsidR="00184B5C">
              <w:rPr>
                <w:rFonts w:hint="cs"/>
                <w:rtl/>
              </w:rPr>
              <w:t>2007</w:t>
            </w:r>
            <w:r w:rsidR="00184B5C">
              <w:rPr>
                <w:rStyle w:val="a6"/>
                <w:rtl/>
              </w:rPr>
              <w:footnoteReference w:id="3"/>
            </w:r>
            <w:r w:rsidR="00B36131" w:rsidRPr="005306D6">
              <w:rPr>
                <w:rtl/>
              </w:rPr>
              <w:t>.</w:t>
            </w:r>
            <w:r w:rsidR="0051628D">
              <w:rPr>
                <w:rFonts w:hint="cs"/>
                <w:rtl/>
              </w:rPr>
              <w:t>"</w:t>
            </w:r>
          </w:p>
        </w:tc>
      </w:tr>
      <w:tr w:rsidR="005306D6" w14:paraId="282FEF50" w14:textId="77777777" w:rsidTr="005451E0">
        <w:trPr>
          <w:cantSplit/>
        </w:trPr>
        <w:tc>
          <w:tcPr>
            <w:tcW w:w="1869" w:type="dxa"/>
          </w:tcPr>
          <w:p w14:paraId="2E98386D" w14:textId="7B03CDA6" w:rsidR="005306D6" w:rsidRDefault="005306D6" w:rsidP="002C3041">
            <w:pPr>
              <w:pStyle w:val="TableSideHeading"/>
              <w:keepLines w:val="0"/>
              <w:rPr>
                <w:rtl/>
              </w:rPr>
            </w:pPr>
            <w:r>
              <w:rPr>
                <w:rFonts w:hint="cs"/>
                <w:rtl/>
              </w:rPr>
              <w:t>תחילה</w:t>
            </w:r>
          </w:p>
        </w:tc>
        <w:tc>
          <w:tcPr>
            <w:tcW w:w="624" w:type="dxa"/>
          </w:tcPr>
          <w:p w14:paraId="20B97528" w14:textId="3C123004" w:rsidR="005306D6" w:rsidRDefault="005306D6" w:rsidP="002C3041">
            <w:pPr>
              <w:pStyle w:val="TableText"/>
              <w:keepLines w:val="0"/>
            </w:pPr>
            <w:r>
              <w:rPr>
                <w:rFonts w:hint="cs"/>
                <w:rtl/>
              </w:rPr>
              <w:t>2.</w:t>
            </w:r>
          </w:p>
        </w:tc>
        <w:tc>
          <w:tcPr>
            <w:tcW w:w="7145" w:type="dxa"/>
            <w:gridSpan w:val="3"/>
          </w:tcPr>
          <w:p w14:paraId="21F0A67E" w14:textId="20C8D296" w:rsidR="005306D6" w:rsidRPr="005306D6" w:rsidRDefault="005306D6" w:rsidP="005451E0">
            <w:pPr>
              <w:pStyle w:val="TableBlock"/>
              <w:rPr>
                <w:rtl/>
              </w:rPr>
            </w:pPr>
            <w:r>
              <w:rPr>
                <w:rFonts w:hint="cs"/>
                <w:rtl/>
              </w:rPr>
              <w:t xml:space="preserve">תחילתו של חוק זה 30 ימים מיום פרסומו (להלן </w:t>
            </w:r>
            <w:r>
              <w:rPr>
                <w:rtl/>
              </w:rPr>
              <w:t>–</w:t>
            </w:r>
            <w:r>
              <w:rPr>
                <w:rFonts w:hint="cs"/>
                <w:rtl/>
              </w:rPr>
              <w:t xml:space="preserve"> יום התחילה).</w:t>
            </w:r>
          </w:p>
        </w:tc>
      </w:tr>
      <w:tr w:rsidR="005306D6" w14:paraId="29EB28A1" w14:textId="77777777" w:rsidTr="005451E0">
        <w:trPr>
          <w:cantSplit/>
        </w:trPr>
        <w:tc>
          <w:tcPr>
            <w:tcW w:w="1869" w:type="dxa"/>
          </w:tcPr>
          <w:p w14:paraId="36192D3F" w14:textId="088D70A5" w:rsidR="005306D6" w:rsidRDefault="005306D6" w:rsidP="002C3041">
            <w:pPr>
              <w:pStyle w:val="TableSideHeading"/>
              <w:keepLines w:val="0"/>
              <w:rPr>
                <w:rtl/>
              </w:rPr>
            </w:pPr>
            <w:r>
              <w:rPr>
                <w:rFonts w:hint="cs"/>
                <w:rtl/>
              </w:rPr>
              <w:t>הוראות מעבר</w:t>
            </w:r>
          </w:p>
        </w:tc>
        <w:tc>
          <w:tcPr>
            <w:tcW w:w="624" w:type="dxa"/>
          </w:tcPr>
          <w:p w14:paraId="7EE9A1B3" w14:textId="35272D4E" w:rsidR="005306D6" w:rsidRDefault="005306D6" w:rsidP="002C3041">
            <w:pPr>
              <w:pStyle w:val="TableText"/>
              <w:keepLines w:val="0"/>
            </w:pPr>
            <w:r>
              <w:rPr>
                <w:rFonts w:hint="cs"/>
                <w:rtl/>
              </w:rPr>
              <w:t>3.</w:t>
            </w:r>
          </w:p>
        </w:tc>
        <w:tc>
          <w:tcPr>
            <w:tcW w:w="7145" w:type="dxa"/>
            <w:gridSpan w:val="3"/>
          </w:tcPr>
          <w:p w14:paraId="217F40F1" w14:textId="75A6122D" w:rsidR="005306D6" w:rsidRDefault="0051628D" w:rsidP="005451E0">
            <w:pPr>
              <w:pStyle w:val="TableBlock"/>
              <w:rPr>
                <w:rtl/>
              </w:rPr>
            </w:pPr>
            <w:r>
              <w:rPr>
                <w:rFonts w:hint="cs"/>
                <w:rtl/>
              </w:rPr>
              <w:t>(</w:t>
            </w:r>
            <w:r w:rsidR="005306D6" w:rsidRPr="005306D6">
              <w:rPr>
                <w:rtl/>
              </w:rPr>
              <w:t>א</w:t>
            </w:r>
            <w:r w:rsidRPr="005306D6">
              <w:rPr>
                <w:rtl/>
              </w:rPr>
              <w:t>)</w:t>
            </w:r>
            <w:r>
              <w:rPr>
                <w:rtl/>
              </w:rPr>
              <w:tab/>
            </w:r>
            <w:r w:rsidR="005306D6" w:rsidRPr="005306D6">
              <w:rPr>
                <w:rtl/>
              </w:rPr>
              <w:t xml:space="preserve">מוסד שההכרה בו כמוסד להשכלה גבוהה אושרה על ידי מפקד באזור לפני תחילתו של חוק זה </w:t>
            </w:r>
            <w:r>
              <w:rPr>
                <w:rFonts w:hint="cs"/>
                <w:rtl/>
              </w:rPr>
              <w:t>יראו אותו</w:t>
            </w:r>
            <w:r w:rsidRPr="005306D6">
              <w:rPr>
                <w:rtl/>
              </w:rPr>
              <w:t xml:space="preserve"> </w:t>
            </w:r>
            <w:r w:rsidR="005306D6" w:rsidRPr="005306D6">
              <w:rPr>
                <w:rtl/>
              </w:rPr>
              <w:t>כמוסד להשכלה גבוהה שהוכר לפי סעיף 9 לחוק</w:t>
            </w:r>
            <w:r>
              <w:rPr>
                <w:rFonts w:hint="cs"/>
                <w:rtl/>
              </w:rPr>
              <w:t xml:space="preserve"> העיקרי</w:t>
            </w:r>
            <w:r w:rsidR="005306D6" w:rsidRPr="005306D6">
              <w:rPr>
                <w:rtl/>
              </w:rPr>
              <w:t>, ושההכרה בו כאמור אושרה, במועד אישור המפקד, על ידי הממשלה לפי סעיף 11 לחוק</w:t>
            </w:r>
            <w:r w:rsidR="00AA1FF0">
              <w:rPr>
                <w:rFonts w:hint="cs"/>
                <w:rtl/>
              </w:rPr>
              <w:t xml:space="preserve"> העיקרי</w:t>
            </w:r>
            <w:r w:rsidR="005306D6" w:rsidRPr="005306D6">
              <w:rPr>
                <w:rtl/>
              </w:rPr>
              <w:t>.</w:t>
            </w:r>
          </w:p>
        </w:tc>
      </w:tr>
      <w:tr w:rsidR="005306D6" w14:paraId="152FB813" w14:textId="77777777" w:rsidTr="005451E0">
        <w:trPr>
          <w:cantSplit/>
        </w:trPr>
        <w:tc>
          <w:tcPr>
            <w:tcW w:w="1869" w:type="dxa"/>
          </w:tcPr>
          <w:p w14:paraId="41F078EB" w14:textId="77777777" w:rsidR="005306D6" w:rsidRDefault="005306D6" w:rsidP="002C3041">
            <w:pPr>
              <w:pStyle w:val="TableSideHeading"/>
              <w:keepLines w:val="0"/>
              <w:rPr>
                <w:rtl/>
              </w:rPr>
            </w:pPr>
          </w:p>
        </w:tc>
        <w:tc>
          <w:tcPr>
            <w:tcW w:w="624" w:type="dxa"/>
          </w:tcPr>
          <w:p w14:paraId="415B9CC6" w14:textId="77777777" w:rsidR="005306D6" w:rsidRDefault="005306D6" w:rsidP="002C3041">
            <w:pPr>
              <w:pStyle w:val="TableText"/>
              <w:keepLines w:val="0"/>
              <w:rPr>
                <w:rtl/>
              </w:rPr>
            </w:pPr>
          </w:p>
        </w:tc>
        <w:tc>
          <w:tcPr>
            <w:tcW w:w="7145" w:type="dxa"/>
            <w:gridSpan w:val="3"/>
          </w:tcPr>
          <w:p w14:paraId="1E5A9C6D" w14:textId="48BFD481" w:rsidR="005306D6" w:rsidRPr="005306D6" w:rsidRDefault="005306D6" w:rsidP="005451E0">
            <w:pPr>
              <w:pStyle w:val="TableBlock"/>
              <w:rPr>
                <w:rtl/>
              </w:rPr>
            </w:pPr>
            <w:r>
              <w:rPr>
                <w:rFonts w:hint="cs"/>
                <w:rtl/>
              </w:rPr>
              <w:t>(ב)</w:t>
            </w:r>
            <w:r w:rsidR="0051628D">
              <w:rPr>
                <w:rtl/>
              </w:rPr>
              <w:tab/>
            </w:r>
            <w:r>
              <w:rPr>
                <w:rFonts w:hint="cs"/>
                <w:rtl/>
              </w:rPr>
              <w:t xml:space="preserve">אין בחוק זה כדי </w:t>
            </w:r>
            <w:r w:rsidRPr="00DB3E17">
              <w:rPr>
                <w:rFonts w:hint="cs"/>
                <w:rtl/>
              </w:rPr>
              <w:t xml:space="preserve">לפגוע </w:t>
            </w:r>
            <w:r w:rsidR="00AA1FF0">
              <w:rPr>
                <w:rFonts w:hint="cs"/>
                <w:rtl/>
              </w:rPr>
              <w:t>ב</w:t>
            </w:r>
            <w:r w:rsidRPr="00DB3E17">
              <w:rPr>
                <w:rFonts w:hint="cs"/>
                <w:rtl/>
              </w:rPr>
              <w:t>הכרה בתארים לפי סעיף 28א לחוק</w:t>
            </w:r>
            <w:r w:rsidR="0051628D">
              <w:rPr>
                <w:rFonts w:hint="cs"/>
                <w:rtl/>
              </w:rPr>
              <w:t xml:space="preserve"> העיקרי</w:t>
            </w:r>
            <w:r w:rsidRPr="00DB3E17">
              <w:rPr>
                <w:rFonts w:hint="cs"/>
                <w:rtl/>
              </w:rPr>
              <w:t>, כנוסחו לפני יום התחילה, לענ</w:t>
            </w:r>
            <w:r>
              <w:rPr>
                <w:rFonts w:hint="cs"/>
                <w:rtl/>
              </w:rPr>
              <w:t>י</w:t>
            </w:r>
            <w:r w:rsidRPr="00DB3E17">
              <w:rPr>
                <w:rFonts w:hint="cs"/>
                <w:rtl/>
              </w:rPr>
              <w:t>ין התארים שניתנו לפני יום התחילה.</w:t>
            </w:r>
          </w:p>
        </w:tc>
      </w:tr>
    </w:tbl>
    <w:p w14:paraId="7F6961CA" w14:textId="77777777" w:rsidR="002D1EE3" w:rsidRDefault="002D1EE3" w:rsidP="002D1EE3">
      <w:pPr>
        <w:pStyle w:val="HeadDivreiHesber"/>
        <w:rPr>
          <w:rtl/>
        </w:rPr>
      </w:pPr>
      <w:r w:rsidRPr="0027450A">
        <w:rPr>
          <w:rFonts w:hint="cs"/>
          <w:rtl/>
        </w:rPr>
        <w:t>דברי הסבר</w:t>
      </w:r>
    </w:p>
    <w:p w14:paraId="779DFD60" w14:textId="77777777" w:rsidR="005306D6" w:rsidRDefault="005306D6" w:rsidP="005306D6">
      <w:pPr>
        <w:pStyle w:val="Hesber"/>
        <w:rPr>
          <w:rtl/>
        </w:rPr>
      </w:pPr>
      <w:r>
        <w:rPr>
          <w:rtl/>
        </w:rPr>
        <w:t xml:space="preserve">חוק המועצה להשכלה גבוהה, </w:t>
      </w:r>
      <w:proofErr w:type="spellStart"/>
      <w:r>
        <w:rPr>
          <w:rtl/>
        </w:rPr>
        <w:t>התשי"ח</w:t>
      </w:r>
      <w:proofErr w:type="spellEnd"/>
      <w:r>
        <w:rPr>
          <w:rtl/>
        </w:rPr>
        <w:t xml:space="preserve">–1958 (להלן – חוק </w:t>
      </w:r>
      <w:proofErr w:type="spellStart"/>
      <w:r>
        <w:rPr>
          <w:rtl/>
        </w:rPr>
        <w:t>המל"ג</w:t>
      </w:r>
      <w:proofErr w:type="spellEnd"/>
      <w:r>
        <w:rPr>
          <w:rtl/>
        </w:rPr>
        <w:t>), קובע את המסגרת לקיום האסדרה (הרגולציה) בתחום ההשכלה הגבוהה במדינת ישראל ומכונן את המועצה להשכלה גבוהה, תאגיד סטטוטורי המופקד על תחום זה.</w:t>
      </w:r>
    </w:p>
    <w:p w14:paraId="030E318F" w14:textId="51D0E359" w:rsidR="005306D6" w:rsidRDefault="005306D6" w:rsidP="0033759E">
      <w:pPr>
        <w:pStyle w:val="Hesber"/>
        <w:rPr>
          <w:rtl/>
        </w:rPr>
      </w:pPr>
      <w:r>
        <w:rPr>
          <w:rtl/>
        </w:rPr>
        <w:t>בהתחשב באופי</w:t>
      </w:r>
      <w:r>
        <w:rPr>
          <w:rFonts w:hint="cs"/>
          <w:rtl/>
        </w:rPr>
        <w:t>י</w:t>
      </w:r>
      <w:r>
        <w:rPr>
          <w:rtl/>
        </w:rPr>
        <w:t xml:space="preserve">ה של המועצה להשכלה גבוהה כתאגיד סטטוטורי היונק את סמכויותיו ישירות </w:t>
      </w:r>
      <w:r>
        <w:rPr>
          <w:rtl/>
        </w:rPr>
        <w:lastRenderedPageBreak/>
        <w:t xml:space="preserve">מהחוק ולאור חזקת הפרשנות הטריטוריאלית של חקיקת הכנסת (סעיף 1 לפקודת שטח השיפוט והסמכויות; בג"ץ 279/51 </w:t>
      </w:r>
      <w:r w:rsidRPr="00847782">
        <w:rPr>
          <w:b/>
          <w:bCs/>
          <w:rtl/>
        </w:rPr>
        <w:t>אמסטרדם נ' שר האוצר</w:t>
      </w:r>
      <w:r>
        <w:rPr>
          <w:rtl/>
        </w:rPr>
        <w:t xml:space="preserve">, פ"ד ו 945 (1952); אהרון ברק </w:t>
      </w:r>
      <w:r w:rsidRPr="00847782">
        <w:rPr>
          <w:b/>
          <w:bCs/>
          <w:rtl/>
        </w:rPr>
        <w:t>פרשנות במשפט</w:t>
      </w:r>
      <w:r>
        <w:rPr>
          <w:rtl/>
        </w:rPr>
        <w:t xml:space="preserve"> כרך שני, 580-579 (1993)), נהוג לפרש את הוראות חוק </w:t>
      </w:r>
      <w:proofErr w:type="spellStart"/>
      <w:r>
        <w:rPr>
          <w:rtl/>
        </w:rPr>
        <w:t>המל"ג</w:t>
      </w:r>
      <w:proofErr w:type="spellEnd"/>
      <w:r>
        <w:rPr>
          <w:rtl/>
        </w:rPr>
        <w:t xml:space="preserve"> כבעלוֹת תחולה טריטוריאלית בגבולותיה של מדינת ישראל בלבד. במצב זה המועצה להשכלה גבוהה אינה רשאית להפעיל את סמכויותיה הסטטוטוריות באזורים שבהם לא הוחל המשפט </w:t>
      </w:r>
      <w:proofErr w:type="spellStart"/>
      <w:r>
        <w:rPr>
          <w:rtl/>
        </w:rPr>
        <w:t>והמ</w:t>
      </w:r>
      <w:r w:rsidR="00847782">
        <w:rPr>
          <w:rFonts w:hint="cs"/>
          <w:rtl/>
        </w:rPr>
        <w:t>י</w:t>
      </w:r>
      <w:r>
        <w:rPr>
          <w:rtl/>
        </w:rPr>
        <w:t>נהל</w:t>
      </w:r>
      <w:proofErr w:type="spellEnd"/>
      <w:r>
        <w:rPr>
          <w:rtl/>
        </w:rPr>
        <w:t xml:space="preserve"> של מדינת ישראל, ובכלל זה באזור יהודה והשומרון</w:t>
      </w:r>
      <w:r w:rsidR="00472063">
        <w:rPr>
          <w:rFonts w:hint="cs"/>
          <w:rtl/>
        </w:rPr>
        <w:t xml:space="preserve"> (להלן </w:t>
      </w:r>
      <w:r w:rsidR="00472063">
        <w:rPr>
          <w:rtl/>
        </w:rPr>
        <w:t>–</w:t>
      </w:r>
      <w:r w:rsidR="00472063">
        <w:rPr>
          <w:rFonts w:hint="cs"/>
          <w:rtl/>
        </w:rPr>
        <w:t xml:space="preserve"> האזור)</w:t>
      </w:r>
      <w:r>
        <w:rPr>
          <w:rtl/>
        </w:rPr>
        <w:t xml:space="preserve">.  </w:t>
      </w:r>
    </w:p>
    <w:p w14:paraId="528FDACB" w14:textId="77777777" w:rsidR="005306D6" w:rsidRDefault="005306D6" w:rsidP="005306D6">
      <w:pPr>
        <w:pStyle w:val="Hesber"/>
        <w:rPr>
          <w:rtl/>
        </w:rPr>
      </w:pPr>
      <w:r>
        <w:rPr>
          <w:rtl/>
        </w:rPr>
        <w:t xml:space="preserve">הדבר הוביל ליצירת מערכות דינים מקבילות העוסקות </w:t>
      </w:r>
      <w:proofErr w:type="spellStart"/>
      <w:r>
        <w:rPr>
          <w:rtl/>
        </w:rPr>
        <w:t>באסדרתו</w:t>
      </w:r>
      <w:proofErr w:type="spellEnd"/>
      <w:r>
        <w:rPr>
          <w:rtl/>
        </w:rPr>
        <w:t xml:space="preserve"> של תחום ההשכלה הגבוהה, כך שלצד המועצה להשכלה גבוהה הפועלת לפי חוק </w:t>
      </w:r>
      <w:proofErr w:type="spellStart"/>
      <w:r>
        <w:rPr>
          <w:rtl/>
        </w:rPr>
        <w:t>המל"ג</w:t>
      </w:r>
      <w:proofErr w:type="spellEnd"/>
      <w:r>
        <w:rPr>
          <w:rtl/>
        </w:rPr>
        <w:t xml:space="preserve">, פועלת באזור יהודה והשומרון מועצה מקבילה – המועצה להשכלה גבוהה (יו"ש) – שסמכויותיה מעוגנות בתחיקת הביטחון של מפקד כוחות צה"ל באזור, ובפרט בנספח מס' 4 – דיני חינוך – לתקנון המועצות המקומיות (יהודה והשומרון), </w:t>
      </w:r>
      <w:proofErr w:type="spellStart"/>
      <w:r>
        <w:rPr>
          <w:rtl/>
        </w:rPr>
        <w:t>התשמ"א</w:t>
      </w:r>
      <w:proofErr w:type="spellEnd"/>
      <w:r>
        <w:rPr>
          <w:rtl/>
        </w:rPr>
        <w:t>–1981.</w:t>
      </w:r>
    </w:p>
    <w:p w14:paraId="73C97F27" w14:textId="48513E4C" w:rsidR="005306D6" w:rsidRDefault="005306D6" w:rsidP="005306D6">
      <w:pPr>
        <w:pStyle w:val="Hesber"/>
        <w:rPr>
          <w:rtl/>
        </w:rPr>
      </w:pPr>
      <w:r>
        <w:rPr>
          <w:rtl/>
        </w:rPr>
        <w:t>הכפילות הנובעת מקיומן של שתי המועצות להשכלה גבוהה, שכל אחת מהן פועלת ב</w:t>
      </w:r>
      <w:r w:rsidR="00847782">
        <w:rPr>
          <w:rtl/>
        </w:rPr>
        <w:t>מרחב נורמטיבי ובגזרה ג</w:t>
      </w:r>
      <w:r>
        <w:rPr>
          <w:rtl/>
        </w:rPr>
        <w:t xml:space="preserve">אוגרפית משלה, יוצרת קשיים לא מבוטלים הפוגמים ביעילות </w:t>
      </w:r>
      <w:proofErr w:type="spellStart"/>
      <w:r>
        <w:rPr>
          <w:rtl/>
        </w:rPr>
        <w:t>אסדרת</w:t>
      </w:r>
      <w:proofErr w:type="spellEnd"/>
      <w:r>
        <w:rPr>
          <w:rtl/>
        </w:rPr>
        <w:t xml:space="preserve"> תחום ההשכלה הגבוהה של אזרחי המדינה והשוללים יכולת להסדיר את התחום באמצעות הוראות הנסמכות על מדיניות אחידה וראייה משותפת.</w:t>
      </w:r>
    </w:p>
    <w:p w14:paraId="141FF11C" w14:textId="3854E437" w:rsidR="005306D6" w:rsidRDefault="005306D6" w:rsidP="00847782">
      <w:pPr>
        <w:pStyle w:val="Hesber"/>
        <w:rPr>
          <w:rtl/>
        </w:rPr>
      </w:pPr>
      <w:r>
        <w:rPr>
          <w:rtl/>
        </w:rPr>
        <w:t xml:space="preserve">מטרת </w:t>
      </w:r>
      <w:r w:rsidR="00847782">
        <w:rPr>
          <w:rFonts w:hint="cs"/>
          <w:rtl/>
        </w:rPr>
        <w:t>התיקון</w:t>
      </w:r>
      <w:r>
        <w:rPr>
          <w:rtl/>
        </w:rPr>
        <w:t xml:space="preserve"> המוצע היא להרחיב את תחום תחולתו של חוק </w:t>
      </w:r>
      <w:proofErr w:type="spellStart"/>
      <w:r>
        <w:rPr>
          <w:rtl/>
        </w:rPr>
        <w:t>המל"ג</w:t>
      </w:r>
      <w:proofErr w:type="spellEnd"/>
      <w:r>
        <w:rPr>
          <w:rtl/>
        </w:rPr>
        <w:t xml:space="preserve"> </w:t>
      </w:r>
      <w:r w:rsidR="00AA1FF0">
        <w:rPr>
          <w:rFonts w:hint="cs"/>
          <w:rtl/>
        </w:rPr>
        <w:t>על</w:t>
      </w:r>
      <w:r w:rsidR="00AA1FF0">
        <w:rPr>
          <w:rtl/>
        </w:rPr>
        <w:t xml:space="preserve"> </w:t>
      </w:r>
      <w:r w:rsidR="00847782">
        <w:rPr>
          <w:rFonts w:hint="cs"/>
          <w:rtl/>
        </w:rPr>
        <w:t>ה</w:t>
      </w:r>
      <w:r>
        <w:rPr>
          <w:rtl/>
        </w:rPr>
        <w:t xml:space="preserve">אזור </w:t>
      </w:r>
      <w:r w:rsidR="00847782">
        <w:rPr>
          <w:rtl/>
        </w:rPr>
        <w:t>ו</w:t>
      </w:r>
      <w:r>
        <w:rPr>
          <w:rtl/>
        </w:rPr>
        <w:t xml:space="preserve">כך לאפשר לרשויות </w:t>
      </w:r>
      <w:r w:rsidR="00472063">
        <w:rPr>
          <w:rFonts w:hint="cs"/>
          <w:rtl/>
        </w:rPr>
        <w:t>המדינה</w:t>
      </w:r>
      <w:r w:rsidR="00472063">
        <w:rPr>
          <w:rtl/>
        </w:rPr>
        <w:t xml:space="preserve"> </w:t>
      </w:r>
      <w:r>
        <w:rPr>
          <w:rtl/>
        </w:rPr>
        <w:t>המוסמכות</w:t>
      </w:r>
      <w:r w:rsidR="00472063">
        <w:rPr>
          <w:rFonts w:hint="cs"/>
          <w:rtl/>
        </w:rPr>
        <w:t>,</w:t>
      </w:r>
      <w:r>
        <w:rPr>
          <w:rtl/>
        </w:rPr>
        <w:t xml:space="preserve"> להסדיר את תחום ההשכלה הגבוהה בכללותו. </w:t>
      </w:r>
    </w:p>
    <w:p w14:paraId="22BE2230" w14:textId="755E45A2" w:rsidR="005306D6" w:rsidRDefault="005306D6" w:rsidP="00847782">
      <w:pPr>
        <w:pStyle w:val="Hesber"/>
        <w:rPr>
          <w:rtl/>
        </w:rPr>
      </w:pPr>
      <w:r>
        <w:rPr>
          <w:rtl/>
        </w:rPr>
        <w:t xml:space="preserve">מוצע להרחיב את תחום פריסתן הטריטוריאלית של הסמכויות לפי חוק </w:t>
      </w:r>
      <w:proofErr w:type="spellStart"/>
      <w:r>
        <w:rPr>
          <w:rtl/>
        </w:rPr>
        <w:t>המל"ג</w:t>
      </w:r>
      <w:proofErr w:type="spellEnd"/>
      <w:r>
        <w:rPr>
          <w:rtl/>
        </w:rPr>
        <w:t xml:space="preserve"> באופן המעניק סמכויות לגורמים שהוסמכו לפי חוק </w:t>
      </w:r>
      <w:proofErr w:type="spellStart"/>
      <w:r>
        <w:rPr>
          <w:rtl/>
        </w:rPr>
        <w:t>המל"ג</w:t>
      </w:r>
      <w:proofErr w:type="spellEnd"/>
      <w:r>
        <w:rPr>
          <w:rtl/>
        </w:rPr>
        <w:t xml:space="preserve"> גם באזור. </w:t>
      </w:r>
      <w:r w:rsidR="00847782">
        <w:rPr>
          <w:rFonts w:hint="cs"/>
          <w:rtl/>
        </w:rPr>
        <w:t>כמו כן</w:t>
      </w:r>
      <w:r>
        <w:rPr>
          <w:rtl/>
        </w:rPr>
        <w:t xml:space="preserve">, לשם שלמות ההסדר האמור, </w:t>
      </w:r>
      <w:r w:rsidR="00AA1FF0">
        <w:rPr>
          <w:rFonts w:hint="cs"/>
          <w:rtl/>
        </w:rPr>
        <w:t>מוצע להחיל</w:t>
      </w:r>
      <w:r w:rsidR="00AA1FF0">
        <w:rPr>
          <w:rtl/>
        </w:rPr>
        <w:t xml:space="preserve"> </w:t>
      </w:r>
      <w:r>
        <w:rPr>
          <w:rtl/>
        </w:rPr>
        <w:t>באזור</w:t>
      </w:r>
      <w:r w:rsidR="00AA1FF0">
        <w:rPr>
          <w:rFonts w:hint="cs"/>
          <w:rtl/>
        </w:rPr>
        <w:t xml:space="preserve"> גם את</w:t>
      </w:r>
      <w:r>
        <w:rPr>
          <w:rtl/>
        </w:rPr>
        <w:t xml:space="preserve"> ההסדרים המעניקים זכויות </w:t>
      </w:r>
      <w:proofErr w:type="spellStart"/>
      <w:r>
        <w:rPr>
          <w:rtl/>
        </w:rPr>
        <w:t>וחסינויות</w:t>
      </w:r>
      <w:proofErr w:type="spellEnd"/>
      <w:r>
        <w:rPr>
          <w:rtl/>
        </w:rPr>
        <w:t xml:space="preserve"> והמטילים חובות לפי חוק </w:t>
      </w:r>
      <w:proofErr w:type="spellStart"/>
      <w:r>
        <w:rPr>
          <w:rtl/>
        </w:rPr>
        <w:t>המל"ג</w:t>
      </w:r>
      <w:proofErr w:type="spellEnd"/>
      <w:r>
        <w:rPr>
          <w:rtl/>
        </w:rPr>
        <w:t xml:space="preserve"> (קרי, בחוק </w:t>
      </w:r>
      <w:proofErr w:type="spellStart"/>
      <w:r>
        <w:rPr>
          <w:rtl/>
        </w:rPr>
        <w:t>המל"ג</w:t>
      </w:r>
      <w:proofErr w:type="spellEnd"/>
      <w:r>
        <w:rPr>
          <w:rtl/>
        </w:rPr>
        <w:t xml:space="preserve"> עצמו או לפי חקיקת משנה מכוחו).  </w:t>
      </w:r>
    </w:p>
    <w:p w14:paraId="6A791F1B" w14:textId="65E15DF4" w:rsidR="005306D6" w:rsidRDefault="00472063" w:rsidP="005306D6">
      <w:pPr>
        <w:pStyle w:val="Hesber"/>
        <w:rPr>
          <w:rtl/>
        </w:rPr>
      </w:pPr>
      <w:r>
        <w:rPr>
          <w:rFonts w:hint="cs"/>
          <w:rtl/>
        </w:rPr>
        <w:t xml:space="preserve">כמו כן, </w:t>
      </w:r>
      <w:r w:rsidR="005306D6">
        <w:rPr>
          <w:rtl/>
        </w:rPr>
        <w:t xml:space="preserve">מוצע לקבוע מועד תחילה נדחה על מנת לאפשר למפקד כוחות צה"ל באזור לערוך תיקון תואם בנספח מס' 4 – דיני חינוך – לתקנון המועצות המקומיות (יהודה והשומרון), </w:t>
      </w:r>
      <w:proofErr w:type="spellStart"/>
      <w:r w:rsidR="005306D6">
        <w:rPr>
          <w:rtl/>
        </w:rPr>
        <w:t>התשמ"א</w:t>
      </w:r>
      <w:proofErr w:type="spellEnd"/>
      <w:r w:rsidR="005306D6">
        <w:rPr>
          <w:rtl/>
        </w:rPr>
        <w:t xml:space="preserve">–1981. </w:t>
      </w:r>
    </w:p>
    <w:p w14:paraId="1E3C752D" w14:textId="51C93957" w:rsidR="005306D6" w:rsidRDefault="00472063" w:rsidP="005306D6">
      <w:pPr>
        <w:pStyle w:val="Hesber"/>
        <w:rPr>
          <w:rtl/>
        </w:rPr>
      </w:pPr>
      <w:r>
        <w:rPr>
          <w:rFonts w:hint="cs"/>
          <w:rtl/>
        </w:rPr>
        <w:t>עוד</w:t>
      </w:r>
      <w:r w:rsidR="005306D6">
        <w:rPr>
          <w:rtl/>
        </w:rPr>
        <w:t xml:space="preserve"> מוצע לקבוע שההכרה במוסדות להשכלה גבוהה שכבר הוכרו באזור, ושהכרתם אושרה על ידי מפקד כוחות צה"ל באזור לפני מועד תחילתו של התיקון המוצע, ייראו </w:t>
      </w:r>
      <w:r w:rsidR="00847782">
        <w:rPr>
          <w:rFonts w:hint="cs"/>
          <w:rtl/>
        </w:rPr>
        <w:t xml:space="preserve">אותם </w:t>
      </w:r>
      <w:r w:rsidR="005306D6">
        <w:rPr>
          <w:rtl/>
        </w:rPr>
        <w:t xml:space="preserve">כמוסדות להשכלה גבוהה שהכרתם אושרה לפי חוק </w:t>
      </w:r>
      <w:proofErr w:type="spellStart"/>
      <w:r w:rsidR="005306D6">
        <w:rPr>
          <w:rtl/>
        </w:rPr>
        <w:t>המל"ג</w:t>
      </w:r>
      <w:proofErr w:type="spellEnd"/>
      <w:r w:rsidR="005306D6">
        <w:rPr>
          <w:rtl/>
        </w:rPr>
        <w:t xml:space="preserve">.   </w:t>
      </w:r>
    </w:p>
    <w:p w14:paraId="1068130C" w14:textId="4FAE88EC" w:rsidR="005306D6" w:rsidRDefault="00847782" w:rsidP="005451E0">
      <w:pPr>
        <w:pStyle w:val="Hesber"/>
        <w:rPr>
          <w:rtl/>
        </w:rPr>
      </w:pPr>
      <w:r>
        <w:rPr>
          <w:rFonts w:hint="cs"/>
          <w:rtl/>
        </w:rPr>
        <w:t>מוצע להבהיר</w:t>
      </w:r>
      <w:r w:rsidR="005306D6">
        <w:rPr>
          <w:rtl/>
        </w:rPr>
        <w:t xml:space="preserve">, כי לצד החלפת הניסוח הקודם של סעיף 28א לחוק, שקבע את המסלול להכרה בתארים של המוסדות להשכלה גבוהה באזור (תהליך שהופך מיותר לנוכח הפירוק הצפוי של המועצה להשכלה גבוהה (יו"ש), לא תיפגע ההכרה בתארים שניתנו לפני תחילתו של חוק זה.  </w:t>
      </w:r>
    </w:p>
    <w:p w14:paraId="03AF62B8" w14:textId="77777777" w:rsidR="005306D6" w:rsidRDefault="005306D6" w:rsidP="005306D6">
      <w:pPr>
        <w:pStyle w:val="Hesber"/>
        <w:rPr>
          <w:rtl/>
        </w:rPr>
      </w:pPr>
    </w:p>
    <w:p w14:paraId="1FF44282" w14:textId="77777777" w:rsidR="00847782" w:rsidRPr="00D73212" w:rsidRDefault="00847782" w:rsidP="00847782">
      <w:pPr>
        <w:pStyle w:val="Hesber"/>
        <w:rPr>
          <w:color w:val="auto"/>
          <w:rtl/>
          <w:lang w:eastAsia="en-US"/>
        </w:rPr>
      </w:pPr>
      <w:r w:rsidRPr="00D73212">
        <w:rPr>
          <w:color w:val="auto"/>
          <w:rtl/>
          <w:lang w:eastAsia="en-US"/>
        </w:rPr>
        <w:t>---------------------------------</w:t>
      </w:r>
    </w:p>
    <w:p w14:paraId="78A83882" w14:textId="77777777" w:rsidR="00847782" w:rsidRPr="00D73212" w:rsidRDefault="00847782" w:rsidP="00847782">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88CD7C6" w14:textId="77777777" w:rsidR="00847782" w:rsidRPr="00D73212" w:rsidRDefault="00847782" w:rsidP="00847782">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E3EAD34" w14:textId="77777777" w:rsidR="00847782" w:rsidRPr="00317312" w:rsidRDefault="00847782" w:rsidP="00847782">
      <w:pPr>
        <w:pStyle w:val="Hesber"/>
      </w:pPr>
      <w:r>
        <w:rPr>
          <w:rFonts w:hint="cs"/>
          <w:color w:val="auto"/>
          <w:rtl/>
          <w:lang w:eastAsia="en-US"/>
        </w:rPr>
        <w:t>ט"ז בכסלו</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4.12</w:t>
      </w:r>
      <w:r w:rsidRPr="00D73212">
        <w:rPr>
          <w:color w:val="auto"/>
          <w:rtl/>
          <w:lang w:eastAsia="en-US"/>
        </w:rPr>
        <w:t>.</w:t>
      </w:r>
      <w:r>
        <w:rPr>
          <w:rFonts w:hint="cs"/>
          <w:color w:val="auto"/>
          <w:rtl/>
          <w:lang w:eastAsia="en-US"/>
        </w:rPr>
        <w:t>17</w:t>
      </w:r>
    </w:p>
    <w:p w14:paraId="7F6961CB" w14:textId="77777777" w:rsidR="00E13C27" w:rsidRPr="00847782" w:rsidRDefault="00E13C27" w:rsidP="00E13C27">
      <w:pPr>
        <w:pStyle w:val="Hesber"/>
      </w:pPr>
    </w:p>
    <w:sectPr w:rsidR="00E13C27" w:rsidRPr="0084778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AD9CB" w14:textId="77777777" w:rsidR="008F1B5A" w:rsidRDefault="008F1B5A">
      <w:r>
        <w:separator/>
      </w:r>
    </w:p>
  </w:endnote>
  <w:endnote w:type="continuationSeparator" w:id="0">
    <w:p w14:paraId="66F58D7B" w14:textId="77777777" w:rsidR="008F1B5A" w:rsidRDefault="008F1B5A">
      <w:r>
        <w:continuationSeparator/>
      </w:r>
    </w:p>
  </w:endnote>
  <w:endnote w:type="continuationNotice" w:id="1">
    <w:p w14:paraId="6DD35AAF" w14:textId="77777777" w:rsidR="008F1B5A" w:rsidRDefault="008F1B5A">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E43E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2C662D" w14:textId="77777777" w:rsidR="008F1B5A" w:rsidRDefault="008F1B5A">
      <w:r>
        <w:separator/>
      </w:r>
    </w:p>
  </w:footnote>
  <w:footnote w:type="continuationSeparator" w:id="0">
    <w:p w14:paraId="540A4063" w14:textId="77777777" w:rsidR="008F1B5A" w:rsidRDefault="008F1B5A">
      <w:r>
        <w:continuationSeparator/>
      </w:r>
    </w:p>
  </w:footnote>
  <w:footnote w:type="continuationNotice" w:id="1">
    <w:p w14:paraId="5C91EE3E" w14:textId="77777777" w:rsidR="008F1B5A" w:rsidRDefault="008F1B5A"/>
  </w:footnote>
  <w:footnote w:id="2">
    <w:p w14:paraId="52AFFF5E" w14:textId="77777777" w:rsidR="0051628D" w:rsidRDefault="0051628D" w:rsidP="0051628D">
      <w:pPr>
        <w:pStyle w:val="a4"/>
        <w:rPr>
          <w:rtl/>
        </w:rPr>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
  </w:footnote>
  <w:footnote w:id="3">
    <w:p w14:paraId="218E5832" w14:textId="0FA1FA52" w:rsidR="00184B5C" w:rsidRDefault="00184B5C">
      <w:pPr>
        <w:pStyle w:val="a4"/>
        <w:rPr>
          <w:rtl/>
        </w:rPr>
      </w:pPr>
      <w:r>
        <w:rPr>
          <w:rStyle w:val="a6"/>
        </w:rPr>
        <w:footnoteRef/>
      </w:r>
      <w:r>
        <w:rPr>
          <w:rtl/>
        </w:rPr>
        <w:t xml:space="preserve"> </w:t>
      </w:r>
      <w:r>
        <w:rPr>
          <w:rFonts w:hint="cs"/>
          <w:rtl/>
        </w:rPr>
        <w:t xml:space="preserve">ס"ח </w:t>
      </w:r>
      <w:proofErr w:type="spellStart"/>
      <w:r>
        <w:rPr>
          <w:rFonts w:hint="cs"/>
          <w:rtl/>
        </w:rPr>
        <w:t>התשס"ז</w:t>
      </w:r>
      <w:proofErr w:type="spellEnd"/>
      <w:r>
        <w:rPr>
          <w:rFonts w:hint="cs"/>
          <w:rtl/>
        </w:rPr>
        <w:t xml:space="preserve">, עמ' 364.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84B5C"/>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3759E"/>
    <w:rsid w:val="00363DE5"/>
    <w:rsid w:val="0036422C"/>
    <w:rsid w:val="003710F6"/>
    <w:rsid w:val="00386E88"/>
    <w:rsid w:val="00396585"/>
    <w:rsid w:val="003D6E38"/>
    <w:rsid w:val="003D74A0"/>
    <w:rsid w:val="003E43E2"/>
    <w:rsid w:val="004033D8"/>
    <w:rsid w:val="004073F0"/>
    <w:rsid w:val="00412A7D"/>
    <w:rsid w:val="00416B4D"/>
    <w:rsid w:val="00417CFC"/>
    <w:rsid w:val="004248DA"/>
    <w:rsid w:val="00472063"/>
    <w:rsid w:val="004A06DC"/>
    <w:rsid w:val="004B24ED"/>
    <w:rsid w:val="004B6625"/>
    <w:rsid w:val="004D2D82"/>
    <w:rsid w:val="004D3876"/>
    <w:rsid w:val="004E4552"/>
    <w:rsid w:val="004E6CDF"/>
    <w:rsid w:val="0051628D"/>
    <w:rsid w:val="005306D6"/>
    <w:rsid w:val="005451E0"/>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47782"/>
    <w:rsid w:val="00865572"/>
    <w:rsid w:val="00874BBC"/>
    <w:rsid w:val="00892135"/>
    <w:rsid w:val="00895449"/>
    <w:rsid w:val="00897879"/>
    <w:rsid w:val="008A6870"/>
    <w:rsid w:val="008C2DDC"/>
    <w:rsid w:val="008C7516"/>
    <w:rsid w:val="008E6EC7"/>
    <w:rsid w:val="008F0D63"/>
    <w:rsid w:val="008F1308"/>
    <w:rsid w:val="008F1B5A"/>
    <w:rsid w:val="008F2C35"/>
    <w:rsid w:val="008F6665"/>
    <w:rsid w:val="008F7EB8"/>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6D46"/>
    <w:rsid w:val="00A82CB7"/>
    <w:rsid w:val="00A942C1"/>
    <w:rsid w:val="00AA1FF0"/>
    <w:rsid w:val="00AA2F03"/>
    <w:rsid w:val="00AC36F7"/>
    <w:rsid w:val="00AC63A4"/>
    <w:rsid w:val="00AD239E"/>
    <w:rsid w:val="00B10265"/>
    <w:rsid w:val="00B16A99"/>
    <w:rsid w:val="00B21211"/>
    <w:rsid w:val="00B35784"/>
    <w:rsid w:val="00B36131"/>
    <w:rsid w:val="00B733A7"/>
    <w:rsid w:val="00B75C91"/>
    <w:rsid w:val="00B975AD"/>
    <w:rsid w:val="00BC45FB"/>
    <w:rsid w:val="00BF148D"/>
    <w:rsid w:val="00C23B1A"/>
    <w:rsid w:val="00C264DF"/>
    <w:rsid w:val="00C310EB"/>
    <w:rsid w:val="00C9176A"/>
    <w:rsid w:val="00CE05C6"/>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131"/>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3613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36131"/>
    <w:rPr>
      <w:sz w:val="36"/>
      <w:szCs w:val="52"/>
    </w:rPr>
  </w:style>
  <w:style w:type="paragraph" w:customStyle="1" w:styleId="Cover3-Haknesset">
    <w:name w:val="Cover 3-Haknesset"/>
    <w:basedOn w:val="Cover1-Reshumot"/>
    <w:rsid w:val="00B36131"/>
    <w:rPr>
      <w:b/>
      <w:bCs/>
      <w:spacing w:val="60"/>
    </w:rPr>
  </w:style>
  <w:style w:type="paragraph" w:customStyle="1" w:styleId="Cover4-Date">
    <w:name w:val="Cover 4-Date"/>
    <w:basedOn w:val="a"/>
    <w:rsid w:val="00B3613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3613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3613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36131"/>
    <w:pPr>
      <w:spacing w:before="120" w:after="120"/>
    </w:pPr>
    <w:rPr>
      <w:color w:val="FF0000"/>
      <w:w w:val="80"/>
    </w:rPr>
  </w:style>
  <w:style w:type="paragraph" w:styleId="a3">
    <w:name w:val="endnote text"/>
    <w:basedOn w:val="a"/>
    <w:semiHidden/>
    <w:rsid w:val="00B36131"/>
    <w:pPr>
      <w:ind w:left="227" w:hanging="227"/>
    </w:pPr>
    <w:rPr>
      <w:sz w:val="14"/>
      <w:szCs w:val="22"/>
    </w:rPr>
  </w:style>
  <w:style w:type="paragraph" w:customStyle="1" w:styleId="TableText">
    <w:name w:val="Table Text"/>
    <w:basedOn w:val="a"/>
    <w:rsid w:val="00B3613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36131"/>
  </w:style>
  <w:style w:type="paragraph" w:customStyle="1" w:styleId="TableBlock">
    <w:name w:val="Table Block"/>
    <w:basedOn w:val="TableText"/>
    <w:rsid w:val="00B36131"/>
    <w:pPr>
      <w:ind w:right="0"/>
      <w:jc w:val="both"/>
    </w:pPr>
  </w:style>
  <w:style w:type="paragraph" w:customStyle="1" w:styleId="TableHead">
    <w:name w:val="Table Head"/>
    <w:basedOn w:val="TableText"/>
    <w:rsid w:val="00B36131"/>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36131"/>
  </w:style>
  <w:style w:type="paragraph" w:customStyle="1" w:styleId="Hesber">
    <w:name w:val="Hesber"/>
    <w:basedOn w:val="a"/>
    <w:rsid w:val="00B36131"/>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36131"/>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36131"/>
    <w:rPr>
      <w:vertAlign w:val="superscript"/>
    </w:rPr>
  </w:style>
  <w:style w:type="paragraph" w:customStyle="1" w:styleId="HesberHeading">
    <w:name w:val="Hesber Heading"/>
    <w:basedOn w:val="Hesber"/>
    <w:rsid w:val="00B36131"/>
    <w:pPr>
      <w:tabs>
        <w:tab w:val="left" w:pos="624"/>
        <w:tab w:val="left" w:pos="1247"/>
      </w:tabs>
      <w:ind w:firstLine="0"/>
    </w:pPr>
    <w:rPr>
      <w:b/>
      <w:bCs/>
    </w:rPr>
  </w:style>
  <w:style w:type="paragraph" w:customStyle="1" w:styleId="HesberWriters">
    <w:name w:val="Hesber Writers"/>
    <w:basedOn w:val="Hesber"/>
    <w:rsid w:val="00B36131"/>
    <w:pPr>
      <w:spacing w:before="120" w:after="6000"/>
      <w:ind w:left="1418" w:firstLine="0"/>
      <w:jc w:val="right"/>
    </w:pPr>
    <w:rPr>
      <w:b/>
      <w:bCs/>
    </w:rPr>
  </w:style>
  <w:style w:type="paragraph" w:customStyle="1" w:styleId="Hesber1st">
    <w:name w:val="Hesber 1st"/>
    <w:basedOn w:val="Hesber"/>
    <w:rsid w:val="00B36131"/>
    <w:pPr>
      <w:tabs>
        <w:tab w:val="left" w:pos="680"/>
        <w:tab w:val="left" w:pos="1020"/>
      </w:tabs>
      <w:ind w:firstLine="0"/>
    </w:pPr>
  </w:style>
  <w:style w:type="character" w:styleId="a7">
    <w:name w:val="endnote reference"/>
    <w:basedOn w:val="a0"/>
    <w:semiHidden/>
    <w:rsid w:val="00B36131"/>
    <w:rPr>
      <w:vertAlign w:val="superscript"/>
    </w:rPr>
  </w:style>
  <w:style w:type="paragraph" w:customStyle="1" w:styleId="TableBlockOutdent">
    <w:name w:val="Table BlockOutdent"/>
    <w:basedOn w:val="TableBlock"/>
    <w:rsid w:val="00B36131"/>
    <w:pPr>
      <w:ind w:left="624" w:hanging="624"/>
    </w:pPr>
  </w:style>
  <w:style w:type="paragraph" w:styleId="a8">
    <w:name w:val="header"/>
    <w:basedOn w:val="a"/>
    <w:rsid w:val="00B36131"/>
    <w:pPr>
      <w:tabs>
        <w:tab w:val="center" w:pos="4153"/>
        <w:tab w:val="right" w:pos="8306"/>
      </w:tabs>
    </w:pPr>
  </w:style>
  <w:style w:type="paragraph" w:styleId="a9">
    <w:name w:val="footer"/>
    <w:basedOn w:val="a"/>
    <w:rsid w:val="00B36131"/>
    <w:pPr>
      <w:tabs>
        <w:tab w:val="center" w:pos="4153"/>
        <w:tab w:val="right" w:pos="8306"/>
      </w:tabs>
    </w:pPr>
  </w:style>
  <w:style w:type="paragraph" w:customStyle="1" w:styleId="HeadDivreiHesber">
    <w:name w:val="Head DivreiHesber"/>
    <w:basedOn w:val="a"/>
    <w:rsid w:val="00B3613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36131"/>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36131"/>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5306D6"/>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2D7EC046-D3B0-4B5D-8410-3321130E3174}"/>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059A41A-7F30-406D-B1D3-7A3272811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601</Words>
  <Characters>3006</Characters>
  <Application>Microsoft Office Word</Application>
  <DocSecurity>0</DocSecurity>
  <Lines>25</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מיטל אליהו</cp:lastModifiedBy>
  <cp:revision>2</cp:revision>
  <cp:lastPrinted>2017-11-30T11:32:00Z</cp:lastPrinted>
  <dcterms:created xsi:type="dcterms:W3CDTF">2018-01-23T15:44:00Z</dcterms:created>
  <dcterms:modified xsi:type="dcterms:W3CDTF">2018-01-23T15:44:00Z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87</vt:r8>
  </property>
  <property fmtid="{D5CDD505-2E9C-101B-9397-08002B2CF9AE}" pid="5" name="SanhedrinItemID">
    <vt:r8>2063729</vt:r8>
  </property>
</Properties>
</file>