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198D60" w14:textId="77777777" w:rsidR="00CE608E" w:rsidRPr="002F32F9" w:rsidRDefault="00CE608E" w:rsidP="00CE608E">
      <w:pPr>
        <w:jc w:val="center"/>
        <w:rPr>
          <w:rFonts w:cs="David"/>
          <w:rtl/>
        </w:rPr>
      </w:pPr>
      <w:bookmarkStart w:id="0" w:name="_GoBack"/>
      <w:bookmarkEnd w:id="0"/>
      <w:r w:rsidRPr="002F32F9">
        <w:rPr>
          <w:rFonts w:cs="David" w:hint="cs"/>
          <w:noProof/>
        </w:rPr>
        <w:drawing>
          <wp:inline distT="0" distB="0" distL="0" distR="0" wp14:anchorId="22A6E81F" wp14:editId="7823AFDF">
            <wp:extent cx="657225" cy="800100"/>
            <wp:effectExtent l="0" t="0" r="9525" b="0"/>
            <wp:docPr id="2" name="תמונה 2" descr="semel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7225" cy="800100"/>
                    </a:xfrm>
                    <a:prstGeom prst="rect">
                      <a:avLst/>
                    </a:prstGeom>
                    <a:noFill/>
                    <a:ln>
                      <a:noFill/>
                    </a:ln>
                  </pic:spPr>
                </pic:pic>
              </a:graphicData>
            </a:graphic>
          </wp:inline>
        </w:drawing>
      </w:r>
    </w:p>
    <w:p w14:paraId="1151458A" w14:textId="77777777" w:rsidR="00CE608E" w:rsidRPr="002F32F9" w:rsidRDefault="00CE608E" w:rsidP="00CE608E">
      <w:pPr>
        <w:jc w:val="center"/>
        <w:rPr>
          <w:rFonts w:cs="David"/>
          <w:b/>
          <w:bCs/>
          <w:rtl/>
        </w:rPr>
      </w:pPr>
      <w:r w:rsidRPr="002F32F9">
        <w:rPr>
          <w:rFonts w:cs="David" w:hint="cs"/>
          <w:b/>
          <w:bCs/>
          <w:rtl/>
        </w:rPr>
        <w:t>ה כ נ ס ת</w:t>
      </w:r>
    </w:p>
    <w:p w14:paraId="75E5724E" w14:textId="77777777" w:rsidR="00CE608E" w:rsidRPr="002F32F9" w:rsidRDefault="00CE608E" w:rsidP="00CE608E">
      <w:pPr>
        <w:jc w:val="both"/>
        <w:rPr>
          <w:rFonts w:cs="David"/>
          <w:rtl/>
        </w:rPr>
      </w:pPr>
    </w:p>
    <w:p w14:paraId="7E5F1CDC" w14:textId="77777777" w:rsidR="00CE608E" w:rsidRDefault="00CE608E" w:rsidP="00CE608E">
      <w:pPr>
        <w:jc w:val="center"/>
        <w:rPr>
          <w:rFonts w:cs="David"/>
          <w:rtl/>
        </w:rPr>
      </w:pPr>
      <w:r w:rsidRPr="00A37A25">
        <w:rPr>
          <w:rFonts w:cs="Guttman Hatzvi" w:hint="cs"/>
          <w:b/>
          <w:bCs/>
          <w:sz w:val="80"/>
          <w:szCs w:val="80"/>
          <w:rtl/>
        </w:rPr>
        <w:t>מסקנות</w:t>
      </w:r>
      <w:r w:rsidRPr="002F32F9">
        <w:rPr>
          <w:rFonts w:cs="David" w:hint="cs"/>
          <w:rtl/>
        </w:rPr>
        <w:t xml:space="preserve"> </w:t>
      </w:r>
    </w:p>
    <w:p w14:paraId="21E30DCC" w14:textId="77777777" w:rsidR="00CE608E" w:rsidRDefault="00CE608E" w:rsidP="00CE608E">
      <w:pPr>
        <w:jc w:val="center"/>
        <w:rPr>
          <w:rFonts w:cs="Guttman Hatzvi"/>
          <w:sz w:val="50"/>
          <w:szCs w:val="50"/>
          <w:rtl/>
        </w:rPr>
      </w:pPr>
      <w:r w:rsidRPr="009F29BC">
        <w:rPr>
          <w:rFonts w:cs="Guttman Hatzvi" w:hint="cs"/>
          <w:sz w:val="50"/>
          <w:szCs w:val="50"/>
          <w:rtl/>
        </w:rPr>
        <w:t xml:space="preserve">הוועדה המיוחדת </w:t>
      </w:r>
    </w:p>
    <w:p w14:paraId="1E9517EA" w14:textId="77777777" w:rsidR="00CE608E" w:rsidRPr="009F29BC" w:rsidRDefault="00CE608E" w:rsidP="00CE608E">
      <w:pPr>
        <w:jc w:val="center"/>
        <w:rPr>
          <w:rFonts w:cs="Guttman Hatzvi"/>
          <w:sz w:val="50"/>
          <w:szCs w:val="50"/>
          <w:rtl/>
        </w:rPr>
      </w:pPr>
      <w:r w:rsidRPr="009F29BC">
        <w:rPr>
          <w:rFonts w:cs="Guttman Hatzvi" w:hint="cs"/>
          <w:sz w:val="50"/>
          <w:szCs w:val="50"/>
          <w:rtl/>
        </w:rPr>
        <w:t>ליישום הנגשת המידע</w:t>
      </w:r>
      <w:r>
        <w:rPr>
          <w:rFonts w:cs="Guttman Hatzvi" w:hint="cs"/>
          <w:sz w:val="50"/>
          <w:szCs w:val="50"/>
          <w:rtl/>
        </w:rPr>
        <w:t xml:space="preserve"> הממשלתי ועקרונות </w:t>
      </w:r>
      <w:r w:rsidRPr="009F29BC">
        <w:rPr>
          <w:rFonts w:cs="Guttman Hatzvi" w:hint="cs"/>
          <w:sz w:val="50"/>
          <w:szCs w:val="50"/>
          <w:rtl/>
        </w:rPr>
        <w:t>שקיפותו לציבור</w:t>
      </w:r>
    </w:p>
    <w:p w14:paraId="58C32673" w14:textId="77777777" w:rsidR="00CE608E" w:rsidRPr="002F636A" w:rsidRDefault="00CE608E" w:rsidP="00CE608E">
      <w:pPr>
        <w:jc w:val="center"/>
        <w:rPr>
          <w:rFonts w:cs="David"/>
          <w:b/>
          <w:bCs/>
          <w:sz w:val="40"/>
          <w:szCs w:val="40"/>
          <w:rtl/>
        </w:rPr>
      </w:pPr>
      <w:r w:rsidRPr="009F29BC">
        <w:rPr>
          <w:rFonts w:cs="Guttman Hatzvi" w:hint="cs"/>
          <w:b/>
          <w:bCs/>
          <w:sz w:val="36"/>
          <w:szCs w:val="36"/>
          <w:rtl/>
        </w:rPr>
        <w:t>בעקבות החלטה על דיון מהיר</w:t>
      </w:r>
    </w:p>
    <w:p w14:paraId="51A6FDB1" w14:textId="77777777" w:rsidR="00CE608E" w:rsidRPr="002F32F9" w:rsidRDefault="00CE608E" w:rsidP="00CE608E">
      <w:pPr>
        <w:jc w:val="center"/>
        <w:rPr>
          <w:rFonts w:cs="David"/>
          <w:rtl/>
        </w:rPr>
      </w:pPr>
    </w:p>
    <w:p w14:paraId="0E5F4911" w14:textId="77777777" w:rsidR="00CE608E" w:rsidRPr="002F32F9" w:rsidRDefault="00CE608E" w:rsidP="00CE608E">
      <w:pPr>
        <w:jc w:val="center"/>
        <w:rPr>
          <w:rFonts w:cs="David"/>
          <w:rtl/>
        </w:rPr>
      </w:pPr>
    </w:p>
    <w:p w14:paraId="7882DBE0" w14:textId="77777777" w:rsidR="00CE608E" w:rsidRPr="002F32F9" w:rsidRDefault="00CE608E" w:rsidP="00CE608E">
      <w:pPr>
        <w:jc w:val="both"/>
        <w:rPr>
          <w:rFonts w:cs="David"/>
          <w:b/>
          <w:bCs/>
          <w:rtl/>
        </w:rPr>
      </w:pPr>
      <w:r w:rsidRPr="002F32F9">
        <w:rPr>
          <w:rFonts w:cs="David" w:hint="cs"/>
          <w:b/>
          <w:bCs/>
          <w:rtl/>
        </w:rPr>
        <w:t>הכנסת העשרים</w:t>
      </w:r>
      <w:r w:rsidRPr="002F32F9">
        <w:rPr>
          <w:rFonts w:cs="David" w:hint="cs"/>
          <w:b/>
          <w:bCs/>
          <w:rtl/>
        </w:rPr>
        <w:tab/>
      </w:r>
      <w:r w:rsidRPr="002F32F9">
        <w:rPr>
          <w:rFonts w:cs="David" w:hint="cs"/>
          <w:b/>
          <w:bCs/>
          <w:rtl/>
        </w:rPr>
        <w:tab/>
      </w:r>
      <w:r w:rsidRPr="002F32F9">
        <w:rPr>
          <w:rFonts w:cs="David" w:hint="cs"/>
          <w:b/>
          <w:bCs/>
          <w:rtl/>
        </w:rPr>
        <w:tab/>
      </w:r>
      <w:r w:rsidRPr="002F32F9">
        <w:rPr>
          <w:rFonts w:cs="David" w:hint="cs"/>
          <w:b/>
          <w:bCs/>
          <w:rtl/>
        </w:rPr>
        <w:tab/>
      </w:r>
      <w:r w:rsidRPr="002F32F9">
        <w:rPr>
          <w:rFonts w:cs="David" w:hint="cs"/>
          <w:b/>
          <w:bCs/>
          <w:rtl/>
        </w:rPr>
        <w:tab/>
      </w:r>
      <w:r w:rsidRPr="002F32F9">
        <w:rPr>
          <w:rFonts w:cs="David" w:hint="cs"/>
          <w:b/>
          <w:bCs/>
          <w:rtl/>
        </w:rPr>
        <w:tab/>
      </w:r>
      <w:r w:rsidRPr="002F32F9">
        <w:rPr>
          <w:rFonts w:cs="David" w:hint="cs"/>
          <w:b/>
          <w:bCs/>
          <w:rtl/>
        </w:rPr>
        <w:tab/>
        <w:t xml:space="preserve">                   ד' טבת תשע"ו</w:t>
      </w:r>
    </w:p>
    <w:p w14:paraId="4F3A2440" w14:textId="77777777" w:rsidR="00CE608E" w:rsidRPr="002F32F9" w:rsidRDefault="00CE608E" w:rsidP="00CE608E">
      <w:pPr>
        <w:jc w:val="both"/>
        <w:rPr>
          <w:rFonts w:cs="David"/>
          <w:rtl/>
        </w:rPr>
      </w:pPr>
      <w:r w:rsidRPr="002F32F9">
        <w:rPr>
          <w:rFonts w:cs="David" w:hint="cs"/>
          <w:b/>
          <w:bCs/>
          <w:rtl/>
        </w:rPr>
        <w:t xml:space="preserve">מושב </w:t>
      </w:r>
      <w:r w:rsidRPr="002F32F9">
        <w:rPr>
          <w:rFonts w:cs="David" w:hint="cs"/>
          <w:b/>
          <w:bCs/>
          <w:rtl/>
        </w:rPr>
        <w:tab/>
        <w:t>שני</w:t>
      </w:r>
      <w:r w:rsidRPr="002F32F9">
        <w:rPr>
          <w:rFonts w:cs="David" w:hint="cs"/>
          <w:b/>
          <w:bCs/>
          <w:rtl/>
        </w:rPr>
        <w:tab/>
      </w:r>
      <w:r w:rsidRPr="002F32F9">
        <w:rPr>
          <w:rFonts w:cs="David" w:hint="cs"/>
          <w:b/>
          <w:bCs/>
          <w:rtl/>
        </w:rPr>
        <w:tab/>
      </w:r>
      <w:r w:rsidRPr="002F32F9">
        <w:rPr>
          <w:rFonts w:cs="David" w:hint="cs"/>
          <w:b/>
          <w:bCs/>
          <w:rtl/>
        </w:rPr>
        <w:tab/>
      </w:r>
      <w:r w:rsidRPr="002F32F9">
        <w:rPr>
          <w:rFonts w:cs="David" w:hint="cs"/>
          <w:b/>
          <w:bCs/>
          <w:rtl/>
        </w:rPr>
        <w:tab/>
      </w:r>
      <w:r w:rsidRPr="002F32F9">
        <w:rPr>
          <w:rFonts w:cs="David" w:hint="cs"/>
          <w:b/>
          <w:bCs/>
          <w:rtl/>
        </w:rPr>
        <w:tab/>
      </w:r>
      <w:r w:rsidRPr="002F32F9">
        <w:rPr>
          <w:rFonts w:cs="David" w:hint="cs"/>
          <w:b/>
          <w:bCs/>
          <w:rtl/>
        </w:rPr>
        <w:tab/>
      </w:r>
      <w:r w:rsidRPr="002F32F9">
        <w:rPr>
          <w:rFonts w:cs="David" w:hint="cs"/>
          <w:b/>
          <w:bCs/>
          <w:rtl/>
        </w:rPr>
        <w:tab/>
      </w:r>
      <w:r w:rsidRPr="002F32F9">
        <w:rPr>
          <w:rFonts w:cs="David" w:hint="cs"/>
          <w:b/>
          <w:bCs/>
          <w:rtl/>
        </w:rPr>
        <w:tab/>
        <w:t xml:space="preserve">    16 בדצמבר 2015</w:t>
      </w:r>
    </w:p>
    <w:p w14:paraId="048D791B" w14:textId="77777777" w:rsidR="00CE608E" w:rsidRPr="002F32F9" w:rsidRDefault="00CE608E" w:rsidP="00CE608E">
      <w:pPr>
        <w:rPr>
          <w:rFonts w:cs="David"/>
          <w:rtl/>
        </w:rPr>
      </w:pPr>
    </w:p>
    <w:p w14:paraId="426BA9B8" w14:textId="77777777" w:rsidR="00CE608E" w:rsidRPr="002F32F9" w:rsidRDefault="00CE608E" w:rsidP="00CE608E">
      <w:pPr>
        <w:jc w:val="center"/>
        <w:rPr>
          <w:rFonts w:cs="David"/>
          <w:b/>
          <w:bCs/>
          <w:rtl/>
        </w:rPr>
      </w:pPr>
      <w:r w:rsidRPr="002F32F9">
        <w:rPr>
          <w:rFonts w:cs="David" w:hint="cs"/>
          <w:b/>
          <w:bCs/>
          <w:rtl/>
        </w:rPr>
        <w:t>בנושא: התקשרויות המדינה עם גורמים פרטיים</w:t>
      </w:r>
    </w:p>
    <w:p w14:paraId="375AD86D" w14:textId="77777777" w:rsidR="00CE608E" w:rsidRPr="002F32F9" w:rsidRDefault="00CE608E" w:rsidP="00CE608E">
      <w:pPr>
        <w:jc w:val="center"/>
        <w:rPr>
          <w:rFonts w:cs="David"/>
          <w:b/>
          <w:bCs/>
          <w:rtl/>
        </w:rPr>
      </w:pPr>
    </w:p>
    <w:p w14:paraId="332DAC9C" w14:textId="77777777" w:rsidR="00CE608E" w:rsidRPr="002F32F9" w:rsidRDefault="00CE608E" w:rsidP="00CE608E">
      <w:pPr>
        <w:jc w:val="center"/>
        <w:rPr>
          <w:rFonts w:cs="David"/>
          <w:b/>
          <w:bCs/>
          <w:rtl/>
        </w:rPr>
      </w:pPr>
      <w:r w:rsidRPr="002F32F9">
        <w:rPr>
          <w:rFonts w:cs="David" w:hint="cs"/>
          <w:b/>
          <w:bCs/>
          <w:rtl/>
        </w:rPr>
        <w:t>של חברת הכנסת: איילת נחמיאס ורבין</w:t>
      </w:r>
    </w:p>
    <w:p w14:paraId="7A439C6F" w14:textId="77777777" w:rsidR="00CE608E" w:rsidRPr="002F32F9" w:rsidRDefault="00CE608E" w:rsidP="00CE608E">
      <w:pPr>
        <w:jc w:val="center"/>
        <w:rPr>
          <w:rFonts w:cs="David"/>
          <w:b/>
          <w:bCs/>
          <w:rtl/>
        </w:rPr>
      </w:pPr>
    </w:p>
    <w:p w14:paraId="0ED53E45" w14:textId="77777777" w:rsidR="00CE608E" w:rsidRPr="002F32F9" w:rsidRDefault="00CE608E" w:rsidP="00CE608E">
      <w:pPr>
        <w:jc w:val="both"/>
        <w:rPr>
          <w:rFonts w:cs="David"/>
          <w:rtl/>
        </w:rPr>
      </w:pPr>
      <w:r w:rsidRPr="002F32F9">
        <w:rPr>
          <w:rFonts w:cs="David" w:hint="cs"/>
          <w:rtl/>
        </w:rPr>
        <w:t xml:space="preserve">בהתאם לסעיף 60 (ג) (1) לתקנון הכנסת, החליטו יושב-ראש הכנסת והסגנים, להעביר ל"דיון מהיר" בועדה המיוחדת ליישום הנגשת המידע הממשלתי ועקרונות שקיפותו לציבור, את הצעתה של חברת הכנסת איילת נחמיאס ורבין, בנושא: </w:t>
      </w:r>
      <w:r w:rsidRPr="002F32F9">
        <w:rPr>
          <w:rFonts w:cs="David" w:hint="cs"/>
          <w:b/>
          <w:bCs/>
          <w:rtl/>
        </w:rPr>
        <w:t>התקשרויות המדינה עם גורמים פרטיים</w:t>
      </w:r>
    </w:p>
    <w:p w14:paraId="25C29EC8" w14:textId="77777777" w:rsidR="00CE608E" w:rsidRPr="002F32F9" w:rsidRDefault="00CE608E" w:rsidP="00CE608E">
      <w:pPr>
        <w:jc w:val="both"/>
        <w:rPr>
          <w:rFonts w:cs="David"/>
          <w:rtl/>
        </w:rPr>
      </w:pPr>
    </w:p>
    <w:p w14:paraId="36521D99" w14:textId="77777777" w:rsidR="00CE608E" w:rsidRPr="002F32F9" w:rsidRDefault="00CE608E" w:rsidP="00CE608E">
      <w:pPr>
        <w:jc w:val="both"/>
        <w:rPr>
          <w:rFonts w:cs="David"/>
          <w:rtl/>
        </w:rPr>
      </w:pPr>
    </w:p>
    <w:p w14:paraId="0746403E" w14:textId="77777777" w:rsidR="00CE608E" w:rsidRPr="002F32F9" w:rsidRDefault="00CE608E" w:rsidP="00CE608E">
      <w:pPr>
        <w:jc w:val="both"/>
        <w:rPr>
          <w:rFonts w:cs="David"/>
          <w:rtl/>
        </w:rPr>
      </w:pPr>
      <w:r w:rsidRPr="002F32F9">
        <w:rPr>
          <w:rFonts w:cs="David" w:hint="cs"/>
          <w:rtl/>
        </w:rPr>
        <w:t>הוועדה בראשות חה"כ סתיו שפיר, התכנסה לדיון והסקת מסקנות ביום ד' בטבת תשע"ו, 16 בדצמבר 2015.</w:t>
      </w:r>
    </w:p>
    <w:p w14:paraId="2D1B2CD8" w14:textId="77777777" w:rsidR="00CE608E" w:rsidRDefault="00CE608E" w:rsidP="00CE608E">
      <w:pPr>
        <w:rPr>
          <w:rFonts w:cs="David"/>
          <w:b/>
          <w:bCs/>
          <w:u w:val="single"/>
          <w:rtl/>
        </w:rPr>
      </w:pPr>
    </w:p>
    <w:p w14:paraId="0694154B" w14:textId="77777777" w:rsidR="00CE608E" w:rsidRPr="002F32F9" w:rsidRDefault="00CE608E" w:rsidP="00CE608E">
      <w:pPr>
        <w:rPr>
          <w:rFonts w:ascii="Tahoma" w:hAnsi="Tahoma" w:cs="David"/>
        </w:rPr>
      </w:pPr>
      <w:r w:rsidRPr="00095F75">
        <w:rPr>
          <w:rFonts w:cs="David" w:hint="eastAsia"/>
          <w:rtl/>
        </w:rPr>
        <w:t>ח</w:t>
      </w:r>
      <w:r w:rsidRPr="00095F75">
        <w:rPr>
          <w:rFonts w:cs="David"/>
          <w:rtl/>
        </w:rPr>
        <w:t xml:space="preserve">"כ </w:t>
      </w:r>
      <w:r w:rsidRPr="00095F75">
        <w:rPr>
          <w:rFonts w:cs="David" w:hint="eastAsia"/>
          <w:rtl/>
        </w:rPr>
        <w:t>איילת</w:t>
      </w:r>
      <w:r w:rsidRPr="00095F75">
        <w:rPr>
          <w:rFonts w:cs="David"/>
          <w:rtl/>
        </w:rPr>
        <w:t xml:space="preserve"> </w:t>
      </w:r>
      <w:r w:rsidRPr="00095F75">
        <w:rPr>
          <w:rFonts w:cs="David" w:hint="eastAsia"/>
          <w:rtl/>
        </w:rPr>
        <w:t>נחמיאס</w:t>
      </w:r>
      <w:r w:rsidRPr="00095F75">
        <w:rPr>
          <w:rFonts w:cs="David"/>
          <w:rtl/>
        </w:rPr>
        <w:t xml:space="preserve"> </w:t>
      </w:r>
      <w:r w:rsidRPr="00095F75">
        <w:rPr>
          <w:rFonts w:cs="David" w:hint="eastAsia"/>
          <w:rtl/>
        </w:rPr>
        <w:t>ורבין</w:t>
      </w:r>
      <w:r w:rsidRPr="00095F75">
        <w:rPr>
          <w:rFonts w:cs="David"/>
          <w:rtl/>
        </w:rPr>
        <w:t xml:space="preserve"> ציינה בדיון כי </w:t>
      </w:r>
      <w:bookmarkStart w:id="1" w:name="AGN_Description"/>
      <w:r w:rsidRPr="00A55F43">
        <w:rPr>
          <w:rFonts w:cs="David" w:hint="cs"/>
          <w:rtl/>
        </w:rPr>
        <w:t xml:space="preserve">לאור עלייה במספר ההתקשרויות של המדינה עם גורמים פרטיים, שאינם כפופים לחוק חופש המידע, אישרה הממשלה במהלך שנת 2013 את החלטה מספר 1116. עניינה של החלטה זו היא פרסום רישיונות והיתרים שנותנת המדינה לגופים פרטיים וכן מסמכי התקשרות בין רשויות המדינה לגופים פרטיים. בהחלטה נקבע, כי על משרדי הממשלה ויחידות הסמך חלה חובה לפרסם באופן יזום את ההסכמים, הרישיונות וההיתרים שעליהם חלה ההחלטה. יודגש, כי הקבוע בהחלטה הינו דרישת הסף המינימלית וראוי כי הרשויות הציבוריות יבחנו פרסום של מידע נוסף הנוגע להתקשרויות שהמדינה הינה צד להן. </w:t>
      </w:r>
      <w:r w:rsidRPr="00FA2FB8">
        <w:rPr>
          <w:rFonts w:cs="David"/>
        </w:rPr>
        <w:br/>
      </w:r>
      <w:r w:rsidRPr="00A55F43">
        <w:rPr>
          <w:rFonts w:cs="David" w:hint="cs"/>
          <w:rtl/>
        </w:rPr>
        <w:t>השקיפות הכרחית מאחר שמדובר בחוזים המאופיינים בהיקפים רחבים, הן מבחינת גודל הפרויקט, והן מבחינת עלותו והן מבחינת משך הזמן הארוך שבו יופעל הפרויקט לאחר סיום העבודה על ידי הזכיין הפרטי.</w:t>
      </w:r>
      <w:r w:rsidRPr="00FA2FB8">
        <w:rPr>
          <w:rFonts w:ascii="Tahoma" w:hAnsi="Tahoma" w:cs="David" w:hint="cs"/>
          <w:rtl/>
        </w:rPr>
        <w:t xml:space="preserve"> </w:t>
      </w:r>
      <w:r w:rsidRPr="00FA2FB8">
        <w:rPr>
          <w:rFonts w:cs="David"/>
        </w:rPr>
        <w:br/>
      </w:r>
      <w:r>
        <w:rPr>
          <w:rFonts w:ascii="Tahoma" w:hAnsi="Tahoma" w:cs="David" w:hint="cs"/>
          <w:rtl/>
        </w:rPr>
        <w:t>ח"כ נחמיאס ורבין הוסיפה כי החלטת הממשלה מיושמת באופן חלקי בלבד, וכי הדבר מביא ל</w:t>
      </w:r>
      <w:r w:rsidRPr="00FA2FB8">
        <w:rPr>
          <w:rFonts w:ascii="Tahoma" w:hAnsi="Tahoma" w:cs="David" w:hint="cs"/>
          <w:rtl/>
        </w:rPr>
        <w:t>חוסר שקיפות ב</w:t>
      </w:r>
      <w:r>
        <w:rPr>
          <w:rFonts w:ascii="Tahoma" w:hAnsi="Tahoma" w:cs="David" w:hint="cs"/>
          <w:rtl/>
        </w:rPr>
        <w:t>יחס ל</w:t>
      </w:r>
      <w:r w:rsidRPr="00FA2FB8">
        <w:rPr>
          <w:rFonts w:ascii="Tahoma" w:hAnsi="Tahoma" w:cs="David" w:hint="cs"/>
          <w:rtl/>
        </w:rPr>
        <w:t>הסכמי התקשרות של משרדי הממשלה עם ספקים ויועצים</w:t>
      </w:r>
      <w:r>
        <w:rPr>
          <w:rFonts w:ascii="Tahoma" w:hAnsi="Tahoma" w:cs="David" w:hint="cs"/>
          <w:rtl/>
        </w:rPr>
        <w:t xml:space="preserve">, שכן אין לציבור הרחב הזדמנות להיחשף לאותן התקשרויות ארוכות טווח. ח"כ נחמיאס ורבין בירכה אמנם על קביעת הנוהל בנושא יישום החלטת הממשלה האמורה, אך ציינה כי היא מצפה שמיום כניסתה לתוקף של החלטת הממשלה, כל ההתקשרויות, ההיתרים והרישיונות יפורסמו באתר האינטרנט ויהיו זמינות ושקופות לציבור.  </w:t>
      </w:r>
      <w:bookmarkEnd w:id="1"/>
    </w:p>
    <w:p w14:paraId="7A0181E9" w14:textId="77777777" w:rsidR="00CE608E" w:rsidRPr="002F32F9" w:rsidRDefault="00CE608E" w:rsidP="00CE608E">
      <w:pPr>
        <w:jc w:val="both"/>
        <w:rPr>
          <w:rFonts w:cs="David"/>
          <w:rtl/>
        </w:rPr>
      </w:pPr>
    </w:p>
    <w:p w14:paraId="26E1B32B" w14:textId="77777777" w:rsidR="00CE608E" w:rsidRPr="002F32F9" w:rsidRDefault="00CE608E" w:rsidP="00CE608E">
      <w:pPr>
        <w:rPr>
          <w:rFonts w:cs="David"/>
          <w:rtl/>
        </w:rPr>
      </w:pPr>
    </w:p>
    <w:p w14:paraId="3BA34546" w14:textId="77777777" w:rsidR="00CE608E" w:rsidRPr="00FA2FB8" w:rsidRDefault="00CE608E" w:rsidP="00CE608E">
      <w:pPr>
        <w:jc w:val="both"/>
        <w:rPr>
          <w:rFonts w:cs="David"/>
          <w:rtl/>
        </w:rPr>
      </w:pPr>
      <w:r w:rsidRPr="00095F75">
        <w:rPr>
          <w:rFonts w:cs="David" w:hint="eastAsia"/>
          <w:rtl/>
        </w:rPr>
        <w:lastRenderedPageBreak/>
        <w:t>נציג</w:t>
      </w:r>
      <w:r w:rsidRPr="00095F75">
        <w:rPr>
          <w:rFonts w:cs="David"/>
          <w:rtl/>
        </w:rPr>
        <w:t xml:space="preserve"> </w:t>
      </w:r>
      <w:r w:rsidRPr="00095F75">
        <w:rPr>
          <w:rFonts w:cs="David" w:hint="eastAsia"/>
          <w:rtl/>
        </w:rPr>
        <w:t>משרד</w:t>
      </w:r>
      <w:r w:rsidRPr="00095F75">
        <w:rPr>
          <w:rFonts w:cs="David"/>
          <w:rtl/>
        </w:rPr>
        <w:t xml:space="preserve"> </w:t>
      </w:r>
      <w:r w:rsidRPr="00095F75">
        <w:rPr>
          <w:rFonts w:cs="David" w:hint="eastAsia"/>
          <w:rtl/>
        </w:rPr>
        <w:t>המשפטים</w:t>
      </w:r>
      <w:r>
        <w:rPr>
          <w:rFonts w:cs="David" w:hint="cs"/>
          <w:rtl/>
        </w:rPr>
        <w:t xml:space="preserve"> בדיון</w:t>
      </w:r>
      <w:r w:rsidRPr="00095F75">
        <w:rPr>
          <w:rFonts w:cs="David"/>
          <w:rtl/>
        </w:rPr>
        <w:t xml:space="preserve">, עו"ד </w:t>
      </w:r>
      <w:r w:rsidRPr="00095F75">
        <w:rPr>
          <w:rFonts w:cs="David" w:hint="eastAsia"/>
          <w:rtl/>
        </w:rPr>
        <w:t>שלומי</w:t>
      </w:r>
      <w:r w:rsidRPr="00095F75">
        <w:rPr>
          <w:rFonts w:cs="David"/>
          <w:rtl/>
        </w:rPr>
        <w:t xml:space="preserve"> </w:t>
      </w:r>
      <w:r w:rsidRPr="00095F75">
        <w:rPr>
          <w:rFonts w:cs="David" w:hint="eastAsia"/>
          <w:rtl/>
        </w:rPr>
        <w:t>בילבסקי</w:t>
      </w:r>
      <w:r w:rsidRPr="00095F75">
        <w:rPr>
          <w:rFonts w:cs="David"/>
          <w:rtl/>
        </w:rPr>
        <w:t xml:space="preserve">, ציין כי </w:t>
      </w:r>
      <w:r w:rsidRPr="00FA2FB8">
        <w:rPr>
          <w:rFonts w:cs="David" w:hint="cs"/>
          <w:rtl/>
        </w:rPr>
        <w:t xml:space="preserve">היחידה הממשלתית לחופש המידע יזמה </w:t>
      </w:r>
      <w:r>
        <w:rPr>
          <w:rFonts w:cs="David" w:hint="cs"/>
          <w:rtl/>
        </w:rPr>
        <w:t xml:space="preserve">את </w:t>
      </w:r>
      <w:r w:rsidRPr="00FA2FB8">
        <w:rPr>
          <w:rFonts w:cs="David" w:hint="cs"/>
          <w:rtl/>
        </w:rPr>
        <w:t>ההחלטה מתוך הכרה של חשיבות של פרסום מידע יזום ע</w:t>
      </w:r>
      <w:r>
        <w:rPr>
          <w:rFonts w:cs="David" w:hint="cs"/>
          <w:rtl/>
        </w:rPr>
        <w:t>ל ידי</w:t>
      </w:r>
      <w:r w:rsidRPr="00FA2FB8">
        <w:rPr>
          <w:rFonts w:cs="David" w:hint="cs"/>
          <w:rtl/>
        </w:rPr>
        <w:t xml:space="preserve"> הממשלה לטובת הציבור, בנושא התקשרו</w:t>
      </w:r>
      <w:r>
        <w:rPr>
          <w:rFonts w:cs="David" w:hint="cs"/>
          <w:rtl/>
        </w:rPr>
        <w:t>יו</w:t>
      </w:r>
      <w:r w:rsidRPr="00FA2FB8">
        <w:rPr>
          <w:rFonts w:cs="David" w:hint="cs"/>
          <w:rtl/>
        </w:rPr>
        <w:t>ת הממשלה עם גופים פרטיים</w:t>
      </w:r>
      <w:r>
        <w:rPr>
          <w:rFonts w:cs="David" w:hint="cs"/>
          <w:rtl/>
        </w:rPr>
        <w:t xml:space="preserve"> ומתן רישיונות והיתרים על ידי הממשלה</w:t>
      </w:r>
      <w:r w:rsidRPr="00FA2FB8">
        <w:rPr>
          <w:rFonts w:cs="David" w:hint="cs"/>
          <w:rtl/>
        </w:rPr>
        <w:t xml:space="preserve">. </w:t>
      </w:r>
      <w:r>
        <w:rPr>
          <w:rFonts w:cs="David" w:hint="cs"/>
          <w:rtl/>
        </w:rPr>
        <w:t xml:space="preserve">עוד אמר כי </w:t>
      </w:r>
      <w:r w:rsidRPr="00FA2FB8">
        <w:rPr>
          <w:rFonts w:cs="David" w:hint="cs"/>
          <w:rtl/>
        </w:rPr>
        <w:t>החלט</w:t>
      </w:r>
      <w:r>
        <w:rPr>
          <w:rFonts w:cs="David" w:hint="cs"/>
          <w:rtl/>
        </w:rPr>
        <w:t>ת הממשלה</w:t>
      </w:r>
      <w:r w:rsidRPr="00FA2FB8">
        <w:rPr>
          <w:rFonts w:cs="David" w:hint="cs"/>
          <w:rtl/>
        </w:rPr>
        <w:t xml:space="preserve"> התקבלה ב-29.12.13 </w:t>
      </w:r>
      <w:r>
        <w:rPr>
          <w:rFonts w:cs="David" w:hint="cs"/>
          <w:rtl/>
        </w:rPr>
        <w:t xml:space="preserve">אך </w:t>
      </w:r>
      <w:r w:rsidRPr="00FA2FB8">
        <w:rPr>
          <w:rFonts w:cs="David" w:hint="cs"/>
          <w:rtl/>
        </w:rPr>
        <w:t>נכנסה לתוקף</w:t>
      </w:r>
      <w:r>
        <w:rPr>
          <w:rFonts w:cs="David" w:hint="cs"/>
          <w:rtl/>
        </w:rPr>
        <w:t xml:space="preserve"> חצי שנה לאחר מכן</w:t>
      </w:r>
      <w:r w:rsidRPr="00FA2FB8">
        <w:rPr>
          <w:rFonts w:cs="David" w:hint="cs"/>
          <w:rtl/>
        </w:rPr>
        <w:t>.  היחידה פנתה</w:t>
      </w:r>
      <w:r>
        <w:rPr>
          <w:rFonts w:cs="David" w:hint="cs"/>
          <w:rtl/>
        </w:rPr>
        <w:t xml:space="preserve"> מספר פעמים</w:t>
      </w:r>
      <w:r w:rsidRPr="00FA2FB8">
        <w:rPr>
          <w:rFonts w:cs="David" w:hint="cs"/>
          <w:rtl/>
        </w:rPr>
        <w:t xml:space="preserve"> למשרדי</w:t>
      </w:r>
      <w:r>
        <w:rPr>
          <w:rFonts w:cs="David" w:hint="cs"/>
          <w:rtl/>
        </w:rPr>
        <w:t xml:space="preserve"> הממשלה</w:t>
      </w:r>
      <w:r w:rsidRPr="00FA2FB8">
        <w:rPr>
          <w:rFonts w:cs="David" w:hint="cs"/>
          <w:rtl/>
        </w:rPr>
        <w:t xml:space="preserve"> ליחידות הסמך</w:t>
      </w:r>
      <w:r>
        <w:rPr>
          <w:rFonts w:cs="David" w:hint="cs"/>
          <w:rtl/>
        </w:rPr>
        <w:t>,</w:t>
      </w:r>
      <w:r w:rsidRPr="00FA2FB8">
        <w:rPr>
          <w:rFonts w:cs="David" w:hint="cs"/>
          <w:rtl/>
        </w:rPr>
        <w:t xml:space="preserve"> לקראת כניסת ההחלטה לתוקף ו</w:t>
      </w:r>
      <w:r>
        <w:rPr>
          <w:rFonts w:cs="David" w:hint="cs"/>
          <w:rtl/>
        </w:rPr>
        <w:t>כן</w:t>
      </w:r>
      <w:r w:rsidRPr="00FA2FB8">
        <w:rPr>
          <w:rFonts w:cs="David" w:hint="cs"/>
          <w:rtl/>
        </w:rPr>
        <w:t xml:space="preserve"> לאחר כניסתה</w:t>
      </w:r>
      <w:r>
        <w:rPr>
          <w:rFonts w:cs="David" w:hint="cs"/>
          <w:rtl/>
        </w:rPr>
        <w:t xml:space="preserve"> לתוקף, אך </w:t>
      </w:r>
      <w:r w:rsidRPr="00FA2FB8">
        <w:rPr>
          <w:rFonts w:cs="David" w:hint="cs"/>
          <w:rtl/>
        </w:rPr>
        <w:t xml:space="preserve">למרבה הצער, חלק בלתי מבוטל מהמשרדים לא ענו לפניות היחידה הממשלתית לחופש המידע, (כולן או חלקן). </w:t>
      </w:r>
    </w:p>
    <w:p w14:paraId="01A5614E" w14:textId="77777777" w:rsidR="00CE608E" w:rsidRDefault="00CE608E" w:rsidP="00CE608E">
      <w:pPr>
        <w:jc w:val="both"/>
        <w:rPr>
          <w:rFonts w:cs="David"/>
          <w:rtl/>
        </w:rPr>
      </w:pPr>
      <w:r>
        <w:rPr>
          <w:rFonts w:cs="David" w:hint="cs"/>
          <w:rtl/>
        </w:rPr>
        <w:t xml:space="preserve">לדבריו, </w:t>
      </w:r>
      <w:r w:rsidRPr="00FA2FB8">
        <w:rPr>
          <w:rFonts w:cs="David" w:hint="cs"/>
          <w:rtl/>
        </w:rPr>
        <w:t>רמת היישום של החלט</w:t>
      </w:r>
      <w:r>
        <w:rPr>
          <w:rFonts w:cs="David" w:hint="cs"/>
          <w:rtl/>
        </w:rPr>
        <w:t>ת הממשלה</w:t>
      </w:r>
      <w:r w:rsidRPr="00FA2FB8">
        <w:rPr>
          <w:rFonts w:cs="David" w:hint="cs"/>
          <w:rtl/>
        </w:rPr>
        <w:t xml:space="preserve"> נמוכה מאוד עד אפסית. נכון להיום התפרסמו 33 התקשרויות באתר המרכזי לחופש המידע ומספר היתרים</w:t>
      </w:r>
      <w:r>
        <w:rPr>
          <w:rFonts w:cs="David" w:hint="cs"/>
          <w:rtl/>
        </w:rPr>
        <w:t>,</w:t>
      </w:r>
      <w:r w:rsidRPr="00FA2FB8">
        <w:rPr>
          <w:rFonts w:cs="David" w:hint="cs"/>
          <w:rtl/>
        </w:rPr>
        <w:t xml:space="preserve"> כאשר ברור שישנן אלפי התקשרויות רלוונטיות.</w:t>
      </w:r>
      <w:r>
        <w:rPr>
          <w:rFonts w:cs="David" w:hint="cs"/>
          <w:rtl/>
        </w:rPr>
        <w:t xml:space="preserve"> </w:t>
      </w:r>
    </w:p>
    <w:p w14:paraId="40929CC4" w14:textId="77777777" w:rsidR="00CE608E" w:rsidRPr="00FA2FB8" w:rsidRDefault="00CE608E" w:rsidP="00CE608E">
      <w:pPr>
        <w:jc w:val="both"/>
        <w:rPr>
          <w:rFonts w:cs="David"/>
          <w:rtl/>
        </w:rPr>
      </w:pPr>
      <w:r>
        <w:rPr>
          <w:rFonts w:cs="David" w:hint="cs"/>
          <w:rtl/>
        </w:rPr>
        <w:t xml:space="preserve">בתשובה לשאלותיה של יו"ר הוועדה, ח"כ שפיר, השיב נציג משרד המשפטים כי </w:t>
      </w:r>
      <w:r w:rsidRPr="00FA2FB8">
        <w:rPr>
          <w:rFonts w:cs="David" w:hint="cs"/>
          <w:rtl/>
        </w:rPr>
        <w:t xml:space="preserve">שמבחינה טכנולוגית אין קושי בהעלאת ההתקשרויות לאתר </w:t>
      </w:r>
      <w:r>
        <w:rPr>
          <w:rFonts w:cs="David" w:hint="cs"/>
          <w:rtl/>
        </w:rPr>
        <w:t xml:space="preserve">האינטרנט </w:t>
      </w:r>
      <w:r w:rsidRPr="00FA2FB8">
        <w:rPr>
          <w:rFonts w:cs="David" w:hint="cs"/>
          <w:rtl/>
        </w:rPr>
        <w:t>המרכזי לחופש המידע, ו</w:t>
      </w:r>
      <w:r>
        <w:rPr>
          <w:rFonts w:cs="David" w:hint="cs"/>
          <w:rtl/>
        </w:rPr>
        <w:t xml:space="preserve">כי </w:t>
      </w:r>
      <w:r w:rsidRPr="00FA2FB8">
        <w:rPr>
          <w:rFonts w:cs="David" w:hint="cs"/>
          <w:rtl/>
        </w:rPr>
        <w:t>לכל משרד יש הרשאה לעשות כן או יכולה להיווצר הרשאה בקלות</w:t>
      </w:r>
      <w:r>
        <w:rPr>
          <w:rFonts w:cs="David" w:hint="cs"/>
          <w:rtl/>
        </w:rPr>
        <w:t xml:space="preserve">, אך לפני הפרסום נעשית בחינה מהותית של החומר המיועד לפרסום, בהתאם לעילות הקבועות בחוק חופש המידע. עוד אמר נציג משרד המשפטים כי הנוהל שפרסמה </w:t>
      </w:r>
      <w:r w:rsidRPr="00FA2FB8">
        <w:rPr>
          <w:rFonts w:cs="David" w:hint="cs"/>
          <w:rtl/>
        </w:rPr>
        <w:t xml:space="preserve">היחידה הממשלתית לחופש המידע, בשיתוף אגף </w:t>
      </w:r>
      <w:r>
        <w:rPr>
          <w:rFonts w:cs="David" w:hint="cs"/>
          <w:rtl/>
        </w:rPr>
        <w:t>החשב הכללי</w:t>
      </w:r>
      <w:r w:rsidRPr="00FA2FB8">
        <w:rPr>
          <w:rFonts w:cs="David" w:hint="cs"/>
          <w:rtl/>
        </w:rPr>
        <w:t xml:space="preserve"> ב</w:t>
      </w:r>
      <w:r>
        <w:rPr>
          <w:rFonts w:cs="David" w:hint="cs"/>
          <w:rtl/>
        </w:rPr>
        <w:t>משרד ה</w:t>
      </w:r>
      <w:r w:rsidRPr="00FA2FB8">
        <w:rPr>
          <w:rFonts w:cs="David" w:hint="cs"/>
          <w:rtl/>
        </w:rPr>
        <w:t xml:space="preserve">אוצר, </w:t>
      </w:r>
      <w:r>
        <w:rPr>
          <w:rFonts w:cs="David" w:hint="cs"/>
          <w:rtl/>
        </w:rPr>
        <w:t>מבטא</w:t>
      </w:r>
      <w:r w:rsidRPr="00FA2FB8">
        <w:rPr>
          <w:rFonts w:cs="David" w:hint="cs"/>
          <w:rtl/>
        </w:rPr>
        <w:t xml:space="preserve"> מעבר רצוי והכרחי ממתן תגובה לבקשות למידע </w:t>
      </w:r>
      <w:r>
        <w:rPr>
          <w:rFonts w:cs="David" w:hint="cs"/>
          <w:rtl/>
        </w:rPr>
        <w:t xml:space="preserve">לפי חוק חופש המידע, </w:t>
      </w:r>
      <w:r w:rsidRPr="00FA2FB8">
        <w:rPr>
          <w:rFonts w:cs="David" w:hint="cs"/>
          <w:rtl/>
        </w:rPr>
        <w:t>לפרסום יזום</w:t>
      </w:r>
      <w:r>
        <w:rPr>
          <w:rFonts w:cs="David" w:hint="cs"/>
          <w:rtl/>
        </w:rPr>
        <w:t>,</w:t>
      </w:r>
      <w:r w:rsidRPr="00FA2FB8">
        <w:rPr>
          <w:rFonts w:cs="David" w:hint="cs"/>
          <w:rtl/>
        </w:rPr>
        <w:t xml:space="preserve"> אחיד ושיטתי. הנוהל מחייב את משרדי הממשלה לפרסם אחת לרבעון נתונים אודות שם הספק, נושאי ההתקשרות, סכום ההתקשרות, קוד ספק, תקנה תקציבית, ועוד, והכל בפורמט </w:t>
      </w:r>
      <w:r>
        <w:rPr>
          <w:rFonts w:cs="David" w:hint="cs"/>
          <w:rtl/>
        </w:rPr>
        <w:t>"</w:t>
      </w:r>
      <w:r w:rsidRPr="00FA2FB8">
        <w:rPr>
          <w:rFonts w:cs="David" w:hint="cs"/>
          <w:rtl/>
        </w:rPr>
        <w:t>אקסל</w:t>
      </w:r>
      <w:r>
        <w:rPr>
          <w:rFonts w:cs="David" w:hint="cs"/>
          <w:rtl/>
        </w:rPr>
        <w:t>"</w:t>
      </w:r>
      <w:r w:rsidRPr="00FA2FB8">
        <w:rPr>
          <w:rFonts w:cs="David" w:hint="cs"/>
          <w:rtl/>
        </w:rPr>
        <w:t xml:space="preserve"> </w:t>
      </w:r>
      <w:r>
        <w:rPr>
          <w:rFonts w:cs="David" w:hint="cs"/>
          <w:rtl/>
        </w:rPr>
        <w:t>ה</w:t>
      </w:r>
      <w:r w:rsidRPr="00FA2FB8">
        <w:rPr>
          <w:rFonts w:cs="David" w:hint="cs"/>
          <w:rtl/>
        </w:rPr>
        <w:t xml:space="preserve">פתוח לשימוש ולביצוע חיתוכים.  </w:t>
      </w:r>
    </w:p>
    <w:p w14:paraId="5394E438" w14:textId="77777777" w:rsidR="00CE608E" w:rsidRDefault="00CE608E" w:rsidP="00CE608E">
      <w:pPr>
        <w:jc w:val="both"/>
        <w:rPr>
          <w:rFonts w:cs="David"/>
          <w:rtl/>
        </w:rPr>
      </w:pPr>
    </w:p>
    <w:p w14:paraId="1204158F" w14:textId="77777777" w:rsidR="00CE608E" w:rsidRDefault="00CE608E" w:rsidP="00CE608E">
      <w:pPr>
        <w:jc w:val="both"/>
        <w:rPr>
          <w:rFonts w:cs="David"/>
          <w:sz w:val="22"/>
          <w:szCs w:val="22"/>
          <w:rtl/>
        </w:rPr>
      </w:pPr>
      <w:r w:rsidRPr="00095F75">
        <w:rPr>
          <w:rFonts w:cs="David" w:hint="eastAsia"/>
          <w:rtl/>
        </w:rPr>
        <w:t>נציגת</w:t>
      </w:r>
      <w:r w:rsidRPr="00095F75">
        <w:rPr>
          <w:rFonts w:cs="David"/>
          <w:rtl/>
        </w:rPr>
        <w:t xml:space="preserve"> </w:t>
      </w:r>
      <w:r w:rsidRPr="00095F75">
        <w:rPr>
          <w:rFonts w:cs="David" w:hint="eastAsia"/>
          <w:rtl/>
        </w:rPr>
        <w:t>הסדנא</w:t>
      </w:r>
      <w:r w:rsidRPr="00095F75">
        <w:rPr>
          <w:rFonts w:cs="David"/>
          <w:rtl/>
        </w:rPr>
        <w:t xml:space="preserve"> לידע ציבורי, סימונה </w:t>
      </w:r>
      <w:r w:rsidRPr="00095F75">
        <w:rPr>
          <w:rFonts w:cs="David" w:hint="eastAsia"/>
          <w:rtl/>
        </w:rPr>
        <w:t>הולשטיין</w:t>
      </w:r>
      <w:r w:rsidRPr="00095F75">
        <w:rPr>
          <w:rFonts w:cs="David"/>
          <w:rtl/>
        </w:rPr>
        <w:t xml:space="preserve">, </w:t>
      </w:r>
      <w:r w:rsidRPr="00095F75">
        <w:rPr>
          <w:rFonts w:cs="David" w:hint="eastAsia"/>
          <w:rtl/>
        </w:rPr>
        <w:t>אמרה</w:t>
      </w:r>
      <w:r w:rsidRPr="00095F75">
        <w:rPr>
          <w:rFonts w:cs="David"/>
          <w:rtl/>
        </w:rPr>
        <w:t xml:space="preserve"> </w:t>
      </w:r>
      <w:r w:rsidRPr="00095F75">
        <w:rPr>
          <w:rFonts w:cs="David" w:hint="eastAsia"/>
          <w:rtl/>
        </w:rPr>
        <w:t>בדיון</w:t>
      </w:r>
      <w:r w:rsidRPr="00095F75">
        <w:rPr>
          <w:rFonts w:cs="David"/>
          <w:rtl/>
        </w:rPr>
        <w:t xml:space="preserve"> </w:t>
      </w:r>
      <w:r w:rsidRPr="00095F75">
        <w:rPr>
          <w:rFonts w:cs="David" w:hint="eastAsia"/>
          <w:rtl/>
        </w:rPr>
        <w:t>כי</w:t>
      </w:r>
      <w:r w:rsidRPr="00095F75">
        <w:rPr>
          <w:rFonts w:cs="David"/>
          <w:rtl/>
        </w:rPr>
        <w:t xml:space="preserve"> </w:t>
      </w:r>
      <w:r>
        <w:rPr>
          <w:rFonts w:cs="David" w:hint="cs"/>
          <w:rtl/>
        </w:rPr>
        <w:t xml:space="preserve">החלק המשמעותי ביותר בהחלטת הממשלה הוא הדרישה לפרסום יזום של מסמכי התקשרות והיתרים בין רשויות המדינה לגופים פרטיים. לדבריה, עד היום פורסמו 32 חוזי התקשרויות של הממשלה בלבד, מתוכם 16 חוזים של המשרד לאזרחים ותיקים. היא המליצה להרחיב את תחולת ההחלטה למערכת רכש פתוח. </w:t>
      </w:r>
    </w:p>
    <w:p w14:paraId="41BBC0ED" w14:textId="77777777" w:rsidR="00CE608E" w:rsidRPr="00FA2FB8" w:rsidRDefault="00CE608E" w:rsidP="00CE608E">
      <w:pPr>
        <w:jc w:val="both"/>
        <w:rPr>
          <w:rFonts w:cs="David"/>
          <w:sz w:val="22"/>
          <w:szCs w:val="22"/>
          <w:rtl/>
        </w:rPr>
      </w:pPr>
    </w:p>
    <w:p w14:paraId="5AE523DB" w14:textId="77777777" w:rsidR="00CE608E" w:rsidRPr="00FA421B" w:rsidRDefault="00CE608E" w:rsidP="00CE608E">
      <w:pPr>
        <w:jc w:val="both"/>
        <w:rPr>
          <w:rFonts w:cs="David"/>
          <w:rtl/>
        </w:rPr>
      </w:pPr>
      <w:r>
        <w:rPr>
          <w:rFonts w:cs="David" w:hint="cs"/>
          <w:rtl/>
        </w:rPr>
        <w:t xml:space="preserve">נוכח הנתונים בדבר אי-יישום החלטת הממשלה, הציעה </w:t>
      </w:r>
      <w:r w:rsidRPr="00095F75">
        <w:rPr>
          <w:rFonts w:cs="David" w:hint="eastAsia"/>
          <w:rtl/>
        </w:rPr>
        <w:t>ח</w:t>
      </w:r>
      <w:r w:rsidRPr="00095F75">
        <w:rPr>
          <w:rFonts w:cs="David"/>
          <w:rtl/>
        </w:rPr>
        <w:t xml:space="preserve">"כ </w:t>
      </w:r>
      <w:r w:rsidRPr="00095F75">
        <w:rPr>
          <w:rFonts w:cs="David" w:hint="eastAsia"/>
          <w:rtl/>
        </w:rPr>
        <w:t>יעל</w:t>
      </w:r>
      <w:r w:rsidRPr="00095F75">
        <w:rPr>
          <w:rFonts w:cs="David"/>
          <w:rtl/>
        </w:rPr>
        <w:t xml:space="preserve"> </w:t>
      </w:r>
      <w:r w:rsidRPr="00095F75">
        <w:rPr>
          <w:rFonts w:cs="David" w:hint="eastAsia"/>
          <w:rtl/>
        </w:rPr>
        <w:t>גרמן</w:t>
      </w:r>
      <w:r w:rsidRPr="00FB7C10">
        <w:rPr>
          <w:rFonts w:cs="David" w:hint="cs"/>
          <w:b/>
          <w:bCs/>
          <w:rtl/>
        </w:rPr>
        <w:t xml:space="preserve"> </w:t>
      </w:r>
      <w:r w:rsidRPr="00FA421B">
        <w:rPr>
          <w:rFonts w:cs="David" w:hint="cs"/>
          <w:rtl/>
        </w:rPr>
        <w:t xml:space="preserve">שהיחידה הממשלתית לחופש המידע במשרד המשפטים תפנה  ליועץ המשפטי לממשלה, כדי לעדכנו </w:t>
      </w:r>
      <w:r>
        <w:rPr>
          <w:rFonts w:cs="David" w:hint="cs"/>
          <w:rtl/>
        </w:rPr>
        <w:t>על משרדי הממשלה שאינם מיישמים את החלטת הממשלה ו</w:t>
      </w:r>
      <w:r w:rsidRPr="00FA421B">
        <w:rPr>
          <w:rFonts w:cs="David" w:hint="cs"/>
          <w:rtl/>
        </w:rPr>
        <w:t>לבקש את התערבותו</w:t>
      </w:r>
      <w:r>
        <w:rPr>
          <w:rFonts w:cs="David" w:hint="cs"/>
          <w:rtl/>
        </w:rPr>
        <w:t>, באמצעות</w:t>
      </w:r>
      <w:r w:rsidRPr="00FA421B">
        <w:rPr>
          <w:rFonts w:cs="David" w:hint="cs"/>
          <w:rtl/>
        </w:rPr>
        <w:t xml:space="preserve"> פנ</w:t>
      </w:r>
      <w:r>
        <w:rPr>
          <w:rFonts w:cs="David" w:hint="cs"/>
          <w:rtl/>
        </w:rPr>
        <w:t>י</w:t>
      </w:r>
      <w:r w:rsidRPr="00FA421B">
        <w:rPr>
          <w:rFonts w:cs="David" w:hint="cs"/>
          <w:rtl/>
        </w:rPr>
        <w:t>יה למשרדים כדי שי</w:t>
      </w:r>
      <w:r>
        <w:rPr>
          <w:rFonts w:cs="David" w:hint="cs"/>
          <w:rtl/>
        </w:rPr>
        <w:t>קיימו את</w:t>
      </w:r>
      <w:r w:rsidRPr="00FA421B">
        <w:rPr>
          <w:rFonts w:cs="David" w:hint="cs"/>
          <w:rtl/>
        </w:rPr>
        <w:t xml:space="preserve"> </w:t>
      </w:r>
      <w:r>
        <w:rPr>
          <w:rFonts w:cs="David" w:hint="cs"/>
          <w:rtl/>
        </w:rPr>
        <w:t>החלטת הממשלה ואת ה</w:t>
      </w:r>
      <w:r w:rsidRPr="00FA421B">
        <w:rPr>
          <w:rFonts w:cs="David" w:hint="cs"/>
          <w:rtl/>
        </w:rPr>
        <w:t xml:space="preserve">נוהל. </w:t>
      </w:r>
    </w:p>
    <w:p w14:paraId="239D67A5" w14:textId="77777777" w:rsidR="00CE608E" w:rsidRPr="00FA421B" w:rsidRDefault="00CE608E" w:rsidP="00CE608E">
      <w:pPr>
        <w:jc w:val="both"/>
        <w:rPr>
          <w:rFonts w:cs="David"/>
          <w:b/>
          <w:bCs/>
          <w:u w:val="single"/>
          <w:rtl/>
        </w:rPr>
      </w:pPr>
    </w:p>
    <w:p w14:paraId="689DEBAC" w14:textId="77777777" w:rsidR="00CE608E" w:rsidRPr="00FA421B" w:rsidRDefault="00CE608E" w:rsidP="00CE608E">
      <w:pPr>
        <w:jc w:val="both"/>
        <w:rPr>
          <w:rFonts w:cs="David"/>
          <w:rtl/>
        </w:rPr>
      </w:pPr>
      <w:r w:rsidRPr="00095F75">
        <w:rPr>
          <w:rFonts w:cs="David" w:hint="eastAsia"/>
          <w:rtl/>
        </w:rPr>
        <w:t>יו</w:t>
      </w:r>
      <w:r w:rsidRPr="00095F75">
        <w:rPr>
          <w:rFonts w:cs="David"/>
          <w:rtl/>
        </w:rPr>
        <w:t xml:space="preserve">"ר </w:t>
      </w:r>
      <w:r w:rsidRPr="00095F75">
        <w:rPr>
          <w:rFonts w:cs="David" w:hint="eastAsia"/>
          <w:rtl/>
        </w:rPr>
        <w:t>הוועדה</w:t>
      </w:r>
      <w:r w:rsidRPr="00095F75">
        <w:rPr>
          <w:rFonts w:cs="David"/>
          <w:rtl/>
        </w:rPr>
        <w:t xml:space="preserve">, </w:t>
      </w:r>
      <w:r w:rsidRPr="00095F75">
        <w:rPr>
          <w:rFonts w:cs="David" w:hint="eastAsia"/>
          <w:rtl/>
        </w:rPr>
        <w:t>ח</w:t>
      </w:r>
      <w:r w:rsidRPr="00095F75">
        <w:rPr>
          <w:rFonts w:cs="David"/>
          <w:rtl/>
        </w:rPr>
        <w:t xml:space="preserve">"כ </w:t>
      </w:r>
      <w:r w:rsidRPr="00095F75">
        <w:rPr>
          <w:rFonts w:cs="David" w:hint="eastAsia"/>
          <w:rtl/>
        </w:rPr>
        <w:t>שפיר</w:t>
      </w:r>
      <w:r w:rsidRPr="00095F75">
        <w:rPr>
          <w:rFonts w:cs="David"/>
          <w:rtl/>
        </w:rPr>
        <w:t xml:space="preserve">, </w:t>
      </w:r>
      <w:r w:rsidRPr="00FA421B">
        <w:rPr>
          <w:rFonts w:cs="David" w:hint="cs"/>
          <w:rtl/>
        </w:rPr>
        <w:t>ציינה כי אין בנוהל סנקציה המוטלת על משרדי</w:t>
      </w:r>
      <w:r>
        <w:rPr>
          <w:rFonts w:cs="David" w:hint="cs"/>
          <w:rtl/>
        </w:rPr>
        <w:t xml:space="preserve"> הממשלה</w:t>
      </w:r>
      <w:r w:rsidRPr="00FA421B">
        <w:rPr>
          <w:rFonts w:cs="David" w:hint="cs"/>
          <w:rtl/>
        </w:rPr>
        <w:t xml:space="preserve"> שלא מ</w:t>
      </w:r>
      <w:r>
        <w:rPr>
          <w:rFonts w:cs="David" w:hint="cs"/>
          <w:rtl/>
        </w:rPr>
        <w:t>קיימים את החלטת הממשלה ואת נוהל היישום</w:t>
      </w:r>
      <w:r w:rsidRPr="00FA421B">
        <w:rPr>
          <w:rFonts w:cs="David" w:hint="cs"/>
          <w:rtl/>
        </w:rPr>
        <w:t xml:space="preserve"> והציעה </w:t>
      </w:r>
      <w:r>
        <w:rPr>
          <w:rFonts w:cs="David" w:hint="cs"/>
          <w:rtl/>
        </w:rPr>
        <w:t>ל</w:t>
      </w:r>
      <w:r w:rsidRPr="00FA421B">
        <w:rPr>
          <w:rFonts w:cs="David" w:hint="cs"/>
          <w:rtl/>
        </w:rPr>
        <w:t xml:space="preserve">קבוע בנוהל חובת פרסום </w:t>
      </w:r>
      <w:r>
        <w:rPr>
          <w:rFonts w:cs="David" w:hint="cs"/>
          <w:rtl/>
        </w:rPr>
        <w:t xml:space="preserve">של </w:t>
      </w:r>
      <w:r w:rsidRPr="00FA421B">
        <w:rPr>
          <w:rFonts w:cs="David" w:hint="cs"/>
          <w:rtl/>
        </w:rPr>
        <w:t xml:space="preserve">שמות </w:t>
      </w:r>
      <w:r>
        <w:rPr>
          <w:rFonts w:cs="David" w:hint="cs"/>
          <w:rtl/>
        </w:rPr>
        <w:t xml:space="preserve">אותם </w:t>
      </w:r>
      <w:r w:rsidRPr="00FA421B">
        <w:rPr>
          <w:rFonts w:cs="David" w:hint="cs"/>
          <w:rtl/>
        </w:rPr>
        <w:t xml:space="preserve">משרדים . </w:t>
      </w:r>
    </w:p>
    <w:p w14:paraId="0D67114F" w14:textId="77777777" w:rsidR="00CE608E" w:rsidRPr="00FA421B" w:rsidRDefault="00CE608E" w:rsidP="00CE608E">
      <w:pPr>
        <w:rPr>
          <w:rFonts w:cs="David"/>
          <w:rtl/>
        </w:rPr>
      </w:pPr>
    </w:p>
    <w:p w14:paraId="460FC5C9" w14:textId="77777777" w:rsidR="00CE608E" w:rsidRPr="00FA421B" w:rsidRDefault="00CE608E" w:rsidP="00CE608E">
      <w:pPr>
        <w:jc w:val="both"/>
        <w:rPr>
          <w:rFonts w:cs="David"/>
          <w:rtl/>
        </w:rPr>
      </w:pPr>
      <w:r w:rsidRPr="00095F75">
        <w:rPr>
          <w:rFonts w:cs="David" w:hint="eastAsia"/>
          <w:rtl/>
        </w:rPr>
        <w:t>נציג</w:t>
      </w:r>
      <w:r w:rsidRPr="00095F75">
        <w:rPr>
          <w:rFonts w:cs="David"/>
          <w:rtl/>
        </w:rPr>
        <w:t xml:space="preserve"> </w:t>
      </w:r>
      <w:r w:rsidRPr="00095F75">
        <w:rPr>
          <w:rFonts w:cs="David" w:hint="eastAsia"/>
          <w:rtl/>
        </w:rPr>
        <w:t>משרד</w:t>
      </w:r>
      <w:r w:rsidRPr="00095F75">
        <w:rPr>
          <w:rFonts w:cs="David"/>
          <w:rtl/>
        </w:rPr>
        <w:t xml:space="preserve"> </w:t>
      </w:r>
      <w:r w:rsidRPr="00095F75">
        <w:rPr>
          <w:rFonts w:cs="David" w:hint="eastAsia"/>
          <w:rtl/>
        </w:rPr>
        <w:t>הבריאות</w:t>
      </w:r>
      <w:r w:rsidRPr="00095F75">
        <w:rPr>
          <w:rFonts w:cs="David"/>
          <w:rtl/>
        </w:rPr>
        <w:t xml:space="preserve">, </w:t>
      </w:r>
      <w:r w:rsidRPr="00095F75">
        <w:rPr>
          <w:rFonts w:cs="David" w:hint="eastAsia"/>
          <w:rtl/>
        </w:rPr>
        <w:t>עופר</w:t>
      </w:r>
      <w:r w:rsidRPr="00095F75">
        <w:rPr>
          <w:rFonts w:cs="David"/>
          <w:rtl/>
        </w:rPr>
        <w:t xml:space="preserve"> </w:t>
      </w:r>
      <w:r w:rsidRPr="00095F75">
        <w:rPr>
          <w:rFonts w:cs="David" w:hint="eastAsia"/>
          <w:rtl/>
        </w:rPr>
        <w:t>לוי</w:t>
      </w:r>
      <w:r>
        <w:rPr>
          <w:rFonts w:cs="David" w:hint="cs"/>
          <w:rtl/>
        </w:rPr>
        <w:t xml:space="preserve"> </w:t>
      </w:r>
      <w:r w:rsidRPr="00095F75">
        <w:rPr>
          <w:rFonts w:cs="David"/>
          <w:rtl/>
        </w:rPr>
        <w:t>(</w:t>
      </w:r>
      <w:r w:rsidRPr="00095F75">
        <w:rPr>
          <w:rFonts w:cs="David" w:hint="eastAsia"/>
          <w:rtl/>
        </w:rPr>
        <w:t>אגף</w:t>
      </w:r>
      <w:r w:rsidRPr="00095F75">
        <w:rPr>
          <w:rFonts w:cs="David"/>
          <w:rtl/>
        </w:rPr>
        <w:t xml:space="preserve"> </w:t>
      </w:r>
      <w:r w:rsidRPr="00095F75">
        <w:rPr>
          <w:rFonts w:cs="David" w:hint="eastAsia"/>
          <w:rtl/>
        </w:rPr>
        <w:t>רכש</w:t>
      </w:r>
      <w:r w:rsidRPr="00095F75">
        <w:rPr>
          <w:rFonts w:cs="David"/>
          <w:rtl/>
        </w:rPr>
        <w:t xml:space="preserve">, </w:t>
      </w:r>
      <w:r w:rsidRPr="00095F75">
        <w:rPr>
          <w:rFonts w:cs="David" w:hint="eastAsia"/>
          <w:rtl/>
        </w:rPr>
        <w:t>נכסים</w:t>
      </w:r>
      <w:r w:rsidRPr="00095F75">
        <w:rPr>
          <w:rFonts w:cs="David"/>
          <w:rtl/>
        </w:rPr>
        <w:t xml:space="preserve"> </w:t>
      </w:r>
      <w:r w:rsidRPr="00095F75">
        <w:rPr>
          <w:rFonts w:cs="David" w:hint="eastAsia"/>
          <w:rtl/>
        </w:rPr>
        <w:t>ולוגיסטיקה</w:t>
      </w:r>
      <w:r>
        <w:rPr>
          <w:rFonts w:cs="David" w:hint="cs"/>
          <w:rtl/>
        </w:rPr>
        <w:t xml:space="preserve"> במשרד</w:t>
      </w:r>
      <w:r w:rsidRPr="00095F75">
        <w:rPr>
          <w:rFonts w:cs="David"/>
          <w:rtl/>
        </w:rPr>
        <w:t xml:space="preserve">), </w:t>
      </w:r>
      <w:r w:rsidRPr="00095F75">
        <w:rPr>
          <w:rFonts w:cs="David" w:hint="eastAsia"/>
          <w:rtl/>
        </w:rPr>
        <w:t>אמר</w:t>
      </w:r>
      <w:r w:rsidRPr="00095F75">
        <w:rPr>
          <w:rFonts w:cs="David"/>
          <w:rtl/>
        </w:rPr>
        <w:t xml:space="preserve"> </w:t>
      </w:r>
      <w:r w:rsidRPr="00095F75">
        <w:rPr>
          <w:rFonts w:cs="David" w:hint="eastAsia"/>
          <w:rtl/>
        </w:rPr>
        <w:t>בדיון</w:t>
      </w:r>
      <w:r w:rsidRPr="00095F75">
        <w:rPr>
          <w:rFonts w:cs="David"/>
          <w:rtl/>
        </w:rPr>
        <w:t xml:space="preserve"> </w:t>
      </w:r>
      <w:r w:rsidRPr="00095F75">
        <w:rPr>
          <w:rFonts w:cs="David" w:hint="eastAsia"/>
          <w:rtl/>
        </w:rPr>
        <w:t>כי</w:t>
      </w:r>
      <w:r w:rsidRPr="00FB7C10">
        <w:rPr>
          <w:rFonts w:cs="David" w:hint="cs"/>
          <w:b/>
          <w:bCs/>
          <w:rtl/>
        </w:rPr>
        <w:t xml:space="preserve"> </w:t>
      </w:r>
      <w:r w:rsidRPr="00FA421B">
        <w:rPr>
          <w:rFonts w:cs="David" w:hint="cs"/>
          <w:rtl/>
        </w:rPr>
        <w:t xml:space="preserve">באמצעות </w:t>
      </w:r>
      <w:r>
        <w:rPr>
          <w:rFonts w:cs="David" w:hint="cs"/>
          <w:rtl/>
        </w:rPr>
        <w:t>מערכת "</w:t>
      </w:r>
      <w:r w:rsidRPr="00FA421B">
        <w:rPr>
          <w:rFonts w:cs="David" w:hint="cs"/>
          <w:rtl/>
        </w:rPr>
        <w:t>מנוף</w:t>
      </w:r>
      <w:r>
        <w:rPr>
          <w:rFonts w:cs="David" w:hint="cs"/>
          <w:rtl/>
        </w:rPr>
        <w:t>", פורסמו</w:t>
      </w:r>
      <w:r w:rsidRPr="00FA421B">
        <w:rPr>
          <w:rFonts w:cs="David" w:hint="cs"/>
          <w:rtl/>
        </w:rPr>
        <w:t xml:space="preserve"> בשנת 2015 </w:t>
      </w:r>
      <w:r>
        <w:rPr>
          <w:rFonts w:cs="David" w:hint="cs"/>
          <w:rtl/>
        </w:rPr>
        <w:t>(</w:t>
      </w:r>
      <w:r w:rsidRPr="00FA421B">
        <w:rPr>
          <w:rFonts w:cs="David" w:hint="cs"/>
          <w:rtl/>
        </w:rPr>
        <w:t xml:space="preserve">עד אמצע </w:t>
      </w:r>
      <w:r>
        <w:rPr>
          <w:rFonts w:cs="David" w:hint="cs"/>
          <w:rtl/>
        </w:rPr>
        <w:t xml:space="preserve">חודש </w:t>
      </w:r>
      <w:r w:rsidRPr="00FA421B">
        <w:rPr>
          <w:rFonts w:cs="David" w:hint="cs"/>
          <w:rtl/>
        </w:rPr>
        <w:t>נובמבר</w:t>
      </w:r>
      <w:r>
        <w:rPr>
          <w:rFonts w:cs="David" w:hint="cs"/>
          <w:rtl/>
        </w:rPr>
        <w:t>),</w:t>
      </w:r>
      <w:r w:rsidRPr="00FA421B">
        <w:rPr>
          <w:rFonts w:cs="David" w:hint="cs"/>
          <w:rtl/>
        </w:rPr>
        <w:t xml:space="preserve"> 470 התקשרויות בפטור ממכרז </w:t>
      </w:r>
      <w:r>
        <w:rPr>
          <w:rFonts w:cs="David" w:hint="cs"/>
          <w:rtl/>
        </w:rPr>
        <w:t xml:space="preserve">או לפי </w:t>
      </w:r>
      <w:r w:rsidRPr="00FA421B">
        <w:rPr>
          <w:rFonts w:cs="David" w:hint="cs"/>
          <w:rtl/>
        </w:rPr>
        <w:t>מכרז,  אך אמר ש</w:t>
      </w:r>
      <w:r>
        <w:rPr>
          <w:rFonts w:cs="David" w:hint="cs"/>
          <w:rtl/>
        </w:rPr>
        <w:t>ה</w:t>
      </w:r>
      <w:r w:rsidRPr="00FA421B">
        <w:rPr>
          <w:rFonts w:cs="David" w:hint="cs"/>
          <w:rtl/>
        </w:rPr>
        <w:t xml:space="preserve">מערכת לא דורשת פרסום </w:t>
      </w:r>
      <w:r>
        <w:rPr>
          <w:rFonts w:cs="David" w:hint="cs"/>
          <w:rtl/>
        </w:rPr>
        <w:t xml:space="preserve">של </w:t>
      </w:r>
      <w:r w:rsidRPr="00FA421B">
        <w:rPr>
          <w:rFonts w:cs="David" w:hint="cs"/>
          <w:rtl/>
        </w:rPr>
        <w:t>כל החוזה. לכן, יש קושי ופער לעומת החלטת הממשלה 1116 הדורשת פרסום כל החוזה</w:t>
      </w:r>
      <w:r>
        <w:rPr>
          <w:rFonts w:cs="David" w:hint="cs"/>
          <w:rtl/>
        </w:rPr>
        <w:t>, שכן</w:t>
      </w:r>
      <w:r w:rsidRPr="00FA421B">
        <w:rPr>
          <w:rFonts w:cs="David" w:hint="cs"/>
          <w:rtl/>
        </w:rPr>
        <w:t xml:space="preserve"> יש </w:t>
      </w:r>
      <w:r>
        <w:rPr>
          <w:rFonts w:cs="David" w:hint="cs"/>
          <w:rtl/>
        </w:rPr>
        <w:t>צורך ב</w:t>
      </w:r>
      <w:r w:rsidRPr="00FA421B">
        <w:rPr>
          <w:rFonts w:cs="David" w:hint="cs"/>
          <w:rtl/>
        </w:rPr>
        <w:t>תקנים ו</w:t>
      </w:r>
      <w:r>
        <w:rPr>
          <w:rFonts w:cs="David" w:hint="cs"/>
          <w:rtl/>
        </w:rPr>
        <w:t>בהקצאת</w:t>
      </w:r>
      <w:r w:rsidRPr="00FA421B">
        <w:rPr>
          <w:rFonts w:cs="David" w:hint="cs"/>
          <w:rtl/>
        </w:rPr>
        <w:t xml:space="preserve"> כ</w:t>
      </w:r>
      <w:r>
        <w:rPr>
          <w:rFonts w:cs="David" w:hint="cs"/>
          <w:rtl/>
        </w:rPr>
        <w:t>ו</w:t>
      </w:r>
      <w:r w:rsidRPr="00FA421B">
        <w:rPr>
          <w:rFonts w:cs="David" w:hint="cs"/>
          <w:rtl/>
        </w:rPr>
        <w:t xml:space="preserve">ח אדם. </w:t>
      </w:r>
      <w:r>
        <w:rPr>
          <w:rFonts w:cs="David" w:hint="cs"/>
          <w:rtl/>
        </w:rPr>
        <w:t xml:space="preserve">עוד אמר כי </w:t>
      </w:r>
      <w:r w:rsidRPr="00FA421B">
        <w:rPr>
          <w:rFonts w:cs="David" w:hint="cs"/>
          <w:rtl/>
        </w:rPr>
        <w:t>סודות מסחריים מונעים פרסום</w:t>
      </w:r>
      <w:r>
        <w:rPr>
          <w:rFonts w:cs="David" w:hint="cs"/>
          <w:rtl/>
        </w:rPr>
        <w:t>,</w:t>
      </w:r>
      <w:r w:rsidRPr="00FA421B">
        <w:rPr>
          <w:rFonts w:cs="David" w:hint="cs"/>
          <w:rtl/>
        </w:rPr>
        <w:t xml:space="preserve"> </w:t>
      </w:r>
      <w:r>
        <w:rPr>
          <w:rFonts w:cs="David" w:hint="cs"/>
          <w:rtl/>
        </w:rPr>
        <w:t>שכן הדבר</w:t>
      </w:r>
      <w:r w:rsidRPr="00FA421B">
        <w:rPr>
          <w:rFonts w:cs="David" w:hint="cs"/>
          <w:rtl/>
        </w:rPr>
        <w:t xml:space="preserve"> </w:t>
      </w:r>
      <w:r>
        <w:rPr>
          <w:rFonts w:cs="David" w:hint="cs"/>
          <w:rtl/>
        </w:rPr>
        <w:t xml:space="preserve">עלול </w:t>
      </w:r>
      <w:r w:rsidRPr="00FA421B">
        <w:rPr>
          <w:rFonts w:cs="David" w:hint="cs"/>
          <w:rtl/>
        </w:rPr>
        <w:t>לפגוע ביכולת של הממשלה</w:t>
      </w:r>
      <w:r>
        <w:rPr>
          <w:rFonts w:cs="David" w:hint="cs"/>
          <w:rtl/>
        </w:rPr>
        <w:t xml:space="preserve"> לנהל משא ומתן אפקטיבי (</w:t>
      </w:r>
      <w:r w:rsidRPr="00FA421B">
        <w:rPr>
          <w:rFonts w:cs="David" w:hint="cs"/>
          <w:rtl/>
        </w:rPr>
        <w:t>נתן דוגמא של רכישת חיסוני הפוליו במחיר נמוך שפרסומו היה פוגע ברכש</w:t>
      </w:r>
      <w:r>
        <w:rPr>
          <w:rFonts w:cs="David" w:hint="cs"/>
          <w:rtl/>
        </w:rPr>
        <w:t>)</w:t>
      </w:r>
      <w:r w:rsidRPr="00FA421B">
        <w:rPr>
          <w:rFonts w:cs="David" w:hint="cs"/>
          <w:rtl/>
        </w:rPr>
        <w:t xml:space="preserve">. </w:t>
      </w:r>
    </w:p>
    <w:p w14:paraId="662391CD" w14:textId="77777777" w:rsidR="00CE608E" w:rsidRPr="00FA421B" w:rsidRDefault="00CE608E" w:rsidP="00CE608E">
      <w:pPr>
        <w:rPr>
          <w:rFonts w:cs="David"/>
          <w:b/>
          <w:bCs/>
          <w:u w:val="single"/>
          <w:rtl/>
        </w:rPr>
      </w:pPr>
    </w:p>
    <w:p w14:paraId="7D9D40E2" w14:textId="77777777" w:rsidR="00CE608E" w:rsidRPr="00FA421B" w:rsidRDefault="00CE608E" w:rsidP="00CE608E">
      <w:pPr>
        <w:rPr>
          <w:rFonts w:cs="David"/>
          <w:rtl/>
        </w:rPr>
      </w:pPr>
      <w:r w:rsidRPr="00095F75">
        <w:rPr>
          <w:rFonts w:cs="David" w:hint="eastAsia"/>
          <w:rtl/>
        </w:rPr>
        <w:t>נציגת</w:t>
      </w:r>
      <w:r w:rsidRPr="00095F75">
        <w:rPr>
          <w:rFonts w:cs="David"/>
          <w:rtl/>
        </w:rPr>
        <w:t xml:space="preserve"> </w:t>
      </w:r>
      <w:r w:rsidRPr="00095F75">
        <w:rPr>
          <w:rFonts w:cs="David" w:hint="eastAsia"/>
          <w:rtl/>
        </w:rPr>
        <w:t>משרד</w:t>
      </w:r>
      <w:r w:rsidRPr="00095F75">
        <w:rPr>
          <w:rFonts w:cs="David"/>
          <w:rtl/>
        </w:rPr>
        <w:t xml:space="preserve"> הרווחה והשירותים החברתיים, עו"ד </w:t>
      </w:r>
      <w:r w:rsidRPr="00095F75">
        <w:rPr>
          <w:rFonts w:cs="David" w:hint="eastAsia"/>
          <w:rtl/>
        </w:rPr>
        <w:t>ליהיא</w:t>
      </w:r>
      <w:r w:rsidRPr="00095F75">
        <w:rPr>
          <w:rFonts w:cs="David"/>
          <w:rtl/>
        </w:rPr>
        <w:t xml:space="preserve"> שטרן</w:t>
      </w:r>
      <w:r>
        <w:rPr>
          <w:rFonts w:cs="David" w:hint="cs"/>
          <w:rtl/>
        </w:rPr>
        <w:t>-</w:t>
      </w:r>
      <w:r w:rsidRPr="00095F75">
        <w:rPr>
          <w:rFonts w:cs="David" w:hint="eastAsia"/>
          <w:rtl/>
        </w:rPr>
        <w:t>פיליפסון</w:t>
      </w:r>
      <w:r w:rsidRPr="00FB7C10">
        <w:rPr>
          <w:rFonts w:cs="David" w:hint="cs"/>
          <w:rtl/>
        </w:rPr>
        <w:t xml:space="preserve">, </w:t>
      </w:r>
      <w:r w:rsidRPr="00FA421B">
        <w:rPr>
          <w:rFonts w:cs="David" w:hint="cs"/>
          <w:rtl/>
        </w:rPr>
        <w:t xml:space="preserve">מסרה </w:t>
      </w:r>
      <w:r>
        <w:rPr>
          <w:rFonts w:cs="David" w:hint="cs"/>
          <w:rtl/>
        </w:rPr>
        <w:t xml:space="preserve">בדיון </w:t>
      </w:r>
      <w:r w:rsidRPr="00FA421B">
        <w:rPr>
          <w:rFonts w:cs="David" w:hint="cs"/>
          <w:rtl/>
        </w:rPr>
        <w:t xml:space="preserve">נתונים על התקשרויות </w:t>
      </w:r>
      <w:r>
        <w:rPr>
          <w:rFonts w:cs="David" w:hint="cs"/>
          <w:rtl/>
        </w:rPr>
        <w:t xml:space="preserve">שערך המשרד: </w:t>
      </w:r>
      <w:r w:rsidRPr="00FA421B">
        <w:rPr>
          <w:rFonts w:cs="David" w:hint="cs"/>
          <w:rtl/>
        </w:rPr>
        <w:t>בשנת 2014</w:t>
      </w:r>
      <w:r>
        <w:rPr>
          <w:rFonts w:cs="David" w:hint="cs"/>
          <w:rtl/>
        </w:rPr>
        <w:t xml:space="preserve"> </w:t>
      </w:r>
      <w:r>
        <w:rPr>
          <w:rFonts w:cs="David" w:hint="eastAsia"/>
        </w:rPr>
        <w:t>–</w:t>
      </w:r>
      <w:r w:rsidRPr="00FA421B">
        <w:rPr>
          <w:rFonts w:cs="David" w:hint="cs"/>
          <w:rtl/>
        </w:rPr>
        <w:t xml:space="preserve"> 1,200 התקשרויות</w:t>
      </w:r>
      <w:r>
        <w:rPr>
          <w:rFonts w:cs="David" w:hint="cs"/>
          <w:rtl/>
        </w:rPr>
        <w:t>, ו</w:t>
      </w:r>
      <w:r w:rsidRPr="00FA421B">
        <w:rPr>
          <w:rFonts w:cs="David" w:hint="cs"/>
          <w:rtl/>
        </w:rPr>
        <w:t xml:space="preserve">בשנת 2015 </w:t>
      </w:r>
      <w:r w:rsidRPr="00FA421B">
        <w:rPr>
          <w:rFonts w:cs="David"/>
          <w:rtl/>
        </w:rPr>
        <w:t>–</w:t>
      </w:r>
      <w:r w:rsidRPr="00FA421B">
        <w:rPr>
          <w:rFonts w:cs="David" w:hint="cs"/>
          <w:rtl/>
        </w:rPr>
        <w:t xml:space="preserve"> 1511 התקשרויות.</w:t>
      </w:r>
    </w:p>
    <w:p w14:paraId="14CF0F05" w14:textId="77777777" w:rsidR="00CE608E" w:rsidRPr="00FA421B" w:rsidRDefault="00CE608E" w:rsidP="00CE608E">
      <w:pPr>
        <w:rPr>
          <w:rFonts w:cs="David"/>
          <w:rtl/>
        </w:rPr>
      </w:pPr>
    </w:p>
    <w:p w14:paraId="66800277" w14:textId="77777777" w:rsidR="00CE608E" w:rsidRPr="00FA421B" w:rsidRDefault="00CE608E" w:rsidP="00CE608E">
      <w:pPr>
        <w:rPr>
          <w:rFonts w:cs="David"/>
          <w:rtl/>
        </w:rPr>
      </w:pPr>
      <w:r w:rsidRPr="00095F75">
        <w:rPr>
          <w:rFonts w:cs="David" w:hint="eastAsia"/>
          <w:rtl/>
        </w:rPr>
        <w:t>נציג</w:t>
      </w:r>
      <w:r w:rsidRPr="00095F75">
        <w:rPr>
          <w:rFonts w:cs="David"/>
          <w:rtl/>
        </w:rPr>
        <w:t xml:space="preserve"> </w:t>
      </w:r>
      <w:r w:rsidRPr="00095F75">
        <w:rPr>
          <w:rFonts w:cs="David" w:hint="eastAsia"/>
          <w:rtl/>
        </w:rPr>
        <w:t>משרד</w:t>
      </w:r>
      <w:r w:rsidRPr="00095F75">
        <w:rPr>
          <w:rFonts w:cs="David"/>
          <w:rtl/>
        </w:rPr>
        <w:t xml:space="preserve"> התשתיות הלאומיות האנרגיה והמים, עו"ד יאיר אריאלי</w:t>
      </w:r>
      <w:r>
        <w:rPr>
          <w:rFonts w:cs="David" w:hint="cs"/>
          <w:rtl/>
        </w:rPr>
        <w:t>,</w:t>
      </w:r>
      <w:r w:rsidRPr="00095F75">
        <w:rPr>
          <w:rFonts w:cs="David"/>
          <w:rtl/>
        </w:rPr>
        <w:t xml:space="preserve"> </w:t>
      </w:r>
      <w:r w:rsidRPr="00095F75">
        <w:rPr>
          <w:rFonts w:cs="David" w:hint="eastAsia"/>
          <w:rtl/>
        </w:rPr>
        <w:t>אמר</w:t>
      </w:r>
      <w:r w:rsidRPr="00095F75">
        <w:rPr>
          <w:rFonts w:cs="David"/>
          <w:rtl/>
        </w:rPr>
        <w:t xml:space="preserve"> </w:t>
      </w:r>
      <w:r w:rsidRPr="00095F75">
        <w:rPr>
          <w:rFonts w:cs="David" w:hint="eastAsia"/>
          <w:rtl/>
        </w:rPr>
        <w:t>בדיון</w:t>
      </w:r>
      <w:r w:rsidRPr="00095F75">
        <w:rPr>
          <w:rFonts w:cs="David"/>
          <w:rtl/>
        </w:rPr>
        <w:t xml:space="preserve"> </w:t>
      </w:r>
      <w:r w:rsidRPr="00095F75">
        <w:rPr>
          <w:rFonts w:cs="David" w:hint="eastAsia"/>
          <w:rtl/>
        </w:rPr>
        <w:t>כי</w:t>
      </w:r>
      <w:r w:rsidRPr="00FB7C10">
        <w:rPr>
          <w:rFonts w:cs="David" w:hint="cs"/>
          <w:b/>
          <w:bCs/>
          <w:rtl/>
        </w:rPr>
        <w:t xml:space="preserve">  </w:t>
      </w:r>
      <w:r w:rsidRPr="00FA421B">
        <w:rPr>
          <w:rFonts w:cs="David" w:hint="cs"/>
          <w:rtl/>
        </w:rPr>
        <w:t xml:space="preserve">המשרד מיישם </w:t>
      </w:r>
      <w:r>
        <w:rPr>
          <w:rFonts w:cs="David" w:hint="cs"/>
          <w:rtl/>
        </w:rPr>
        <w:t xml:space="preserve">את </w:t>
      </w:r>
      <w:r w:rsidRPr="00FA421B">
        <w:rPr>
          <w:rFonts w:cs="David" w:hint="cs"/>
          <w:rtl/>
        </w:rPr>
        <w:t>החלטת הממשלה 1116 מפרסם עשרות רישיונות פרסום עסקת ל</w:t>
      </w:r>
      <w:r>
        <w:rPr>
          <w:rFonts w:cs="David" w:hint="cs"/>
          <w:rtl/>
        </w:rPr>
        <w:t>ו</w:t>
      </w:r>
      <w:r w:rsidRPr="00FA421B">
        <w:rPr>
          <w:rFonts w:cs="David" w:hint="cs"/>
          <w:rtl/>
        </w:rPr>
        <w:t>ויתן, גז טבעי בחו"ל</w:t>
      </w:r>
      <w:r>
        <w:rPr>
          <w:rFonts w:cs="David" w:hint="cs"/>
          <w:rtl/>
        </w:rPr>
        <w:t xml:space="preserve"> וכי</w:t>
      </w:r>
      <w:r w:rsidRPr="00FA421B">
        <w:rPr>
          <w:rFonts w:cs="David" w:hint="cs"/>
          <w:rtl/>
        </w:rPr>
        <w:t xml:space="preserve"> יוצב קישור שיפנה למסמכים. במקרים מסוימים יש צורך לפנות לגוף הפרטי ולשאול איזה פרטים מסחריים הוא סבור שצריך לחסות. למשל, בכרייה וחציבה. בתחום הגז ונפט פורסם רישיון אחד. </w:t>
      </w:r>
    </w:p>
    <w:p w14:paraId="57EB6C4A" w14:textId="77777777" w:rsidR="00CE608E" w:rsidRPr="00FA421B" w:rsidRDefault="00CE608E" w:rsidP="00CE608E">
      <w:pPr>
        <w:rPr>
          <w:rFonts w:cs="David"/>
          <w:b/>
          <w:bCs/>
          <w:u w:val="single"/>
          <w:rtl/>
        </w:rPr>
      </w:pPr>
      <w:r w:rsidRPr="00095F75">
        <w:rPr>
          <w:rFonts w:cs="David" w:hint="eastAsia"/>
          <w:rtl/>
        </w:rPr>
        <w:t>נציג</w:t>
      </w:r>
      <w:r w:rsidRPr="00095F75">
        <w:rPr>
          <w:rFonts w:cs="David"/>
          <w:rtl/>
        </w:rPr>
        <w:t xml:space="preserve"> </w:t>
      </w:r>
      <w:r w:rsidRPr="00095F75">
        <w:rPr>
          <w:rFonts w:cs="David" w:hint="eastAsia"/>
          <w:rtl/>
        </w:rPr>
        <w:t>משרד</w:t>
      </w:r>
      <w:r w:rsidRPr="00095F75">
        <w:rPr>
          <w:rFonts w:cs="David"/>
          <w:rtl/>
        </w:rPr>
        <w:t xml:space="preserve"> החינוך, יונתן </w:t>
      </w:r>
      <w:r w:rsidRPr="00095F75">
        <w:rPr>
          <w:rFonts w:cs="David" w:hint="eastAsia"/>
          <w:rtl/>
        </w:rPr>
        <w:t>פינצ</w:t>
      </w:r>
      <w:r w:rsidRPr="00095F75">
        <w:rPr>
          <w:rFonts w:cs="David"/>
          <w:rtl/>
        </w:rPr>
        <w:t>'ב (</w:t>
      </w:r>
      <w:r w:rsidRPr="00095F75">
        <w:rPr>
          <w:rFonts w:cs="David" w:hint="eastAsia"/>
          <w:rtl/>
        </w:rPr>
        <w:t>מרכז</w:t>
      </w:r>
      <w:r w:rsidRPr="00095F75">
        <w:rPr>
          <w:rFonts w:cs="David"/>
          <w:rtl/>
        </w:rPr>
        <w:t xml:space="preserve"> </w:t>
      </w:r>
      <w:r w:rsidRPr="00095F75">
        <w:rPr>
          <w:rFonts w:cs="David" w:hint="eastAsia"/>
          <w:rtl/>
        </w:rPr>
        <w:t>נושאי</w:t>
      </w:r>
      <w:r w:rsidRPr="00095F75">
        <w:rPr>
          <w:rFonts w:cs="David"/>
          <w:rtl/>
        </w:rPr>
        <w:t xml:space="preserve"> </w:t>
      </w:r>
      <w:r w:rsidRPr="00095F75">
        <w:rPr>
          <w:rFonts w:cs="David" w:hint="eastAsia"/>
          <w:rtl/>
        </w:rPr>
        <w:t>משפט</w:t>
      </w:r>
      <w:r w:rsidRPr="00095F75">
        <w:rPr>
          <w:rFonts w:cs="David"/>
          <w:rtl/>
        </w:rPr>
        <w:t xml:space="preserve"> </w:t>
      </w:r>
      <w:r w:rsidRPr="00095F75">
        <w:rPr>
          <w:rFonts w:cs="David" w:hint="eastAsia"/>
          <w:rtl/>
        </w:rPr>
        <w:t>וטכנולוגיה</w:t>
      </w:r>
      <w:r w:rsidRPr="00095F75">
        <w:rPr>
          <w:rFonts w:cs="David"/>
          <w:rtl/>
        </w:rPr>
        <w:t xml:space="preserve">), </w:t>
      </w:r>
      <w:r w:rsidRPr="00095F75">
        <w:rPr>
          <w:rFonts w:cs="David" w:hint="eastAsia"/>
          <w:rtl/>
        </w:rPr>
        <w:t>אמר</w:t>
      </w:r>
      <w:r w:rsidRPr="00095F75">
        <w:rPr>
          <w:rFonts w:cs="David"/>
          <w:rtl/>
        </w:rPr>
        <w:t xml:space="preserve"> </w:t>
      </w:r>
      <w:r w:rsidRPr="00095F75">
        <w:rPr>
          <w:rFonts w:cs="David" w:hint="eastAsia"/>
          <w:rtl/>
        </w:rPr>
        <w:t>בדיון</w:t>
      </w:r>
      <w:r w:rsidRPr="00095F75">
        <w:rPr>
          <w:rFonts w:cs="David"/>
          <w:rtl/>
        </w:rPr>
        <w:t xml:space="preserve"> </w:t>
      </w:r>
      <w:r w:rsidRPr="00095F75">
        <w:rPr>
          <w:rFonts w:cs="David" w:hint="eastAsia"/>
          <w:rtl/>
        </w:rPr>
        <w:t>כי</w:t>
      </w:r>
      <w:r w:rsidRPr="00095F75">
        <w:rPr>
          <w:rFonts w:cs="David"/>
          <w:rtl/>
        </w:rPr>
        <w:t xml:space="preserve"> </w:t>
      </w:r>
      <w:r w:rsidRPr="00095F75">
        <w:rPr>
          <w:rFonts w:cs="David" w:hint="eastAsia"/>
          <w:rtl/>
        </w:rPr>
        <w:t>המשרד</w:t>
      </w:r>
      <w:r w:rsidRPr="00FA421B">
        <w:rPr>
          <w:rFonts w:cs="David" w:hint="cs"/>
          <w:rtl/>
        </w:rPr>
        <w:t xml:space="preserve"> מרחיב את החלטת הממשלה 1116, </w:t>
      </w:r>
      <w:r>
        <w:rPr>
          <w:rFonts w:cs="David" w:hint="cs"/>
          <w:rtl/>
        </w:rPr>
        <w:t xml:space="preserve">שכן הוחלט </w:t>
      </w:r>
      <w:r w:rsidRPr="00FA421B">
        <w:rPr>
          <w:rFonts w:cs="David" w:hint="cs"/>
          <w:rtl/>
        </w:rPr>
        <w:t xml:space="preserve"> להחיל </w:t>
      </w:r>
      <w:r>
        <w:rPr>
          <w:rFonts w:cs="David" w:hint="cs"/>
          <w:rtl/>
        </w:rPr>
        <w:t xml:space="preserve">את חובת הפרסום </w:t>
      </w:r>
      <w:r w:rsidRPr="00FA421B">
        <w:rPr>
          <w:rFonts w:cs="David" w:hint="cs"/>
          <w:rtl/>
        </w:rPr>
        <w:t xml:space="preserve">על  כל התקשרות עם גופים חיצוניים. </w:t>
      </w:r>
    </w:p>
    <w:p w14:paraId="7DA643A5" w14:textId="77777777" w:rsidR="00CE608E" w:rsidRPr="00FA421B" w:rsidRDefault="00CE608E" w:rsidP="00CE608E">
      <w:pPr>
        <w:rPr>
          <w:rFonts w:cs="David"/>
          <w:rtl/>
        </w:rPr>
      </w:pPr>
      <w:r w:rsidRPr="00095F75">
        <w:rPr>
          <w:rFonts w:cs="David" w:hint="eastAsia"/>
          <w:rtl/>
        </w:rPr>
        <w:t>נציגת</w:t>
      </w:r>
      <w:r w:rsidRPr="00095F75">
        <w:rPr>
          <w:rFonts w:cs="David"/>
          <w:rtl/>
        </w:rPr>
        <w:t xml:space="preserve"> </w:t>
      </w:r>
      <w:r w:rsidRPr="00095F75">
        <w:rPr>
          <w:rFonts w:cs="David" w:hint="eastAsia"/>
          <w:rtl/>
        </w:rPr>
        <w:t>משרד</w:t>
      </w:r>
      <w:r w:rsidRPr="00095F75">
        <w:rPr>
          <w:rFonts w:cs="David"/>
          <w:rtl/>
        </w:rPr>
        <w:t xml:space="preserve"> הבינוי</w:t>
      </w:r>
      <w:r>
        <w:rPr>
          <w:rFonts w:cs="David" w:hint="cs"/>
          <w:rtl/>
        </w:rPr>
        <w:t xml:space="preserve"> והשיכון</w:t>
      </w:r>
      <w:r w:rsidRPr="00095F75">
        <w:rPr>
          <w:rFonts w:cs="David"/>
          <w:rtl/>
        </w:rPr>
        <w:t xml:space="preserve">, ליאת חנקין, </w:t>
      </w:r>
      <w:r w:rsidRPr="00095F75">
        <w:rPr>
          <w:rFonts w:cs="David" w:hint="eastAsia"/>
          <w:rtl/>
        </w:rPr>
        <w:t>אמרה</w:t>
      </w:r>
      <w:r w:rsidRPr="00095F75">
        <w:rPr>
          <w:rFonts w:cs="David"/>
          <w:rtl/>
        </w:rPr>
        <w:t xml:space="preserve"> </w:t>
      </w:r>
      <w:r w:rsidRPr="00095F75">
        <w:rPr>
          <w:rFonts w:cs="David" w:hint="eastAsia"/>
          <w:rtl/>
        </w:rPr>
        <w:t>בדיון</w:t>
      </w:r>
      <w:r w:rsidRPr="00095F75">
        <w:rPr>
          <w:rFonts w:cs="David"/>
          <w:rtl/>
        </w:rPr>
        <w:t xml:space="preserve"> </w:t>
      </w:r>
      <w:r w:rsidRPr="00095F75">
        <w:rPr>
          <w:rFonts w:cs="David" w:hint="eastAsia"/>
          <w:rtl/>
        </w:rPr>
        <w:t>כי</w:t>
      </w:r>
      <w:r w:rsidRPr="00095F75">
        <w:rPr>
          <w:rFonts w:cs="David"/>
          <w:rtl/>
        </w:rPr>
        <w:t xml:space="preserve"> </w:t>
      </w:r>
      <w:r w:rsidRPr="00095F75">
        <w:rPr>
          <w:rFonts w:cs="David" w:hint="eastAsia"/>
          <w:rtl/>
        </w:rPr>
        <w:t>המשרד</w:t>
      </w:r>
      <w:r w:rsidRPr="00FB7C10">
        <w:rPr>
          <w:rFonts w:cs="David" w:hint="cs"/>
          <w:b/>
          <w:bCs/>
          <w:rtl/>
        </w:rPr>
        <w:t xml:space="preserve"> </w:t>
      </w:r>
      <w:r w:rsidRPr="00FA421B">
        <w:rPr>
          <w:rFonts w:cs="David" w:hint="cs"/>
          <w:rtl/>
        </w:rPr>
        <w:t>ערו</w:t>
      </w:r>
      <w:r>
        <w:rPr>
          <w:rFonts w:cs="David" w:hint="cs"/>
          <w:rtl/>
        </w:rPr>
        <w:t xml:space="preserve">ך </w:t>
      </w:r>
      <w:r w:rsidRPr="00FA421B">
        <w:rPr>
          <w:rFonts w:cs="David" w:hint="cs"/>
          <w:rtl/>
        </w:rPr>
        <w:t>לפרסם</w:t>
      </w:r>
      <w:r>
        <w:rPr>
          <w:rFonts w:cs="David" w:hint="cs"/>
          <w:rtl/>
        </w:rPr>
        <w:t xml:space="preserve"> את המידע, אך החלטת הממשלה לא חלה על רוב תחומי עיסוקו של המשרד, למעט תחום הדיור הציבורי.</w:t>
      </w:r>
      <w:r w:rsidRPr="00FA421B">
        <w:rPr>
          <w:rFonts w:cs="David" w:hint="cs"/>
          <w:rtl/>
        </w:rPr>
        <w:t xml:space="preserve"> </w:t>
      </w:r>
    </w:p>
    <w:p w14:paraId="6E7E1F4D" w14:textId="77777777" w:rsidR="00CE608E" w:rsidRPr="00A144E8" w:rsidRDefault="00CE608E" w:rsidP="00CE608E">
      <w:pPr>
        <w:rPr>
          <w:rFonts w:cs="David"/>
          <w:sz w:val="22"/>
          <w:szCs w:val="22"/>
          <w:rtl/>
        </w:rPr>
      </w:pPr>
    </w:p>
    <w:p w14:paraId="7783D1AB" w14:textId="77777777" w:rsidR="00CE608E" w:rsidRPr="00FA421B" w:rsidRDefault="00CE608E" w:rsidP="00CE608E">
      <w:pPr>
        <w:rPr>
          <w:rFonts w:cs="David"/>
          <w:rtl/>
        </w:rPr>
      </w:pPr>
      <w:r w:rsidRPr="00095F75">
        <w:rPr>
          <w:rFonts w:cs="David" w:hint="eastAsia"/>
          <w:rtl/>
        </w:rPr>
        <w:t>נציגת</w:t>
      </w:r>
      <w:r w:rsidRPr="00095F75">
        <w:rPr>
          <w:rFonts w:cs="David"/>
          <w:rtl/>
        </w:rPr>
        <w:t xml:space="preserve"> </w:t>
      </w:r>
      <w:r w:rsidRPr="00095F75">
        <w:rPr>
          <w:rFonts w:cs="David" w:hint="eastAsia"/>
          <w:rtl/>
        </w:rPr>
        <w:t>משרד</w:t>
      </w:r>
      <w:r w:rsidRPr="00095F75">
        <w:rPr>
          <w:rFonts w:cs="David"/>
          <w:rtl/>
        </w:rPr>
        <w:t xml:space="preserve"> </w:t>
      </w:r>
      <w:r w:rsidRPr="00095F75">
        <w:rPr>
          <w:rFonts w:cs="David" w:hint="eastAsia"/>
          <w:rtl/>
        </w:rPr>
        <w:t>התחבורה</w:t>
      </w:r>
      <w:r w:rsidRPr="00095F75">
        <w:rPr>
          <w:rFonts w:cs="David"/>
          <w:rtl/>
        </w:rPr>
        <w:t xml:space="preserve"> </w:t>
      </w:r>
      <w:r w:rsidRPr="00095F75">
        <w:rPr>
          <w:rFonts w:cs="David" w:hint="eastAsia"/>
          <w:rtl/>
        </w:rPr>
        <w:t>והבטיחות</w:t>
      </w:r>
      <w:r w:rsidRPr="00095F75">
        <w:rPr>
          <w:rFonts w:cs="David"/>
          <w:rtl/>
        </w:rPr>
        <w:t xml:space="preserve"> </w:t>
      </w:r>
      <w:r w:rsidRPr="00095F75">
        <w:rPr>
          <w:rFonts w:cs="David" w:hint="eastAsia"/>
          <w:rtl/>
        </w:rPr>
        <w:t>בדרכים</w:t>
      </w:r>
      <w:r w:rsidRPr="00095F75">
        <w:rPr>
          <w:rFonts w:cs="David"/>
          <w:rtl/>
        </w:rPr>
        <w:t>, אסתר אלבם אהוד (</w:t>
      </w:r>
      <w:r w:rsidRPr="00095F75">
        <w:rPr>
          <w:rFonts w:cs="David" w:hint="eastAsia"/>
          <w:rtl/>
        </w:rPr>
        <w:t>ממונה</w:t>
      </w:r>
      <w:r w:rsidRPr="00095F75">
        <w:rPr>
          <w:rFonts w:cs="David"/>
          <w:rtl/>
        </w:rPr>
        <w:t xml:space="preserve"> </w:t>
      </w:r>
      <w:r w:rsidRPr="00095F75">
        <w:rPr>
          <w:rFonts w:cs="David" w:hint="eastAsia"/>
          <w:rtl/>
        </w:rPr>
        <w:t>מכרזים</w:t>
      </w:r>
      <w:r w:rsidRPr="00095F75">
        <w:rPr>
          <w:rFonts w:cs="David"/>
          <w:rtl/>
        </w:rPr>
        <w:t xml:space="preserve"> </w:t>
      </w:r>
      <w:r w:rsidRPr="00095F75">
        <w:rPr>
          <w:rFonts w:cs="David" w:hint="eastAsia"/>
          <w:rtl/>
        </w:rPr>
        <w:t>והתקשרויות</w:t>
      </w:r>
      <w:r w:rsidRPr="00095F75">
        <w:rPr>
          <w:rFonts w:cs="David"/>
          <w:rtl/>
        </w:rPr>
        <w:t xml:space="preserve">), </w:t>
      </w:r>
      <w:r w:rsidRPr="00095F75">
        <w:rPr>
          <w:rFonts w:cs="David" w:hint="eastAsia"/>
          <w:rtl/>
        </w:rPr>
        <w:t>אמרה</w:t>
      </w:r>
      <w:r w:rsidRPr="00095F75">
        <w:rPr>
          <w:rFonts w:cs="David"/>
          <w:rtl/>
        </w:rPr>
        <w:t xml:space="preserve"> </w:t>
      </w:r>
      <w:r w:rsidRPr="00095F75">
        <w:rPr>
          <w:rFonts w:cs="David" w:hint="eastAsia"/>
          <w:rtl/>
        </w:rPr>
        <w:t>בדיון</w:t>
      </w:r>
      <w:r w:rsidRPr="00095F75">
        <w:rPr>
          <w:rFonts w:cs="David"/>
          <w:rtl/>
        </w:rPr>
        <w:t xml:space="preserve"> </w:t>
      </w:r>
      <w:r w:rsidRPr="00095F75">
        <w:rPr>
          <w:rFonts w:cs="David" w:hint="eastAsia"/>
          <w:rtl/>
        </w:rPr>
        <w:t>כי</w:t>
      </w:r>
      <w:r w:rsidRPr="00095F75">
        <w:rPr>
          <w:rFonts w:cs="David"/>
          <w:rtl/>
        </w:rPr>
        <w:t xml:space="preserve"> </w:t>
      </w:r>
      <w:r w:rsidRPr="00095F75">
        <w:rPr>
          <w:rFonts w:cs="David" w:hint="eastAsia"/>
          <w:rtl/>
        </w:rPr>
        <w:t>המשרד</w:t>
      </w:r>
      <w:r w:rsidRPr="00095F75">
        <w:rPr>
          <w:rFonts w:cs="David"/>
          <w:rtl/>
        </w:rPr>
        <w:t xml:space="preserve"> פנה</w:t>
      </w:r>
      <w:r w:rsidRPr="00FA421B">
        <w:rPr>
          <w:rFonts w:cs="David" w:hint="cs"/>
          <w:rtl/>
        </w:rPr>
        <w:t xml:space="preserve"> ליחידה לחופש המידע כדי לקבל חוות דעת</w:t>
      </w:r>
      <w:r>
        <w:rPr>
          <w:rFonts w:cs="David" w:hint="cs"/>
          <w:rtl/>
        </w:rPr>
        <w:t xml:space="preserve"> בדבר יישום ההחלטה</w:t>
      </w:r>
      <w:r w:rsidRPr="00FA421B">
        <w:rPr>
          <w:rFonts w:cs="David" w:hint="cs"/>
          <w:rtl/>
        </w:rPr>
        <w:t>, ונענ</w:t>
      </w:r>
      <w:r>
        <w:rPr>
          <w:rFonts w:cs="David" w:hint="cs"/>
          <w:rtl/>
        </w:rPr>
        <w:t>ה</w:t>
      </w:r>
      <w:r w:rsidRPr="00FA421B">
        <w:rPr>
          <w:rFonts w:cs="David" w:hint="cs"/>
          <w:rtl/>
        </w:rPr>
        <w:t xml:space="preserve"> </w:t>
      </w:r>
      <w:r>
        <w:rPr>
          <w:rFonts w:cs="David" w:hint="cs"/>
          <w:rtl/>
        </w:rPr>
        <w:t>כי עליו</w:t>
      </w:r>
      <w:r w:rsidRPr="00FA421B">
        <w:rPr>
          <w:rFonts w:cs="David" w:hint="cs"/>
          <w:rtl/>
        </w:rPr>
        <w:t xml:space="preserve"> לפרסם התקשרויות בנושא ייעוץ </w:t>
      </w:r>
      <w:r>
        <w:rPr>
          <w:rFonts w:cs="David" w:hint="cs"/>
          <w:rtl/>
        </w:rPr>
        <w:t xml:space="preserve">החל </w:t>
      </w:r>
      <w:r w:rsidRPr="00FA421B">
        <w:rPr>
          <w:rFonts w:cs="David" w:hint="cs"/>
          <w:rtl/>
        </w:rPr>
        <w:t>מ- 1.6.14.</w:t>
      </w:r>
    </w:p>
    <w:p w14:paraId="170F8156" w14:textId="77777777" w:rsidR="00CE608E" w:rsidRPr="00FA421B" w:rsidRDefault="00CE608E" w:rsidP="00CE608E">
      <w:pPr>
        <w:rPr>
          <w:rFonts w:cs="David"/>
          <w:rtl/>
        </w:rPr>
      </w:pPr>
    </w:p>
    <w:p w14:paraId="48E18F97" w14:textId="77777777" w:rsidR="00CE608E" w:rsidRDefault="00CE608E" w:rsidP="00CE608E">
      <w:pPr>
        <w:jc w:val="both"/>
        <w:rPr>
          <w:rFonts w:cs="David"/>
          <w:rtl/>
        </w:rPr>
      </w:pPr>
      <w:r w:rsidRPr="00FB7C10">
        <w:rPr>
          <w:rFonts w:cs="David" w:hint="cs"/>
          <w:rtl/>
        </w:rPr>
        <w:t xml:space="preserve">יו"ר הוועדה, ח"כ סתיו שפיר, אמרה, לסיכום הדיון, כי </w:t>
      </w:r>
      <w:r>
        <w:rPr>
          <w:rFonts w:cs="David" w:hint="cs"/>
          <w:rtl/>
        </w:rPr>
        <w:t xml:space="preserve">היא </w:t>
      </w:r>
      <w:r w:rsidRPr="00FA421B">
        <w:rPr>
          <w:rFonts w:cs="David" w:hint="cs"/>
          <w:rtl/>
        </w:rPr>
        <w:t xml:space="preserve">מברכת על העבודה החשובה שעושה היחידה הממשלתית לחופש המידע במשרד המשפטים, שעיקר החידוש בהחלטה הוא פרסום החוזה עצמו. </w:t>
      </w:r>
      <w:r>
        <w:rPr>
          <w:rFonts w:cs="David" w:hint="cs"/>
          <w:rtl/>
        </w:rPr>
        <w:t xml:space="preserve">לדבריה, </w:t>
      </w:r>
      <w:r w:rsidRPr="00FA421B">
        <w:rPr>
          <w:rFonts w:cs="David" w:hint="cs"/>
          <w:rtl/>
        </w:rPr>
        <w:t>אכן יש לפרסם התקשרויות מהותיות, אך יש לפנות ליועץ המשפטי לממשלה ולבקש את התערבותו בפניה למשרדים שלא מקיימים הנוהל ולחייבם לקיי</w:t>
      </w:r>
      <w:r>
        <w:rPr>
          <w:rFonts w:cs="David" w:hint="cs"/>
          <w:rtl/>
        </w:rPr>
        <w:t>מו</w:t>
      </w:r>
      <w:r w:rsidRPr="00FA421B">
        <w:rPr>
          <w:rFonts w:cs="David" w:hint="cs"/>
          <w:rtl/>
        </w:rPr>
        <w:t xml:space="preserve">. </w:t>
      </w:r>
    </w:p>
    <w:p w14:paraId="104E7B69" w14:textId="77777777" w:rsidR="00CE608E" w:rsidRPr="00FA421B" w:rsidRDefault="00CE608E" w:rsidP="00CE608E">
      <w:pPr>
        <w:jc w:val="both"/>
        <w:rPr>
          <w:rFonts w:cs="David"/>
          <w:rtl/>
        </w:rPr>
      </w:pPr>
      <w:r>
        <w:rPr>
          <w:rFonts w:cs="David" w:hint="cs"/>
          <w:rtl/>
        </w:rPr>
        <w:t xml:space="preserve">יו"ר הוועדה ביקשה </w:t>
      </w:r>
      <w:r w:rsidRPr="00FA421B">
        <w:rPr>
          <w:rFonts w:cs="David" w:hint="cs"/>
          <w:rtl/>
        </w:rPr>
        <w:t>לקבל ממשרדי</w:t>
      </w:r>
      <w:r>
        <w:rPr>
          <w:rFonts w:cs="David" w:hint="cs"/>
          <w:rtl/>
        </w:rPr>
        <w:t xml:space="preserve"> הממשלה</w:t>
      </w:r>
      <w:r w:rsidRPr="00FA421B">
        <w:rPr>
          <w:rFonts w:cs="David" w:hint="cs"/>
          <w:rtl/>
        </w:rPr>
        <w:t xml:space="preserve"> נתונים מספריים מדויקים </w:t>
      </w:r>
      <w:r>
        <w:rPr>
          <w:rFonts w:cs="David" w:hint="cs"/>
          <w:rtl/>
        </w:rPr>
        <w:t>ביחס למידע שפורסם, ובכלל זה פרטים לגבי</w:t>
      </w:r>
      <w:r w:rsidRPr="00FA421B">
        <w:rPr>
          <w:rFonts w:cs="David" w:hint="cs"/>
          <w:rtl/>
        </w:rPr>
        <w:t xml:space="preserve"> </w:t>
      </w:r>
      <w:r>
        <w:rPr>
          <w:rFonts w:cs="David" w:hint="cs"/>
          <w:rtl/>
        </w:rPr>
        <w:t>סדרי העדיפויות בפרסום</w:t>
      </w:r>
      <w:r w:rsidRPr="00FA421B">
        <w:rPr>
          <w:rFonts w:cs="David" w:hint="cs"/>
          <w:rtl/>
        </w:rPr>
        <w:t xml:space="preserve">, </w:t>
      </w:r>
      <w:r>
        <w:rPr>
          <w:rFonts w:cs="David" w:hint="cs"/>
          <w:rtl/>
        </w:rPr>
        <w:t>וכן את מספר ה</w:t>
      </w:r>
      <w:r w:rsidRPr="00FA421B">
        <w:rPr>
          <w:rFonts w:cs="David" w:hint="cs"/>
          <w:rtl/>
        </w:rPr>
        <w:t xml:space="preserve">התקשרויות </w:t>
      </w:r>
      <w:r>
        <w:rPr>
          <w:rFonts w:cs="David" w:hint="cs"/>
          <w:rtl/>
        </w:rPr>
        <w:t>ש</w:t>
      </w:r>
      <w:r w:rsidRPr="00FA421B">
        <w:rPr>
          <w:rFonts w:cs="David" w:hint="cs"/>
          <w:rtl/>
        </w:rPr>
        <w:t xml:space="preserve">נעשו בפטור ממכרז.  </w:t>
      </w:r>
      <w:r>
        <w:rPr>
          <w:rFonts w:cs="David" w:hint="cs"/>
          <w:rtl/>
        </w:rPr>
        <w:t xml:space="preserve">עוד ביקשה לקבל נתונים </w:t>
      </w:r>
      <w:r w:rsidRPr="00FA421B">
        <w:rPr>
          <w:rFonts w:cs="David" w:hint="cs"/>
          <w:rtl/>
        </w:rPr>
        <w:t xml:space="preserve">בנושא </w:t>
      </w:r>
      <w:r>
        <w:rPr>
          <w:rFonts w:cs="David" w:hint="cs"/>
          <w:rtl/>
        </w:rPr>
        <w:t xml:space="preserve">התקשרויות שעורכת הממשלה לקבלת שירותי </w:t>
      </w:r>
      <w:r w:rsidRPr="00FA421B">
        <w:rPr>
          <w:rFonts w:cs="David" w:hint="cs"/>
          <w:rtl/>
        </w:rPr>
        <w:t>ייעוץ ולובי</w:t>
      </w:r>
      <w:r>
        <w:rPr>
          <w:rFonts w:cs="David" w:hint="cs"/>
          <w:rtl/>
        </w:rPr>
        <w:t>נג</w:t>
      </w:r>
      <w:r w:rsidRPr="00FA421B">
        <w:rPr>
          <w:rFonts w:cs="David" w:hint="cs"/>
          <w:rtl/>
        </w:rPr>
        <w:t xml:space="preserve">, </w:t>
      </w:r>
      <w:r>
        <w:rPr>
          <w:rFonts w:cs="David" w:hint="cs"/>
          <w:rtl/>
        </w:rPr>
        <w:t>וכן לפרסם</w:t>
      </w:r>
      <w:r w:rsidRPr="00FA421B">
        <w:rPr>
          <w:rFonts w:cs="David" w:hint="cs"/>
          <w:rtl/>
        </w:rPr>
        <w:t xml:space="preserve"> רטרואקטיבית</w:t>
      </w:r>
      <w:r>
        <w:rPr>
          <w:rFonts w:cs="David" w:hint="cs"/>
          <w:rtl/>
        </w:rPr>
        <w:t xml:space="preserve"> את ההתקשרויות שנעשו לפני כניסתה לתוקף של החלטת הממשלה</w:t>
      </w:r>
      <w:r w:rsidRPr="00FA421B">
        <w:rPr>
          <w:rFonts w:cs="David" w:hint="cs"/>
          <w:rtl/>
        </w:rPr>
        <w:t xml:space="preserve">. </w:t>
      </w:r>
    </w:p>
    <w:p w14:paraId="2DE11FAC" w14:textId="77777777" w:rsidR="00CE608E" w:rsidRDefault="00CE608E" w:rsidP="00CE608E">
      <w:pPr>
        <w:rPr>
          <w:rFonts w:cs="David"/>
          <w:rtl/>
        </w:rPr>
      </w:pPr>
      <w:r w:rsidRPr="002F32F9">
        <w:rPr>
          <w:rFonts w:cs="David" w:hint="cs"/>
          <w:b/>
          <w:bCs/>
          <w:u w:val="single"/>
          <w:rtl/>
        </w:rPr>
        <w:t>מסקנות הוועדה:</w:t>
      </w:r>
    </w:p>
    <w:p w14:paraId="3088C9A0" w14:textId="77777777" w:rsidR="00CE608E" w:rsidRPr="002F32F9" w:rsidRDefault="00CE608E" w:rsidP="00CE608E">
      <w:pPr>
        <w:rPr>
          <w:rFonts w:cs="David"/>
          <w:rtl/>
        </w:rPr>
      </w:pPr>
    </w:p>
    <w:p w14:paraId="0AABC530" w14:textId="77777777" w:rsidR="00CE608E" w:rsidRDefault="00CE608E" w:rsidP="00CE608E">
      <w:pPr>
        <w:pStyle w:val="a9"/>
        <w:numPr>
          <w:ilvl w:val="0"/>
          <w:numId w:val="1"/>
        </w:numPr>
        <w:rPr>
          <w:rFonts w:cs="David"/>
        </w:rPr>
      </w:pPr>
      <w:r>
        <w:rPr>
          <w:rFonts w:cs="David" w:hint="cs"/>
          <w:rtl/>
        </w:rPr>
        <w:t>הוועדה קוראת ליועץ המשפטי לממשלה להתערב בנושא יישום החלטת הממשלה ולפנות למשרדי הממשלה שאינם מקיימים את ההחלטה ואת הנוהל שנקבע ליישומה.</w:t>
      </w:r>
    </w:p>
    <w:p w14:paraId="7AB86F8B" w14:textId="77777777" w:rsidR="00CE608E" w:rsidRPr="00FB7C10" w:rsidRDefault="00CE608E" w:rsidP="00CE608E">
      <w:pPr>
        <w:pStyle w:val="a9"/>
        <w:numPr>
          <w:ilvl w:val="0"/>
          <w:numId w:val="1"/>
        </w:numPr>
        <w:rPr>
          <w:rFonts w:cs="David"/>
        </w:rPr>
      </w:pPr>
      <w:r w:rsidRPr="00FB7C10">
        <w:rPr>
          <w:rFonts w:cs="David" w:hint="cs"/>
          <w:rtl/>
        </w:rPr>
        <w:t xml:space="preserve">הוועדה סבורה כי ראוי לפרסם את שמות משרדי הממשלה שאינם מקיימים את החלטת הממשלה ואת הנוהל, וקוראת לבחון הטלת סנקציה </w:t>
      </w:r>
      <w:r>
        <w:rPr>
          <w:rFonts w:cs="David" w:hint="cs"/>
          <w:rtl/>
        </w:rPr>
        <w:t>בשל אי-קיום ההחלטה והנוהל</w:t>
      </w:r>
      <w:r w:rsidRPr="00FB7C10">
        <w:rPr>
          <w:rFonts w:cs="David" w:hint="cs"/>
          <w:rtl/>
        </w:rPr>
        <w:t>.</w:t>
      </w:r>
    </w:p>
    <w:p w14:paraId="109C0EAD" w14:textId="77777777" w:rsidR="00CE608E" w:rsidRDefault="00CE608E" w:rsidP="00CE608E">
      <w:pPr>
        <w:pStyle w:val="a9"/>
        <w:numPr>
          <w:ilvl w:val="0"/>
          <w:numId w:val="1"/>
        </w:numPr>
        <w:jc w:val="both"/>
        <w:rPr>
          <w:rFonts w:cs="David"/>
        </w:rPr>
      </w:pPr>
      <w:r>
        <w:rPr>
          <w:rFonts w:cs="David" w:hint="cs"/>
          <w:rtl/>
        </w:rPr>
        <w:t>הוועדה קוראת לפרסם גם ההתקשרויות שנעשו לפני כניסתה לתוקף של החלטת הממשלה וכן רישיונות והיתרים שניתנו לפני המועד האמור.</w:t>
      </w:r>
    </w:p>
    <w:p w14:paraId="4DEBBAF8" w14:textId="77777777" w:rsidR="00CE608E" w:rsidRDefault="00CE608E" w:rsidP="00CE608E">
      <w:pPr>
        <w:pStyle w:val="a9"/>
        <w:numPr>
          <w:ilvl w:val="0"/>
          <w:numId w:val="1"/>
        </w:numPr>
        <w:jc w:val="both"/>
        <w:rPr>
          <w:rFonts w:cs="David"/>
        </w:rPr>
      </w:pPr>
      <w:r>
        <w:rPr>
          <w:rFonts w:cs="David" w:hint="cs"/>
          <w:rtl/>
        </w:rPr>
        <w:t xml:space="preserve">הוועדה סבורה כי יש להרחיב את תחולת החלטת הממשלה, ולחייב גם פרסום של התקשרויות שיוזמת הממשלה לקבלת שירותי ייעוץ ולובינג. </w:t>
      </w:r>
    </w:p>
    <w:p w14:paraId="677097CE" w14:textId="77777777" w:rsidR="00CE608E" w:rsidRPr="000E358E" w:rsidRDefault="00CE608E" w:rsidP="00CE608E">
      <w:pPr>
        <w:rPr>
          <w:rFonts w:cs="David"/>
          <w:rtl/>
        </w:rPr>
      </w:pPr>
    </w:p>
    <w:p w14:paraId="657CA043" w14:textId="77777777" w:rsidR="00CE608E" w:rsidRPr="002F32F9" w:rsidRDefault="00CE608E" w:rsidP="00CE608E">
      <w:pPr>
        <w:rPr>
          <w:rFonts w:cs="David"/>
          <w:rtl/>
        </w:rPr>
      </w:pPr>
    </w:p>
    <w:p w14:paraId="791D0FCA" w14:textId="77777777" w:rsidR="00CE608E" w:rsidRPr="002F32F9" w:rsidRDefault="00CE608E" w:rsidP="00CE608E">
      <w:pPr>
        <w:rPr>
          <w:rFonts w:cs="David"/>
          <w:b/>
          <w:bCs/>
          <w:rtl/>
        </w:rPr>
      </w:pPr>
      <w:r w:rsidRPr="002F32F9">
        <w:rPr>
          <w:rFonts w:cs="David" w:hint="cs"/>
          <w:b/>
          <w:bCs/>
          <w:rtl/>
        </w:rPr>
        <w:t>המסקנות הונחו על שולחן הכנסת ביום: ד' בטבת תשע"ו, 16 בדצמבר 2015</w:t>
      </w:r>
    </w:p>
    <w:p w14:paraId="6AF3B656" w14:textId="77777777" w:rsidR="00CE608E" w:rsidRPr="002F32F9" w:rsidRDefault="00CE608E" w:rsidP="00CE608E">
      <w:pPr>
        <w:rPr>
          <w:rFonts w:cs="David"/>
        </w:rPr>
      </w:pPr>
    </w:p>
    <w:p w14:paraId="751A7CC3" w14:textId="77777777" w:rsidR="00C809CD" w:rsidRPr="00CE608E" w:rsidRDefault="00C809CD" w:rsidP="00CE608E"/>
    <w:sectPr w:rsidR="00C809CD" w:rsidRPr="00CE608E" w:rsidSect="001B3497">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51FB25" w14:textId="77777777" w:rsidR="009475B3" w:rsidRDefault="009475B3" w:rsidP="009475B3">
      <w:r>
        <w:separator/>
      </w:r>
    </w:p>
  </w:endnote>
  <w:endnote w:type="continuationSeparator" w:id="0">
    <w:p w14:paraId="205933AA" w14:textId="77777777" w:rsidR="009475B3" w:rsidRDefault="009475B3" w:rsidP="00947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8AC89F" w14:textId="77777777" w:rsidR="0091072F" w:rsidRDefault="0091072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992B15" w14:textId="77777777" w:rsidR="0091072F" w:rsidRDefault="0091072F">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2802D9" w14:textId="77777777" w:rsidR="0091072F" w:rsidRDefault="0091072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F87D25" w14:textId="77777777" w:rsidR="009475B3" w:rsidRDefault="009475B3" w:rsidP="009475B3">
      <w:r>
        <w:separator/>
      </w:r>
    </w:p>
  </w:footnote>
  <w:footnote w:type="continuationSeparator" w:id="0">
    <w:p w14:paraId="5C805F3E" w14:textId="77777777" w:rsidR="009475B3" w:rsidRDefault="009475B3" w:rsidP="009475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13E14B" w14:textId="77777777" w:rsidR="0091072F" w:rsidRDefault="0091072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9239F" w14:textId="77777777" w:rsidR="0091072F" w:rsidRDefault="0091072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27DE80" w14:textId="77777777" w:rsidR="0091072F" w:rsidRDefault="0091072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00BB0"/>
    <w:multiLevelType w:val="hybridMultilevel"/>
    <w:tmpl w:val="36C69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338"/>
    <w:rsid w:val="000C2898"/>
    <w:rsid w:val="000C3E2A"/>
    <w:rsid w:val="000E358E"/>
    <w:rsid w:val="000E35CB"/>
    <w:rsid w:val="00171E4C"/>
    <w:rsid w:val="00177EAA"/>
    <w:rsid w:val="001B3497"/>
    <w:rsid w:val="00211249"/>
    <w:rsid w:val="002454C8"/>
    <w:rsid w:val="00263338"/>
    <w:rsid w:val="00275AB1"/>
    <w:rsid w:val="002F32F9"/>
    <w:rsid w:val="002F636A"/>
    <w:rsid w:val="004023B9"/>
    <w:rsid w:val="0045273F"/>
    <w:rsid w:val="00506E12"/>
    <w:rsid w:val="00524BE5"/>
    <w:rsid w:val="00555264"/>
    <w:rsid w:val="005C02F4"/>
    <w:rsid w:val="00702BE3"/>
    <w:rsid w:val="008253D9"/>
    <w:rsid w:val="0091072F"/>
    <w:rsid w:val="009475B3"/>
    <w:rsid w:val="00950811"/>
    <w:rsid w:val="009A344A"/>
    <w:rsid w:val="009B25B0"/>
    <w:rsid w:val="009B7689"/>
    <w:rsid w:val="009E3A98"/>
    <w:rsid w:val="009E6A42"/>
    <w:rsid w:val="00A144E8"/>
    <w:rsid w:val="00A71E5F"/>
    <w:rsid w:val="00A95BB4"/>
    <w:rsid w:val="00AC7F55"/>
    <w:rsid w:val="00B064D4"/>
    <w:rsid w:val="00B176F9"/>
    <w:rsid w:val="00B3321F"/>
    <w:rsid w:val="00B8232B"/>
    <w:rsid w:val="00C809CD"/>
    <w:rsid w:val="00CE1784"/>
    <w:rsid w:val="00CE608E"/>
    <w:rsid w:val="00CE6C6E"/>
    <w:rsid w:val="00D73CBD"/>
    <w:rsid w:val="00D96661"/>
    <w:rsid w:val="00DC0A50"/>
    <w:rsid w:val="00E022F1"/>
    <w:rsid w:val="00F170DA"/>
    <w:rsid w:val="00FA2FB8"/>
    <w:rsid w:val="00FA421B"/>
    <w:rsid w:val="00FF1E7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5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75B3"/>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475B3"/>
    <w:pPr>
      <w:tabs>
        <w:tab w:val="center" w:pos="4153"/>
        <w:tab w:val="right" w:pos="8306"/>
      </w:tabs>
    </w:pPr>
    <w:rPr>
      <w:rFonts w:asciiTheme="minorHAnsi" w:eastAsiaTheme="minorHAnsi" w:hAnsiTheme="minorHAnsi" w:cstheme="minorBidi"/>
      <w:sz w:val="22"/>
      <w:szCs w:val="22"/>
    </w:rPr>
  </w:style>
  <w:style w:type="character" w:customStyle="1" w:styleId="a4">
    <w:name w:val="כותרת עליונה תו"/>
    <w:basedOn w:val="a0"/>
    <w:link w:val="a3"/>
    <w:uiPriority w:val="99"/>
    <w:rsid w:val="009475B3"/>
  </w:style>
  <w:style w:type="paragraph" w:styleId="a5">
    <w:name w:val="footer"/>
    <w:basedOn w:val="a"/>
    <w:link w:val="a6"/>
    <w:uiPriority w:val="99"/>
    <w:unhideWhenUsed/>
    <w:rsid w:val="009475B3"/>
    <w:pPr>
      <w:tabs>
        <w:tab w:val="center" w:pos="4153"/>
        <w:tab w:val="right" w:pos="8306"/>
      </w:tabs>
    </w:pPr>
    <w:rPr>
      <w:rFonts w:asciiTheme="minorHAnsi" w:eastAsiaTheme="minorHAnsi" w:hAnsiTheme="minorHAnsi" w:cstheme="minorBidi"/>
      <w:sz w:val="22"/>
      <w:szCs w:val="22"/>
    </w:rPr>
  </w:style>
  <w:style w:type="character" w:customStyle="1" w:styleId="a6">
    <w:name w:val="כותרת תחתונה תו"/>
    <w:basedOn w:val="a0"/>
    <w:link w:val="a5"/>
    <w:uiPriority w:val="99"/>
    <w:rsid w:val="009475B3"/>
  </w:style>
  <w:style w:type="paragraph" w:styleId="a7">
    <w:name w:val="Balloon Text"/>
    <w:basedOn w:val="a"/>
    <w:link w:val="a8"/>
    <w:uiPriority w:val="99"/>
    <w:semiHidden/>
    <w:unhideWhenUsed/>
    <w:rsid w:val="009475B3"/>
    <w:rPr>
      <w:rFonts w:ascii="Tahoma" w:hAnsi="Tahoma" w:cs="Tahoma"/>
      <w:sz w:val="16"/>
      <w:szCs w:val="16"/>
    </w:rPr>
  </w:style>
  <w:style w:type="character" w:customStyle="1" w:styleId="a8">
    <w:name w:val="טקסט בלונים תו"/>
    <w:basedOn w:val="a0"/>
    <w:link w:val="a7"/>
    <w:uiPriority w:val="99"/>
    <w:semiHidden/>
    <w:rsid w:val="009475B3"/>
    <w:rPr>
      <w:rFonts w:ascii="Tahoma" w:eastAsia="Times New Roman" w:hAnsi="Tahoma" w:cs="Tahoma"/>
      <w:sz w:val="16"/>
      <w:szCs w:val="16"/>
    </w:rPr>
  </w:style>
  <w:style w:type="paragraph" w:styleId="a9">
    <w:name w:val="List Paragraph"/>
    <w:basedOn w:val="a"/>
    <w:uiPriority w:val="34"/>
    <w:qFormat/>
    <w:rsid w:val="000E35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75B3"/>
    <w:pPr>
      <w:bidi/>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475B3"/>
    <w:pPr>
      <w:tabs>
        <w:tab w:val="center" w:pos="4153"/>
        <w:tab w:val="right" w:pos="8306"/>
      </w:tabs>
    </w:pPr>
    <w:rPr>
      <w:rFonts w:asciiTheme="minorHAnsi" w:eastAsiaTheme="minorHAnsi" w:hAnsiTheme="minorHAnsi" w:cstheme="minorBidi"/>
      <w:sz w:val="22"/>
      <w:szCs w:val="22"/>
    </w:rPr>
  </w:style>
  <w:style w:type="character" w:customStyle="1" w:styleId="a4">
    <w:name w:val="כותרת עליונה תו"/>
    <w:basedOn w:val="a0"/>
    <w:link w:val="a3"/>
    <w:uiPriority w:val="99"/>
    <w:rsid w:val="009475B3"/>
  </w:style>
  <w:style w:type="paragraph" w:styleId="a5">
    <w:name w:val="footer"/>
    <w:basedOn w:val="a"/>
    <w:link w:val="a6"/>
    <w:uiPriority w:val="99"/>
    <w:unhideWhenUsed/>
    <w:rsid w:val="009475B3"/>
    <w:pPr>
      <w:tabs>
        <w:tab w:val="center" w:pos="4153"/>
        <w:tab w:val="right" w:pos="8306"/>
      </w:tabs>
    </w:pPr>
    <w:rPr>
      <w:rFonts w:asciiTheme="minorHAnsi" w:eastAsiaTheme="minorHAnsi" w:hAnsiTheme="minorHAnsi" w:cstheme="minorBidi"/>
      <w:sz w:val="22"/>
      <w:szCs w:val="22"/>
    </w:rPr>
  </w:style>
  <w:style w:type="character" w:customStyle="1" w:styleId="a6">
    <w:name w:val="כותרת תחתונה תו"/>
    <w:basedOn w:val="a0"/>
    <w:link w:val="a5"/>
    <w:uiPriority w:val="99"/>
    <w:rsid w:val="009475B3"/>
  </w:style>
  <w:style w:type="paragraph" w:styleId="a7">
    <w:name w:val="Balloon Text"/>
    <w:basedOn w:val="a"/>
    <w:link w:val="a8"/>
    <w:uiPriority w:val="99"/>
    <w:semiHidden/>
    <w:unhideWhenUsed/>
    <w:rsid w:val="009475B3"/>
    <w:rPr>
      <w:rFonts w:ascii="Tahoma" w:hAnsi="Tahoma" w:cs="Tahoma"/>
      <w:sz w:val="16"/>
      <w:szCs w:val="16"/>
    </w:rPr>
  </w:style>
  <w:style w:type="character" w:customStyle="1" w:styleId="a8">
    <w:name w:val="טקסט בלונים תו"/>
    <w:basedOn w:val="a0"/>
    <w:link w:val="a7"/>
    <w:uiPriority w:val="99"/>
    <w:semiHidden/>
    <w:rsid w:val="009475B3"/>
    <w:rPr>
      <w:rFonts w:ascii="Tahoma" w:eastAsia="Times New Roman" w:hAnsi="Tahoma" w:cs="Tahoma"/>
      <w:sz w:val="16"/>
      <w:szCs w:val="16"/>
    </w:rPr>
  </w:style>
  <w:style w:type="paragraph" w:styleId="a9">
    <w:name w:val="List Paragraph"/>
    <w:basedOn w:val="a"/>
    <w:uiPriority w:val="34"/>
    <w:qFormat/>
    <w:rsid w:val="000E35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265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1F652F-5F8F-4AD8-B9AE-216E48DD906C}">
  <ds:schemaRefs>
    <ds:schemaRef ds:uri="http://www.w3.org/XML/1998/namespace"/>
    <ds:schemaRef ds:uri="http://schemas.microsoft.com/office/2006/documentManagement/types"/>
    <ds:schemaRef ds:uri="http://purl.org/dc/dcmitype/"/>
    <ds:schemaRef ds:uri="http://purl.org/dc/terms/"/>
    <ds:schemaRef ds:uri="http://purl.org/dc/elements/1.1/"/>
    <ds:schemaRef ds:uri="f7660851-4ffa-4136-bafb-a5c8c40811cf"/>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C9171D7B-6EFE-41FF-A9C1-264C9AF3FF42}">
  <ds:schemaRefs>
    <ds:schemaRef ds:uri="http://schemas.microsoft.com/sharepoint/v3/contenttype/forms"/>
  </ds:schemaRefs>
</ds:datastoreItem>
</file>

<file path=customXml/itemProps3.xml><?xml version="1.0" encoding="utf-8"?>
<ds:datastoreItem xmlns:ds="http://schemas.openxmlformats.org/officeDocument/2006/customXml" ds:itemID="{EDF352B2-6267-4EB5-B2B1-A7AFCAA6CC31}"/>
</file>

<file path=docProps/app.xml><?xml version="1.0" encoding="utf-8"?>
<Properties xmlns="http://schemas.openxmlformats.org/officeDocument/2006/extended-properties" xmlns:vt="http://schemas.openxmlformats.org/officeDocument/2006/docPropsVTypes">
  <Template>Normal.dotm</Template>
  <TotalTime>2</TotalTime>
  <Pages>3</Pages>
  <Words>1119</Words>
  <Characters>5564</Characters>
  <Application>Microsoft Office Word</Application>
  <DocSecurity>0</DocSecurity>
  <Lines>129</Lines>
  <Paragraphs>38</Paragraphs>
  <ScaleCrop>false</ScaleCrop>
  <HeadingPairs>
    <vt:vector size="2" baseType="variant">
      <vt:variant>
        <vt:lpstr>שם</vt:lpstr>
      </vt:variant>
      <vt:variant>
        <vt:i4>1</vt:i4>
      </vt:variant>
    </vt:vector>
  </HeadingPairs>
  <TitlesOfParts>
    <vt:vector size="1" baseType="lpstr">
      <vt:lpstr>מסקנות - הצעה לדיון מהיר של ח"כ איילת נחמיאס ורבין - התקשרויות המדינה עם גורמים פרטיים</vt:lpstr>
    </vt:vector>
  </TitlesOfParts>
  <Company>Knesset</Company>
  <LinksUpToDate>false</LinksUpToDate>
  <CharactersWithSpaces>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 הצעה לדיון מהיר של ח"כ איילת נחמיאס ורבין - התקשרויות המדינה עם גורמים פרטיים</dc:title>
  <dc:creator>יעל נגני</dc:creator>
  <cp:lastModifiedBy>יעל נגני</cp:lastModifiedBy>
  <cp:revision>2</cp:revision>
  <cp:lastPrinted>2015-12-16T09:49:00Z</cp:lastPrinted>
  <dcterms:created xsi:type="dcterms:W3CDTF">2017-01-02T08:19:00Z</dcterms:created>
  <dcterms:modified xsi:type="dcterms:W3CDTF">2017-01-02T08:19:00Z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948586f0109b;#</vt:lpwstr>
  </property>
  <property fmtid="{D5CDD505-2E9C-101B-9397-08002B2CF9AE}" pid="5" name="z">
    <vt:lpwstr>#RowsetSchema</vt:lpwstr>
  </property>
  <property fmtid="{D5CDD505-2E9C-101B-9397-08002B2CF9AE}" pid="6" name="Author">
    <vt:lpwstr>81;#יעל נגני</vt:lpwstr>
  </property>
  <property fmtid="{D5CDD505-2E9C-101B-9397-08002B2CF9AE}" pid="7" name="FileLeafRef">
    <vt:lpwstr>73;#04604215.docx</vt:lpwstr>
  </property>
  <property fmtid="{D5CDD505-2E9C-101B-9397-08002B2CF9AE}" pid="8" name="Modified_x0020_By">
    <vt:lpwstr>LAN_KNESSET\v_samim_yael</vt:lpwstr>
  </property>
  <property fmtid="{D5CDD505-2E9C-101B-9397-08002B2CF9AE}" pid="9" name="Created_x0020_By">
    <vt:lpwstr>LAN_KNESSET\v_samim_yael</vt:lpwstr>
  </property>
  <property fmtid="{D5CDD505-2E9C-101B-9397-08002B2CF9AE}" pid="10" name="File_x0020_Type">
    <vt:lpwstr>docx</vt:lpwstr>
  </property>
  <property fmtid="{D5CDD505-2E9C-101B-9397-08002B2CF9AE}" pid="11" name="AutoNumber">
    <vt:lpwstr>04604215</vt:lpwstr>
  </property>
  <property fmtid="{D5CDD505-2E9C-101B-9397-08002B2CF9AE}" pid="12" name="SDCategories">
    <vt:lpwstr>:ועדות:הוועדה המיוחדת ליישום הנגשת המידע הממשלתי ועקרונות שקיפותו לציבור:מסקנות הוועדה;#</vt:lpwstr>
  </property>
  <property fmtid="{D5CDD505-2E9C-101B-9397-08002B2CF9AE}" pid="13" name="SDAuthor">
    <vt:lpwstr>יעל נגני</vt:lpwstr>
  </property>
  <property fmtid="{D5CDD505-2E9C-101B-9397-08002B2CF9AE}" pid="14" name="SDDocDate">
    <vt:lpwstr>15/12/2015</vt:lpwstr>
  </property>
  <property fmtid="{D5CDD505-2E9C-101B-9397-08002B2CF9AE}" pid="15" name="SDHebDate">
    <vt:lpwstr>ג' בטבת, התשע"ו</vt:lpwstr>
  </property>
  <property fmtid="{D5CDD505-2E9C-101B-9397-08002B2CF9AE}" pid="16" name="SDImportance">
    <vt:lpwstr>0</vt:lpwstr>
  </property>
  <property fmtid="{D5CDD505-2E9C-101B-9397-08002B2CF9AE}" pid="17" name="SDDocumentSource">
    <vt:lpwstr>OfficeAddIn</vt:lpwstr>
  </property>
  <property fmtid="{D5CDD505-2E9C-101B-9397-08002B2CF9AE}" pid="18" name="ID">
    <vt:lpwstr>73</vt:lpwstr>
  </property>
  <property fmtid="{D5CDD505-2E9C-101B-9397-08002B2CF9AE}" pid="19" name="Created">
    <vt:lpwstr>15/12/2015</vt:lpwstr>
  </property>
  <property fmtid="{D5CDD505-2E9C-101B-9397-08002B2CF9AE}" pid="20" name="Modified">
    <vt:lpwstr>20/12/2015</vt:lpwstr>
  </property>
  <property fmtid="{D5CDD505-2E9C-101B-9397-08002B2CF9AE}" pid="21" name="Editor">
    <vt:lpwstr>81;#יעל נגני</vt:lpwstr>
  </property>
  <property fmtid="{D5CDD505-2E9C-101B-9397-08002B2CF9AE}" pid="22" name="_ModerationStatus">
    <vt:lpwstr>0</vt:lpwstr>
  </property>
  <property fmtid="{D5CDD505-2E9C-101B-9397-08002B2CF9AE}" pid="23" name="FileRef">
    <vt:lpwstr>73;#sites/VEADOT/hmeda/DocLib/DocLib automatically created by sharedocs 1/04604215.docx</vt:lpwstr>
  </property>
  <property fmtid="{D5CDD505-2E9C-101B-9397-08002B2CF9AE}" pid="24" name="FileDirRef">
    <vt:lpwstr>73;#sites/VEADOT/hmeda/DocLib/DocLib automatically created by sharedocs 1</vt:lpwstr>
  </property>
  <property fmtid="{D5CDD505-2E9C-101B-9397-08002B2CF9AE}" pid="25" name="Last_x0020_Modified">
    <vt:lpwstr>73;#2015-12-20 11:30:18</vt:lpwstr>
  </property>
  <property fmtid="{D5CDD505-2E9C-101B-9397-08002B2CF9AE}" pid="26" name="Created_x0020_Date">
    <vt:lpwstr>73;#2015-12-15 16:14:53</vt:lpwstr>
  </property>
  <property fmtid="{D5CDD505-2E9C-101B-9397-08002B2CF9AE}" pid="27" name="File_x0020_Size">
    <vt:lpwstr>73;#56823</vt:lpwstr>
  </property>
  <property fmtid="{D5CDD505-2E9C-101B-9397-08002B2CF9AE}" pid="28" name="FSObjType">
    <vt:lpwstr>73;#0</vt:lpwstr>
  </property>
  <property fmtid="{D5CDD505-2E9C-101B-9397-08002B2CF9AE}" pid="29" name="PermMask">
    <vt:lpwstr>0x1b03c5f1bff</vt:lpwstr>
  </property>
  <property fmtid="{D5CDD505-2E9C-101B-9397-08002B2CF9AE}" pid="30" name="CheckedOutUserId">
    <vt:lpwstr>73;#</vt:lpwstr>
  </property>
  <property fmtid="{D5CDD505-2E9C-101B-9397-08002B2CF9AE}" pid="31" name="IsCheckedoutToLocal">
    <vt:lpwstr>73;#0</vt:lpwstr>
  </property>
  <property fmtid="{D5CDD505-2E9C-101B-9397-08002B2CF9AE}" pid="32" name="UniqueId">
    <vt:lpwstr>73;#{97B9D55A-3549-4921-BF1E-2F1ADAB664EC}</vt:lpwstr>
  </property>
  <property fmtid="{D5CDD505-2E9C-101B-9397-08002B2CF9AE}" pid="33" name="ProgId">
    <vt:lpwstr>73;#</vt:lpwstr>
  </property>
  <property fmtid="{D5CDD505-2E9C-101B-9397-08002B2CF9AE}" pid="34" name="ScopeId">
    <vt:lpwstr>73;#{1CCE3813-ECF5-4953-B7C6-B0A2E41B09A7}</vt:lpwstr>
  </property>
  <property fmtid="{D5CDD505-2E9C-101B-9397-08002B2CF9AE}" pid="35" name="VirusStatus">
    <vt:lpwstr>73;#56823</vt:lpwstr>
  </property>
  <property fmtid="{D5CDD505-2E9C-101B-9397-08002B2CF9AE}" pid="36" name="CheckedOutTitle">
    <vt:lpwstr>73;#</vt:lpwstr>
  </property>
  <property fmtid="{D5CDD505-2E9C-101B-9397-08002B2CF9AE}" pid="37" name="_CheckinComment">
    <vt:lpwstr>73;#</vt:lpwstr>
  </property>
  <property fmtid="{D5CDD505-2E9C-101B-9397-08002B2CF9AE}" pid="38" name="_EditMenuTableStart">
    <vt:lpwstr>04604215.docx</vt:lpwstr>
  </property>
  <property fmtid="{D5CDD505-2E9C-101B-9397-08002B2CF9AE}" pid="39" name="_EditMenuTableEnd">
    <vt:lpwstr>73</vt:lpwstr>
  </property>
  <property fmtid="{D5CDD505-2E9C-101B-9397-08002B2CF9AE}" pid="40" name="LinkFilenameNoMenu">
    <vt:lpwstr>04604215.docx</vt:lpwstr>
  </property>
  <property fmtid="{D5CDD505-2E9C-101B-9397-08002B2CF9AE}" pid="41" name="LinkFilename">
    <vt:lpwstr>04604215.docx</vt:lpwstr>
  </property>
  <property fmtid="{D5CDD505-2E9C-101B-9397-08002B2CF9AE}" pid="42" name="DocIcon">
    <vt:lpwstr>docx</vt:lpwstr>
  </property>
  <property fmtid="{D5CDD505-2E9C-101B-9397-08002B2CF9AE}" pid="43" name="ServerUrl">
    <vt:lpwstr>/sites/VEADOT/hmeda/DocLib/DocLib automatically created by sharedocs 1/04604215.docx</vt:lpwstr>
  </property>
  <property fmtid="{D5CDD505-2E9C-101B-9397-08002B2CF9AE}" pid="44" name="EncodedAbsUrl">
    <vt:lpwstr>http://sd3portal/sites/VEADOT/hmeda/DocLib/DocLib%20automatically%20created%20by%20sharedocs%201/04604215.docx</vt:lpwstr>
  </property>
  <property fmtid="{D5CDD505-2E9C-101B-9397-08002B2CF9AE}" pid="45" name="BaseName">
    <vt:lpwstr>04604215</vt:lpwstr>
  </property>
  <property fmtid="{D5CDD505-2E9C-101B-9397-08002B2CF9AE}" pid="46" name="FileSizeDisplay">
    <vt:lpwstr>56823</vt:lpwstr>
  </property>
  <property fmtid="{D5CDD505-2E9C-101B-9397-08002B2CF9AE}" pid="47" name="MetaInfo">
    <vt:lpwstr>73;#_Level:SW|1
z:SW|#RowsetSchema
Order:SW|7300.00000000000
SDLastSigningDate:EW|
Last Modified:SW|73;#2015-12-16 15:16:05
vti_author:SR|LAN_KNESSET\\v_samim_yael
SelectTitle:SW|73
SelectFilename:SW|73
ParentVersionString:SW|73;#
MetaInfo:LW|73;#_Level:S</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73</vt:lpwstr>
  </property>
  <property fmtid="{D5CDD505-2E9C-101B-9397-08002B2CF9AE}" pid="51" name="SelectFilename">
    <vt:lpwstr>73</vt:lpwstr>
  </property>
  <property fmtid="{D5CDD505-2E9C-101B-9397-08002B2CF9AE}" pid="52" name="Edit">
    <vt:lpwstr>0</vt:lpwstr>
  </property>
  <property fmtid="{D5CDD505-2E9C-101B-9397-08002B2CF9AE}" pid="53" name="owshiddenversion">
    <vt:lpwstr>30</vt:lpwstr>
  </property>
  <property fmtid="{D5CDD505-2E9C-101B-9397-08002B2CF9AE}" pid="54" name="_UIVersion">
    <vt:lpwstr>512</vt:lpwstr>
  </property>
  <property fmtid="{D5CDD505-2E9C-101B-9397-08002B2CF9AE}" pid="55" name="Order">
    <vt:lpwstr>7300.00000000000</vt:lpwstr>
  </property>
  <property fmtid="{D5CDD505-2E9C-101B-9397-08002B2CF9AE}" pid="56" name="GUID">
    <vt:lpwstr>{87D65D88-85C0-4D1F-B11A-9F1B821C98E5}</vt:lpwstr>
  </property>
  <property fmtid="{D5CDD505-2E9C-101B-9397-08002B2CF9AE}" pid="57" name="WorkflowVersion">
    <vt:lpwstr>1</vt:lpwstr>
  </property>
  <property fmtid="{D5CDD505-2E9C-101B-9397-08002B2CF9AE}" pid="58" name="ParentVersionString">
    <vt:lpwstr>73;#</vt:lpwstr>
  </property>
  <property fmtid="{D5CDD505-2E9C-101B-9397-08002B2CF9AE}" pid="59" name="ParentLeafName">
    <vt:lpwstr>73;#</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73;#2015-12-20 11:30:18</vt:lpwstr>
  </property>
  <property fmtid="{D5CDD505-2E9C-101B-9397-08002B2CF9AE}" pid="64" name="Created Date">
    <vt:lpwstr>73;#2015-12-15 16:14:53</vt:lpwstr>
  </property>
  <property fmtid="{D5CDD505-2E9C-101B-9397-08002B2CF9AE}" pid="65" name="Created By">
    <vt:lpwstr>LAN_KNESSET\v_samim_yael</vt:lpwstr>
  </property>
  <property fmtid="{D5CDD505-2E9C-101B-9397-08002B2CF9AE}" pid="66" name="File Type">
    <vt:lpwstr>docx</vt:lpwstr>
  </property>
  <property fmtid="{D5CDD505-2E9C-101B-9397-08002B2CF9AE}" pid="67" name="File Size">
    <vt:lpwstr>73;#56823</vt:lpwstr>
  </property>
  <property fmtid="{D5CDD505-2E9C-101B-9397-08002B2CF9AE}" pid="68" name="Modified By">
    <vt:lpwstr>LAN_KNESSET\v_samim_yael</vt:lpwstr>
  </property>
  <property fmtid="{D5CDD505-2E9C-101B-9397-08002B2CF9AE}" pid="69" name="SanhedrinItemID">
    <vt:r8>572586</vt:r8>
  </property>
  <property fmtid="{D5CDD505-2E9C-101B-9397-08002B2CF9AE}" pid="70" name="SanhedrinDocumentType">
    <vt:r8>91</vt:r8>
  </property>
</Properties>
</file>