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7EE" w:rsidRPr="00C403DB" w:rsidRDefault="00C403DB" w:rsidP="00C403DB">
      <w:pPr>
        <w:pStyle w:val="HeadMitparsemetBaze"/>
        <w:rPr>
          <w:rtl/>
        </w:rPr>
      </w:pPr>
      <w:bookmarkStart w:id="0" w:name="_GoBack"/>
      <w:bookmarkEnd w:id="0"/>
      <w:r w:rsidRPr="00C403DB">
        <w:rPr>
          <w:rFonts w:hint="cs"/>
          <w:rtl/>
        </w:rPr>
        <w:t xml:space="preserve">לדיון ביום 25.7.17 </w:t>
      </w:r>
    </w:p>
    <w:p w:rsidR="003567EE" w:rsidRPr="00C403DB" w:rsidRDefault="003567EE" w:rsidP="003567EE">
      <w:pPr>
        <w:spacing w:before="0" w:line="240" w:lineRule="auto"/>
        <w:jc w:val="right"/>
        <w:rPr>
          <w:rFonts w:cs="David"/>
          <w:sz w:val="20"/>
          <w:szCs w:val="20"/>
          <w:rtl/>
        </w:rPr>
      </w:pPr>
      <w:r w:rsidRPr="00C403DB">
        <w:rPr>
          <w:rFonts w:cs="David" w:hint="cs"/>
          <w:sz w:val="20"/>
          <w:szCs w:val="20"/>
          <w:rtl/>
        </w:rPr>
        <w:t>מספר פנימי:</w:t>
      </w:r>
      <w:bookmarkStart w:id="1" w:name="LGSItemId"/>
      <w:r w:rsidRPr="00C403DB">
        <w:rPr>
          <w:rFonts w:cs="David" w:hint="cs"/>
          <w:sz w:val="20"/>
          <w:szCs w:val="20"/>
          <w:rtl/>
        </w:rPr>
        <w:t xml:space="preserve"> 2007474</w:t>
      </w:r>
      <w:bookmarkEnd w:id="1"/>
      <w:r w:rsidRPr="00C403DB">
        <w:rPr>
          <w:rFonts w:cs="David" w:hint="cs"/>
          <w:sz w:val="20"/>
          <w:szCs w:val="20"/>
          <w:rtl/>
        </w:rPr>
        <w:t>-4922</w:t>
      </w:r>
    </w:p>
    <w:p w:rsidR="003567EE" w:rsidRPr="00C403DB" w:rsidRDefault="003567EE" w:rsidP="003567EE">
      <w:pPr>
        <w:spacing w:before="0" w:line="240" w:lineRule="auto"/>
        <w:jc w:val="right"/>
        <w:rPr>
          <w:rFonts w:cs="David"/>
          <w:b/>
          <w:bCs/>
          <w:sz w:val="28"/>
          <w:szCs w:val="28"/>
          <w:rtl/>
        </w:rPr>
      </w:pPr>
      <w:r w:rsidRPr="00C403DB">
        <w:rPr>
          <w:rFonts w:cs="David" w:hint="cs"/>
          <w:b/>
          <w:bCs/>
          <w:sz w:val="28"/>
          <w:szCs w:val="28"/>
          <w:rtl/>
        </w:rPr>
        <w:t xml:space="preserve">נספח מס' </w:t>
      </w:r>
      <w:bookmarkStart w:id="2" w:name="LGSNum"/>
      <w:r w:rsidRPr="00C403DB">
        <w:rPr>
          <w:rFonts w:cs="David" w:hint="cs"/>
          <w:b/>
          <w:bCs/>
          <w:sz w:val="28"/>
          <w:szCs w:val="28"/>
          <w:rtl/>
        </w:rPr>
        <w:t>כ-726</w:t>
      </w:r>
      <w:bookmarkEnd w:id="2"/>
      <w:r w:rsidRPr="00C403DB">
        <w:rPr>
          <w:rFonts w:cs="David" w:hint="cs"/>
          <w:b/>
          <w:bCs/>
          <w:sz w:val="28"/>
          <w:szCs w:val="28"/>
          <w:rtl/>
        </w:rPr>
        <w:t>/א'</w:t>
      </w:r>
    </w:p>
    <w:p w:rsidR="003567EE" w:rsidRPr="00C403DB" w:rsidRDefault="003567EE" w:rsidP="003567EE">
      <w:pPr>
        <w:spacing w:before="0" w:line="240" w:lineRule="auto"/>
        <w:jc w:val="right"/>
        <w:rPr>
          <w:rFonts w:cs="David"/>
          <w:b/>
          <w:bCs/>
          <w:sz w:val="28"/>
          <w:szCs w:val="28"/>
          <w:rtl/>
        </w:rPr>
      </w:pPr>
      <w:bookmarkStart w:id="3" w:name="LGSPrivateNum"/>
      <w:r w:rsidRPr="00C403DB">
        <w:rPr>
          <w:rFonts w:cs="David" w:hint="cs"/>
          <w:b/>
          <w:bCs/>
          <w:sz w:val="28"/>
          <w:szCs w:val="28"/>
          <w:rtl/>
        </w:rPr>
        <w:t xml:space="preserve">(פ/3502/20; פ/3510/20; </w:t>
      </w:r>
    </w:p>
    <w:p w:rsidR="003567EE" w:rsidRPr="00C403DB" w:rsidRDefault="003567EE" w:rsidP="003567EE">
      <w:pPr>
        <w:spacing w:before="0" w:line="240" w:lineRule="auto"/>
        <w:jc w:val="right"/>
        <w:rPr>
          <w:rFonts w:cs="David"/>
          <w:b/>
          <w:bCs/>
          <w:sz w:val="28"/>
          <w:szCs w:val="28"/>
          <w:rtl/>
        </w:rPr>
      </w:pPr>
      <w:r w:rsidRPr="00C403DB">
        <w:rPr>
          <w:rFonts w:cs="David" w:hint="cs"/>
          <w:b/>
          <w:bCs/>
          <w:sz w:val="28"/>
          <w:szCs w:val="28"/>
          <w:rtl/>
        </w:rPr>
        <w:t xml:space="preserve">פ/4276/20; פ/4075/20; </w:t>
      </w:r>
    </w:p>
    <w:p w:rsidR="003567EE" w:rsidRPr="00C403DB" w:rsidRDefault="003567EE" w:rsidP="003567EE">
      <w:pPr>
        <w:spacing w:before="0" w:line="240" w:lineRule="auto"/>
        <w:jc w:val="right"/>
        <w:rPr>
          <w:rFonts w:cs="David"/>
          <w:b/>
          <w:bCs/>
          <w:sz w:val="28"/>
          <w:szCs w:val="28"/>
          <w:rtl/>
        </w:rPr>
      </w:pPr>
      <w:r w:rsidRPr="00C403DB">
        <w:rPr>
          <w:rFonts w:cs="David" w:hint="cs"/>
          <w:b/>
          <w:bCs/>
          <w:sz w:val="28"/>
          <w:szCs w:val="28"/>
          <w:rtl/>
        </w:rPr>
        <w:t>פ/590/20)</w:t>
      </w:r>
      <w:bookmarkEnd w:id="3"/>
    </w:p>
    <w:p w:rsidR="003567EE" w:rsidRPr="00C403DB" w:rsidRDefault="003567EE" w:rsidP="003567EE">
      <w:pPr>
        <w:spacing w:before="0"/>
        <w:jc w:val="right"/>
      </w:pPr>
    </w:p>
    <w:p w:rsidR="003567EE" w:rsidRPr="00C403DB" w:rsidRDefault="003567EE" w:rsidP="00C403DB">
      <w:pPr>
        <w:pStyle w:val="HeadHatzaotHok"/>
        <w:spacing w:before="0"/>
        <w:rPr>
          <w:rtl/>
        </w:rPr>
      </w:pPr>
      <w:bookmarkStart w:id="4" w:name="LGSName"/>
      <w:r w:rsidRPr="00C403DB">
        <w:rPr>
          <w:rFonts w:hint="cs"/>
          <w:rtl/>
        </w:rPr>
        <w:t>הצעת חוק לפיקוח על הפעלת צהרונים, התשע"ז</w:t>
      </w:r>
      <w:r w:rsidRPr="00C403DB">
        <w:rPr>
          <w:rFonts w:hint="eastAsia"/>
          <w:rtl/>
        </w:rPr>
        <w:t>–</w:t>
      </w:r>
      <w:r w:rsidRPr="00C403DB">
        <w:rPr>
          <w:rFonts w:hint="cs"/>
          <w:rtl/>
        </w:rPr>
        <w:t>2017</w:t>
      </w:r>
      <w:bookmarkEnd w:id="4"/>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5897"/>
      </w:tblGrid>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rtl/>
              </w:rPr>
            </w:pPr>
            <w:r w:rsidRPr="00C403DB">
              <w:rPr>
                <w:rtl/>
              </w:rPr>
              <w:t>פרק א': הגדרות</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הגדרות</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1.</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בחוק זה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tl/>
              </w:rPr>
              <w:t>"חוק לימוד חובה" – חוק לימוד חובה, התש"ט–1949‏</w:t>
            </w:r>
            <w:r w:rsidRPr="00C403DB">
              <w:rPr>
                <w:rStyle w:val="a7"/>
                <w:rtl/>
              </w:rPr>
              <w:footnoteReference w:id="1"/>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tl/>
              </w:rPr>
              <w:t>"חוק לפיקוח על איכות המזון" – חוק לפיקוח על איכות המזון ולתזונה נכונה בצהרונים, התשע"ז–2016‏</w:t>
            </w:r>
            <w:r w:rsidRPr="00C403DB">
              <w:rPr>
                <w:rStyle w:val="a7"/>
                <w:rtl/>
              </w:rPr>
              <w:footnoteReference w:id="2"/>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tl/>
              </w:rPr>
              <w:t>"ילד" ו"מוסד חינוך" – כהגדרתם בחוק לימוד חובה;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tl/>
              </w:rPr>
              <w:t>"הממונה" – מי שהשר מינה לפי סעיף 2;</w:t>
            </w:r>
          </w:p>
        </w:tc>
      </w:tr>
      <w:tr w:rsidR="00C403DB" w:rsidRPr="00C403DB" w:rsidTr="000A3A96">
        <w:trPr>
          <w:cantSplit/>
        </w:trPr>
        <w:tc>
          <w:tcPr>
            <w:tcW w:w="1869" w:type="dxa"/>
            <w:shd w:val="clear" w:color="auto" w:fill="auto"/>
            <w:tcMar>
              <w:top w:w="91" w:type="dxa"/>
              <w:left w:w="0" w:type="dxa"/>
              <w:bottom w:w="91" w:type="dxa"/>
              <w:right w:w="0" w:type="dxa"/>
            </w:tcMar>
          </w:tcPr>
          <w:p w:rsidR="00C403DB" w:rsidRPr="00C403DB" w:rsidRDefault="00C403DB" w:rsidP="000A3A96">
            <w:pPr>
              <w:pStyle w:val="TableSideHeading"/>
              <w:rPr>
                <w:rtl/>
              </w:rPr>
            </w:pPr>
          </w:p>
        </w:tc>
        <w:tc>
          <w:tcPr>
            <w:tcW w:w="624" w:type="dxa"/>
            <w:shd w:val="clear" w:color="auto" w:fill="auto"/>
            <w:tcMar>
              <w:top w:w="91" w:type="dxa"/>
              <w:left w:w="0" w:type="dxa"/>
              <w:bottom w:w="91" w:type="dxa"/>
              <w:right w:w="0" w:type="dxa"/>
            </w:tcMar>
          </w:tcPr>
          <w:p w:rsidR="00C403DB" w:rsidRPr="00C403DB" w:rsidRDefault="00C403DB" w:rsidP="000A3A96">
            <w:pPr>
              <w:pStyle w:val="TableText"/>
              <w:rPr>
                <w:rtl/>
              </w:rPr>
            </w:pPr>
          </w:p>
        </w:tc>
        <w:tc>
          <w:tcPr>
            <w:tcW w:w="7145" w:type="dxa"/>
            <w:gridSpan w:val="3"/>
            <w:shd w:val="clear" w:color="auto" w:fill="auto"/>
            <w:tcMar>
              <w:top w:w="91" w:type="dxa"/>
              <w:left w:w="0" w:type="dxa"/>
              <w:bottom w:w="91" w:type="dxa"/>
              <w:right w:w="0" w:type="dxa"/>
            </w:tcMar>
          </w:tcPr>
          <w:p w:rsidR="00C403DB" w:rsidRPr="00C403DB" w:rsidRDefault="00C403DB" w:rsidP="00C403DB">
            <w:pPr>
              <w:pStyle w:val="TableBlock"/>
            </w:pPr>
            <w:r w:rsidRPr="00C403DB">
              <w:rPr>
                <w:rFonts w:hint="cs"/>
                <w:rtl/>
              </w:rPr>
              <w:t xml:space="preserve">"מפעיל צהרון" </w:t>
            </w:r>
            <w:r w:rsidRPr="00C403DB">
              <w:rPr>
                <w:rFonts w:hint="eastAsia"/>
                <w:rtl/>
              </w:rPr>
              <w:t>–</w:t>
            </w:r>
            <w:r w:rsidRPr="00C403DB">
              <w:rPr>
                <w:rFonts w:hint="cs"/>
                <w:rtl/>
              </w:rPr>
              <w:t xml:space="preserve"> בין בעצמו ובין באמצעות מי מטעמו, וכן מנהל צהרון או בעלים של צהרון;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tl/>
              </w:rPr>
              <w:t>"מרכז קהילתי" – מבנה ציבור המיועד או משמש דרך כלל לקיום פעילות קהילתית או חברתית;</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tl/>
              </w:rPr>
              <w:t>"צהרון" – מסגרת חינוכית בלתי</w:t>
            </w:r>
            <w:r w:rsidRPr="00C403DB">
              <w:rPr>
                <w:rFonts w:hint="cs"/>
                <w:rtl/>
              </w:rPr>
              <w:t>-</w:t>
            </w:r>
            <w:r w:rsidRPr="00C403DB">
              <w:rPr>
                <w:rtl/>
              </w:rPr>
              <w:t>פורמלית לילדים עד כיתה ג', המשמשת לשהות יומית של ילדים כאמור חמישה ימים בשבוע ופועלת לאחר שעות הלימודים או בתקופות של חופשות לימודים במהלך שנת הלימודים, ומתקיים בה אחד אלה: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היא פועלת בשטח מוסד חינוך</w:t>
            </w:r>
            <w:r w:rsidRPr="00C403DB">
              <w:rPr>
                <w:rFonts w:hint="cs"/>
                <w:rtl/>
              </w:rPr>
              <w:t>, למעט מוסד חינוך שהמדינה או רשות מקומית אינן משתתפות בתקציבו, במישרין או בעקיפין</w:t>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היא מופעלת על ידי רשות מקומית או מי מטעמה בשטח מרכז קהילתי;</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(3)</w:t>
            </w:r>
            <w:r w:rsidRPr="00C403DB">
              <w:rPr>
                <w:rtl/>
              </w:rPr>
              <w:tab/>
            </w:r>
            <w:r w:rsidRPr="00C403DB">
              <w:rPr>
                <w:rFonts w:hint="cs"/>
                <w:rtl/>
              </w:rPr>
              <w:t>היא מופעלת על ידי חברה ממשלתית בשטח מרכז קהילתי;</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tl/>
              </w:rPr>
              <w:t>"רשות מקומית" – עירייה</w:t>
            </w:r>
            <w:r w:rsidRPr="00C403DB">
              <w:rPr>
                <w:rFonts w:hint="cs"/>
                <w:rtl/>
              </w:rPr>
              <w:t>,</w:t>
            </w:r>
            <w:r w:rsidRPr="00C403DB">
              <w:rPr>
                <w:rtl/>
              </w:rPr>
              <w:t xml:space="preserve"> מועצה מקומית</w:t>
            </w:r>
            <w:r w:rsidRPr="00C403DB">
              <w:rPr>
                <w:rFonts w:hint="cs"/>
                <w:rtl/>
              </w:rPr>
              <w:t xml:space="preserve"> או מועצה אזורית</w:t>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tl/>
              </w:rPr>
              <w:t>"השר" – שר החינוך.</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rtl/>
              </w:rPr>
            </w:pPr>
            <w:r w:rsidRPr="00C403DB">
              <w:rPr>
                <w:rtl/>
              </w:rPr>
              <w:t>פרק ב': הממונה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 xml:space="preserve">מינוי ממונה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2.</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השר ימנה, מבין עובדי משרדו, ממונה לעניין חוק זה; הממונה יהיה אחראי לפיקוח על הפעלת צהרונים לפי חוק זה.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 xml:space="preserve">הודעה על מינוי הממונה תפורסם ברשומות.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rtl/>
              </w:rPr>
            </w:pPr>
            <w:r w:rsidRPr="00C403DB">
              <w:rPr>
                <w:rtl/>
              </w:rPr>
              <w:t>פרק ג': הפעלת צהרון וניהולו ומחיר מרבי</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 xml:space="preserve">הפעלת צהרון וניהולו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3.</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לא יפעיל אדם צהרון ולא ינהל אותו, אלא בהתאם להוראות לפי חוק זה.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rtl/>
              </w:rPr>
              <w:t xml:space="preserve">הצהרה של מפעיל צהרון והודעה לרשות המקומית </w:t>
            </w:r>
            <w:r w:rsidRPr="00C403DB">
              <w:rPr>
                <w:szCs w:val="20"/>
                <w:rtl/>
              </w:rPr>
              <w:t xml:space="preserve">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4.</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 xml:space="preserve">מפעיל צהרון יגיש לממונה </w:t>
            </w:r>
            <w:r w:rsidRPr="00C403DB">
              <w:rPr>
                <w:rFonts w:hint="cs"/>
                <w:rtl/>
              </w:rPr>
              <w:t>תצהיר</w:t>
            </w:r>
            <w:r w:rsidRPr="00C403DB">
              <w:rPr>
                <w:rtl/>
              </w:rPr>
              <w:t xml:space="preserve"> כי הוא עומד בהוראות לפי חוק זה; </w:t>
            </w:r>
            <w:r w:rsidRPr="00C403DB">
              <w:rPr>
                <w:rFonts w:hint="cs"/>
                <w:rtl/>
              </w:rPr>
              <w:t>התצהיר ייחתם</w:t>
            </w:r>
            <w:r w:rsidRPr="00C403DB">
              <w:rPr>
                <w:rtl/>
              </w:rPr>
              <w:t xml:space="preserve"> בידי המפעיל או מי שמורשה לכך מטעמו, ואם הוא תאגיד – בידי מורשה חתימה של התאגיד</w:t>
            </w:r>
            <w:r w:rsidRPr="00C403DB">
              <w:rPr>
                <w:rFonts w:hint="cs"/>
                <w:rtl/>
              </w:rPr>
              <w:t xml:space="preserve">; לעניין מפעיל צהרון המנוי בפסקה (2) להגדרה "צהרון" </w:t>
            </w:r>
            <w:r w:rsidRPr="00C403DB">
              <w:rPr>
                <w:rtl/>
              </w:rPr>
              <w:t>–</w:t>
            </w:r>
            <w:r w:rsidRPr="00C403DB">
              <w:rPr>
                <w:rFonts w:hint="cs"/>
                <w:rtl/>
              </w:rPr>
              <w:t xml:space="preserve"> הרשות המקומית שהצהרון פועל בתחומה תגיש תצהיר כאמור לממונה.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 xml:space="preserve">השר יקבע הוראות לעניין </w:t>
            </w:r>
            <w:r w:rsidRPr="00C403DB">
              <w:rPr>
                <w:rFonts w:hint="cs"/>
                <w:rtl/>
              </w:rPr>
              <w:t>התצהיר</w:t>
            </w:r>
            <w:r w:rsidRPr="00C403DB">
              <w:rPr>
                <w:rtl/>
              </w:rPr>
              <w:t>, ובכלל זה הוראות לעניין מועדי הגשת</w:t>
            </w:r>
            <w:r w:rsidRPr="00C403DB">
              <w:rPr>
                <w:rFonts w:hint="cs"/>
                <w:rtl/>
              </w:rPr>
              <w:t>ו</w:t>
            </w:r>
            <w:r w:rsidRPr="00C403DB">
              <w:rPr>
                <w:rtl/>
              </w:rPr>
              <w:t>, המסמכים שיצורפו ל</w:t>
            </w:r>
            <w:r w:rsidRPr="00C403DB">
              <w:rPr>
                <w:rFonts w:hint="cs"/>
                <w:rtl/>
              </w:rPr>
              <w:t>ו</w:t>
            </w:r>
            <w:r w:rsidRPr="00C403DB">
              <w:rPr>
                <w:rtl/>
              </w:rPr>
              <w:t xml:space="preserve"> והפרטים ש</w:t>
            </w:r>
            <w:r w:rsidRPr="00C403DB">
              <w:rPr>
                <w:rFonts w:hint="cs"/>
                <w:rtl/>
              </w:rPr>
              <w:t>י</w:t>
            </w:r>
            <w:r w:rsidRPr="00C403DB">
              <w:rPr>
                <w:rtl/>
              </w:rPr>
              <w:t>כלול, ובין היתר פרטים לעניין הספקה של מזון לצהרון, ורשאי הוא לקבוע הוראות שונות לסוגים שונים של צהרונים.</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rtl/>
              </w:rPr>
              <w:t>הודעה לרשות המקומית</w:t>
            </w:r>
            <w:r w:rsidRPr="00C403DB">
              <w:rPr>
                <w:szCs w:val="20"/>
                <w:rtl/>
              </w:rPr>
              <w:t xml:space="preserve">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5.</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מפעיל צהרון שאינו רשות מקומית או מי מטעמה יודיע לרשות המקומית שהוא פועל בתחומה על פתיחת הצהרון והפעלתו, והכול כפי שיקבע השר.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תנאים לפתיחת צהרון ולהפעלתו</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6.</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השר, באישור ועדת החינוך, התרבות והספורט של הכנסת, יקבע תנאים לפתיחת צהרון ולהפעלתו, ורשאי הוא לקבוע תנאים שונים לפי סוגים שונים של צהרונים או לפי מספר הילדים השוהים בצהרון או גילם, כמפורט להלן: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תנאים ואמצעים הדרושים להפעלתו התקינה של הצהרון, ובכלל זה תנאים פיזיים, בטיחותיים וסביבתיים, ובלבד שתקנות בעניין תברואה והזנה ייקבעו בהסכמת שר הבריאות;</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 xml:space="preserve">תנאים הנדרשים מממלאי תפקידים בצהרון, ורשאי השר לקבוע תנאים שונים לסוגים שונים של ממלאי תפקידים, ובכלל זה תנאים לעניין ניסיון והכשרה מקצועית, לרבות השתלמויות והדרכות ועמידה בבחינות מקצועיות;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(3)</w:t>
            </w:r>
            <w:r w:rsidRPr="00C403DB">
              <w:rPr>
                <w:rtl/>
              </w:rPr>
              <w:tab/>
              <w:t>השירותים שיינתנו בכל סוג צהרון, לרבות סדר היום</w:t>
            </w:r>
            <w:r w:rsidRPr="00C403DB">
              <w:rPr>
                <w:rFonts w:hint="cs"/>
                <w:rtl/>
              </w:rPr>
              <w:t>,</w:t>
            </w:r>
            <w:r w:rsidRPr="00C403DB">
              <w:rPr>
                <w:rtl/>
              </w:rPr>
              <w:t xml:space="preserve"> התכנית החינוכית</w:t>
            </w:r>
            <w:r w:rsidRPr="00C403DB">
              <w:rPr>
                <w:rFonts w:hint="cs"/>
                <w:rtl/>
              </w:rPr>
              <w:t xml:space="preserve"> והמזון שיוגש</w:t>
            </w:r>
            <w:r w:rsidRPr="00C403DB">
              <w:rPr>
                <w:rtl/>
              </w:rPr>
              <w:t>, והוראות לעניין איכות השירותים, תדירותם ובידי מי יינתנו (בחוק זה – סל השירותים);</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(4)</w:t>
            </w:r>
            <w:r w:rsidRPr="00C403DB">
              <w:rPr>
                <w:rtl/>
              </w:rPr>
              <w:tab/>
              <w:t>תקן ממלאי תפקידים בצהרון והיחס בין מספרם ובין מספר הילדים השוהים בצהרון.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rFonts w:hint="cs"/>
                <w:rtl/>
              </w:rPr>
              <w:t>סייגים</w:t>
            </w:r>
            <w:r w:rsidRPr="00C403DB">
              <w:rPr>
                <w:rtl/>
              </w:rPr>
              <w:t xml:space="preserve"> </w:t>
            </w:r>
            <w:r w:rsidRPr="00C403DB">
              <w:rPr>
                <w:rFonts w:hint="cs"/>
                <w:rtl/>
              </w:rPr>
              <w:t>להפעלת הצהרון ו</w:t>
            </w:r>
            <w:r w:rsidRPr="00C403DB">
              <w:rPr>
                <w:rtl/>
              </w:rPr>
              <w:t>להעסקת עובדים בצהרון</w:t>
            </w:r>
            <w:r w:rsidRPr="00C403DB">
              <w:rPr>
                <w:szCs w:val="20"/>
                <w:rtl/>
              </w:rPr>
              <w:t xml:space="preserve">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7.</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 xml:space="preserve">(א) </w:t>
            </w:r>
            <w:r w:rsidRPr="00C403DB">
              <w:rPr>
                <w:rtl/>
              </w:rPr>
              <w:tab/>
              <w:t xml:space="preserve">לא </w:t>
            </w:r>
            <w:r w:rsidR="003745BF">
              <w:rPr>
                <w:rFonts w:hint="cs"/>
                <w:rtl/>
              </w:rPr>
              <w:t>יפעיל אדם צהרון</w:t>
            </w:r>
            <w:r w:rsidRPr="00C403DB">
              <w:rPr>
                <w:rFonts w:hint="cs"/>
                <w:rtl/>
              </w:rPr>
              <w:t xml:space="preserve">, ולא </w:t>
            </w:r>
            <w:r w:rsidRPr="00C403DB">
              <w:rPr>
                <w:rtl/>
              </w:rPr>
              <w:t>יעסיק אדם עובד בצהרון אם התקיים בו אחד מאלה:</w:t>
            </w:r>
          </w:p>
        </w:tc>
      </w:tr>
      <w:tr w:rsidR="003567EE" w:rsidRPr="00C403DB" w:rsidTr="000A3A96">
        <w:tblPrEx>
          <w:tblLook w:val="01E0" w:firstRow="1" w:lastRow="1" w:firstColumn="1" w:lastColumn="1" w:noHBand="0" w:noVBand="0"/>
        </w:tblPrEx>
        <w:trPr>
          <w:cantSplit/>
          <w:trHeight w:val="60"/>
        </w:trPr>
        <w:tc>
          <w:tcPr>
            <w:tcW w:w="1869" w:type="dxa"/>
          </w:tcPr>
          <w:p w:rsidR="003567EE" w:rsidRPr="00C403DB" w:rsidRDefault="003567EE" w:rsidP="000A3A96">
            <w:pPr>
              <w:pStyle w:val="TableSideHeading"/>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6521" w:type="dxa"/>
            <w:gridSpan w:val="2"/>
          </w:tcPr>
          <w:p w:rsidR="003567EE" w:rsidRPr="00C403DB" w:rsidRDefault="003567EE" w:rsidP="000A3A96">
            <w:pPr>
              <w:pStyle w:val="TableBlock"/>
            </w:pPr>
            <w:r w:rsidRPr="00C403DB">
              <w:rPr>
                <w:rtl/>
              </w:rPr>
              <w:t>(1)</w:t>
            </w:r>
            <w:r w:rsidRPr="00C403DB">
              <w:rPr>
                <w:rtl/>
              </w:rPr>
              <w:tab/>
              <w:t>הוא הורשע בעבירת מין כהגדרתה בחוק למניעת העסקה של עברייני מין במוסדות מסוימים, התשס"א–2001‏</w:t>
            </w:r>
            <w:r w:rsidRPr="00C403DB">
              <w:rPr>
                <w:rStyle w:val="a7"/>
                <w:rtl/>
              </w:rPr>
              <w:footnoteReference w:id="3"/>
            </w:r>
            <w:r w:rsidRPr="00C403DB">
              <w:rPr>
                <w:rFonts w:hint="cs"/>
                <w:rtl/>
              </w:rPr>
              <w:t>;</w:t>
            </w:r>
            <w:r w:rsidRPr="00C403DB">
              <w:rPr>
                <w:rtl/>
              </w:rPr>
              <w:t xml:space="preserve"> </w:t>
            </w:r>
          </w:p>
        </w:tc>
      </w:tr>
      <w:tr w:rsidR="003567EE" w:rsidRPr="00C403DB" w:rsidTr="000A3A96">
        <w:tblPrEx>
          <w:tblLook w:val="01E0" w:firstRow="1" w:lastRow="1" w:firstColumn="1" w:lastColumn="1" w:noHBand="0" w:noVBand="0"/>
        </w:tblPrEx>
        <w:trPr>
          <w:cantSplit/>
          <w:trHeight w:val="60"/>
        </w:trPr>
        <w:tc>
          <w:tcPr>
            <w:tcW w:w="1869" w:type="dxa"/>
          </w:tcPr>
          <w:p w:rsidR="003567EE" w:rsidRPr="00C403DB" w:rsidRDefault="003567EE" w:rsidP="000A3A96">
            <w:pPr>
              <w:pStyle w:val="TableSideHeading"/>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6521" w:type="dxa"/>
            <w:gridSpan w:val="2"/>
          </w:tcPr>
          <w:p w:rsidR="003567EE" w:rsidRPr="00C403DB" w:rsidRDefault="003567EE" w:rsidP="000A3A96">
            <w:pPr>
              <w:pStyle w:val="TableBlock"/>
            </w:pPr>
            <w:r w:rsidRPr="00C403DB">
              <w:rPr>
                <w:rtl/>
              </w:rPr>
              <w:t>(2)</w:t>
            </w:r>
            <w:r w:rsidRPr="00C403DB">
              <w:rPr>
                <w:rtl/>
              </w:rPr>
              <w:tab/>
              <w:t>נודע לממונה כי הוא הורשע בעבירה אשר מפאת מהותה, חומרתה או נסיבותיה אין הוא ראוי לעבוד בצהרון, או שהוגש נגדו כתב אישום בעבירה כאמו</w:t>
            </w:r>
            <w:r w:rsidRPr="00C403DB">
              <w:rPr>
                <w:rFonts w:hint="cs"/>
                <w:rtl/>
              </w:rPr>
              <w:t>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w:t>
            </w:r>
            <w:r w:rsidRPr="00C403DB">
              <w:rPr>
                <w:rFonts w:hint="cs"/>
                <w:rtl/>
              </w:rPr>
              <w:t>ב</w:t>
            </w:r>
            <w:r w:rsidRPr="00C403DB">
              <w:rPr>
                <w:rtl/>
              </w:rPr>
              <w:t>)</w:t>
            </w:r>
            <w:r w:rsidRPr="00C403DB">
              <w:rPr>
                <w:rtl/>
              </w:rPr>
              <w:tab/>
            </w:r>
            <w:r w:rsidRPr="00C403DB">
              <w:rPr>
                <w:rFonts w:hint="cs"/>
                <w:rtl/>
              </w:rPr>
              <w:t xml:space="preserve">לא יעסיק אדם עובד בצהרון אם </w:t>
            </w:r>
            <w:r w:rsidRPr="00C403DB">
              <w:rPr>
                <w:rtl/>
              </w:rPr>
              <w:t xml:space="preserve">נודע לממונה כי יש בהתנהגותו משום השפעה מזיקה על ילדים.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 xml:space="preserve">(ג) </w:t>
            </w:r>
            <w:r w:rsidRPr="00C403DB">
              <w:rPr>
                <w:rtl/>
              </w:rPr>
              <w:tab/>
            </w:r>
            <w:r w:rsidRPr="00C403DB">
              <w:rPr>
                <w:rFonts w:hint="cs"/>
                <w:rtl/>
              </w:rPr>
              <w:t>נודע לממונה כי התקיים בעובד בצהרון סייג מהסייגים  המנויים בסעיפים קטנים (א) או (ב), רשאי הוא לדרוש כי העובד יפוטר, לאחר שנתן לנוגע בדבר הזדמנות נאותה להשמיע טענותיו; לא קוימה הוראת הממונה לעניין זה, יחולו הוראות פרק 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(ד)</w:t>
            </w:r>
            <w:r w:rsidRPr="00C403DB">
              <w:rPr>
                <w:rtl/>
              </w:rPr>
              <w:tab/>
            </w:r>
            <w:r w:rsidRPr="00C403DB">
              <w:rPr>
                <w:rFonts w:hint="cs"/>
                <w:rtl/>
              </w:rPr>
              <w:t>מי ש</w:t>
            </w:r>
            <w:r w:rsidRPr="00C403DB">
              <w:rPr>
                <w:rtl/>
              </w:rPr>
              <w:t>רואה את עצמו נפגע על ידי דריש</w:t>
            </w:r>
            <w:r w:rsidRPr="00C403DB">
              <w:rPr>
                <w:rFonts w:hint="cs"/>
                <w:rtl/>
              </w:rPr>
              <w:t>ת</w:t>
            </w:r>
            <w:r w:rsidRPr="00C403DB">
              <w:rPr>
                <w:rtl/>
              </w:rPr>
              <w:t xml:space="preserve"> </w:t>
            </w:r>
            <w:r w:rsidRPr="00C403DB">
              <w:rPr>
                <w:rFonts w:hint="cs"/>
                <w:rtl/>
              </w:rPr>
              <w:t xml:space="preserve">פיטורין </w:t>
            </w:r>
            <w:r w:rsidRPr="00C403DB">
              <w:rPr>
                <w:rtl/>
              </w:rPr>
              <w:t xml:space="preserve">כאמור בסעיף </w:t>
            </w:r>
            <w:r w:rsidRPr="00C403DB">
              <w:rPr>
                <w:rFonts w:hint="cs"/>
                <w:rtl/>
              </w:rPr>
              <w:t>קטן (ג)</w:t>
            </w:r>
            <w:r w:rsidRPr="00C403DB">
              <w:rPr>
                <w:rtl/>
              </w:rPr>
              <w:t xml:space="preserve">, רשאי לערור על כך, </w:t>
            </w:r>
            <w:r w:rsidRPr="00C403DB">
              <w:rPr>
                <w:rFonts w:hint="cs"/>
                <w:rtl/>
              </w:rPr>
              <w:t>ב</w:t>
            </w:r>
            <w:r w:rsidRPr="00C403DB">
              <w:rPr>
                <w:rtl/>
              </w:rPr>
              <w:t xml:space="preserve">תוך </w:t>
            </w:r>
            <w:r w:rsidRPr="00C403DB">
              <w:rPr>
                <w:rFonts w:hint="cs"/>
                <w:rtl/>
              </w:rPr>
              <w:t>21</w:t>
            </w:r>
            <w:r w:rsidRPr="00C403DB">
              <w:rPr>
                <w:rtl/>
              </w:rPr>
              <w:t xml:space="preserve"> י</w:t>
            </w:r>
            <w:r w:rsidRPr="00C403DB">
              <w:rPr>
                <w:rFonts w:hint="cs"/>
                <w:rtl/>
              </w:rPr>
              <w:t>מי</w:t>
            </w:r>
            <w:r w:rsidRPr="00C403DB">
              <w:rPr>
                <w:rtl/>
              </w:rPr>
              <w:t>ם מהיום שהודע לו על הדרישה, לפני שר החינוך</w:t>
            </w:r>
            <w:r w:rsidRPr="00C403DB">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 xml:space="preserve">תזונה ומזון </w:t>
            </w:r>
            <w:r w:rsidRPr="00C403DB">
              <w:rPr>
                <w:rtl/>
              </w:rPr>
              <w:br/>
              <w:t>בצהרון</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8.</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לא יתקשר מפעיל צהרון בקשר למכירה ולהספקה של מזון לצהרון שהוא מפעיל אלא עם ספק מזון מורשה כהגדרתו בחוק לפיקוח על איכות המזון (בסעיף זה – ספק מזון מורשה), שהציג לפניו את הרישיון שבידו והצהיר בכתב כי המזון שהוא מוכר או מספק לצהרון עומד בתנאים לפי סעיף 4 לאותו חוק.</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ספק מזון לא ימכור ולא יספק מזון לצהרון אלא אם כן הוא ספק מזון מורשה והמזון עומד בתנאים לפי סעיף 4 לחוק לפיקוח על איכות המזון.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(ג)</w:t>
            </w:r>
            <w:r w:rsidRPr="00C403DB">
              <w:rPr>
                <w:rtl/>
              </w:rPr>
              <w:tab/>
              <w:t>מפעיל צהרון יפרסם בצהרון, באופן גלוי וזמין לכול, בתחילת כל חודש, פירוט תפריט יומי של המזון המסופק בצהרון; מפעיל יתעד פרסום כאמור וישמור העתק צילומי מכל פרסום; השר רשאי לקבוע הוראות לעניין פרסום כאמור.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(ד)</w:t>
            </w:r>
            <w:r w:rsidRPr="00C403DB">
              <w:rPr>
                <w:rtl/>
              </w:rPr>
              <w:tab/>
              <w:t>מפעיל יביא לידיעת הילדים והוריהם בתחילת כל שנת לימודים ויפרסם בצהרון באופן גלוי וזמין לכול את העניינים האלה: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ההוראות והתנאים שנקבעו בחוק לפיקוח על איכות המזון; השר רשאי לקבוע הוראות לעניין חובת יידוע כאמור;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פרטי ספק המזון המורשה שעמו התקשר למכירה או להספקה של מזון לצהרון שהוא מפעיל; הוחלף ספק המזון המורשה במהלך שנת הלימודים, יפרסם המפעיל את פרטי הספק המורשה החדש באופן האמור בסעיף קטן זה בלא דיחוי.</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קביעת מחיר חודשי מרבי לצהרון ושיעור השתתפות המדינה</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9.</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השר, בהסכמת שר האוצר, לאחר התייעצות עם ועדת החינוך, התרבות והספורט של הכנסת, רשאי לקבוע, בצו –</w:t>
            </w:r>
          </w:p>
        </w:tc>
      </w:tr>
      <w:tr w:rsidR="003567EE" w:rsidRPr="00C403DB" w:rsidTr="000A3A96">
        <w:trPr>
          <w:cantSplit/>
        </w:trPr>
        <w:tc>
          <w:tcPr>
            <w:tcW w:w="1869" w:type="dxa"/>
            <w:shd w:val="clear" w:color="auto" w:fill="auto"/>
          </w:tcPr>
          <w:p w:rsidR="003567EE" w:rsidRPr="00C403DB" w:rsidRDefault="003567EE" w:rsidP="000A3A96">
            <w:pPr>
              <w:pStyle w:val="TableSideHeading"/>
              <w:ind w:right="0"/>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 xml:space="preserve">מחיר חודשי מרבי לעניין שירות של צהרון שייגבה בעד כל ילד השוהה בצהרון, בין היתר על בסיס עלות הצהרון ותקורה סבירה; </w:t>
            </w:r>
            <w:r w:rsidRPr="00C403DB">
              <w:rPr>
                <w:rFonts w:hint="cs"/>
                <w:rtl/>
              </w:rPr>
              <w:t>מחיר כאמור ייקבע בין היתר בהתחשב באמות המידה המפורטות להלן, ו</w:t>
            </w:r>
            <w:r w:rsidRPr="00C403DB">
              <w:rPr>
                <w:rtl/>
              </w:rPr>
              <w:t>רשאי</w:t>
            </w:r>
            <w:r w:rsidRPr="00C403DB">
              <w:rPr>
                <w:rFonts w:hint="cs"/>
                <w:rtl/>
              </w:rPr>
              <w:t xml:space="preserve"> השר </w:t>
            </w:r>
            <w:r w:rsidRPr="00C403DB">
              <w:rPr>
                <w:rtl/>
              </w:rPr>
              <w:t xml:space="preserve">לקבוע מחירים חודשיים מרביים שונים </w:t>
            </w:r>
            <w:r w:rsidRPr="00C403DB">
              <w:rPr>
                <w:rFonts w:hint="cs"/>
                <w:rtl/>
              </w:rPr>
              <w:t>בהתאם לאמות מידה אלו:</w:t>
            </w:r>
            <w:r w:rsidRPr="00C403DB">
              <w:rPr>
                <w:rtl/>
              </w:rPr>
              <w:t xml:space="preserve"> </w:t>
            </w:r>
          </w:p>
        </w:tc>
      </w:tr>
      <w:tr w:rsidR="003567EE" w:rsidRPr="00C403DB" w:rsidTr="00C403DB">
        <w:tblPrEx>
          <w:tblLook w:val="01E0" w:firstRow="1" w:lastRow="1" w:firstColumn="1" w:lastColumn="1" w:noHBand="0" w:noVBand="0"/>
        </w:tblPrEx>
        <w:trPr>
          <w:cantSplit/>
          <w:trHeight w:val="60"/>
        </w:trPr>
        <w:tc>
          <w:tcPr>
            <w:tcW w:w="1869" w:type="dxa"/>
          </w:tcPr>
          <w:p w:rsidR="003567EE" w:rsidRPr="00C403DB" w:rsidRDefault="003567EE" w:rsidP="000A3A96">
            <w:pPr>
              <w:pStyle w:val="TableSideHeading"/>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5897" w:type="dxa"/>
          </w:tcPr>
          <w:p w:rsidR="003567EE" w:rsidRPr="00C403DB" w:rsidRDefault="003567EE" w:rsidP="000A3A96">
            <w:pPr>
              <w:pStyle w:val="TableBlock"/>
            </w:pPr>
            <w:r w:rsidRPr="00C403DB">
              <w:rPr>
                <w:rFonts w:hint="cs"/>
                <w:rtl/>
              </w:rPr>
              <w:t>(א)</w:t>
            </w:r>
            <w:r w:rsidRPr="00C403DB">
              <w:rPr>
                <w:rtl/>
              </w:rPr>
              <w:tab/>
              <w:t xml:space="preserve">אופן </w:t>
            </w:r>
            <w:r w:rsidRPr="00C403DB">
              <w:rPr>
                <w:rFonts w:hint="cs"/>
                <w:rtl/>
              </w:rPr>
              <w:t>ה</w:t>
            </w:r>
            <w:r w:rsidRPr="00C403DB">
              <w:rPr>
                <w:rtl/>
              </w:rPr>
              <w:t>התאגדות</w:t>
            </w:r>
            <w:r w:rsidRPr="00C403DB">
              <w:rPr>
                <w:rFonts w:hint="cs"/>
                <w:rtl/>
              </w:rPr>
              <w:t xml:space="preserve"> של מפעיל הצהרון;</w:t>
            </w:r>
          </w:p>
        </w:tc>
      </w:tr>
      <w:tr w:rsidR="003567EE" w:rsidRPr="00C403DB" w:rsidTr="00C403DB">
        <w:tblPrEx>
          <w:tblLook w:val="01E0" w:firstRow="1" w:lastRow="1" w:firstColumn="1" w:lastColumn="1" w:noHBand="0" w:noVBand="0"/>
        </w:tblPrEx>
        <w:trPr>
          <w:cantSplit/>
          <w:trHeight w:val="60"/>
        </w:trPr>
        <w:tc>
          <w:tcPr>
            <w:tcW w:w="1869" w:type="dxa"/>
          </w:tcPr>
          <w:p w:rsidR="003567EE" w:rsidRPr="00C403DB" w:rsidRDefault="003567EE" w:rsidP="000A3A96">
            <w:pPr>
              <w:pStyle w:val="TableSideHeading"/>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5897" w:type="dxa"/>
          </w:tcPr>
          <w:p w:rsidR="003567EE" w:rsidRPr="00C403DB" w:rsidRDefault="003567EE" w:rsidP="000A3A96">
            <w:pPr>
              <w:pStyle w:val="TableBlock"/>
            </w:pPr>
            <w:r w:rsidRPr="00C403DB">
              <w:rPr>
                <w:rFonts w:hint="cs"/>
                <w:rtl/>
              </w:rPr>
              <w:t>(ב)</w:t>
            </w:r>
            <w:r w:rsidRPr="00C403DB">
              <w:rPr>
                <w:rtl/>
              </w:rPr>
              <w:tab/>
              <w:t xml:space="preserve">סל השירותים שנקבע לפי סעיף 6(3) הניתן </w:t>
            </w:r>
            <w:r w:rsidRPr="00C403DB">
              <w:rPr>
                <w:rFonts w:hint="cs"/>
                <w:rtl/>
              </w:rPr>
              <w:t>בצהרון;</w:t>
            </w:r>
          </w:p>
        </w:tc>
      </w:tr>
      <w:tr w:rsidR="003567EE" w:rsidRPr="00C403DB" w:rsidTr="00C403DB">
        <w:tblPrEx>
          <w:tblLook w:val="01E0" w:firstRow="1" w:lastRow="1" w:firstColumn="1" w:lastColumn="1" w:noHBand="0" w:noVBand="0"/>
        </w:tblPrEx>
        <w:trPr>
          <w:cantSplit/>
          <w:trHeight w:val="60"/>
        </w:trPr>
        <w:tc>
          <w:tcPr>
            <w:tcW w:w="1869" w:type="dxa"/>
          </w:tcPr>
          <w:p w:rsidR="003567EE" w:rsidRPr="00C403DB" w:rsidRDefault="003567EE" w:rsidP="000A3A96">
            <w:pPr>
              <w:pStyle w:val="TableSideHeading"/>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5897" w:type="dxa"/>
          </w:tcPr>
          <w:p w:rsidR="003567EE" w:rsidRPr="00C403DB" w:rsidRDefault="003567EE" w:rsidP="000A3A96">
            <w:pPr>
              <w:pStyle w:val="TableBlock"/>
            </w:pPr>
            <w:r w:rsidRPr="00C403DB">
              <w:rPr>
                <w:rFonts w:hint="cs"/>
                <w:rtl/>
              </w:rPr>
              <w:t>(ג)</w:t>
            </w:r>
            <w:r w:rsidRPr="00C403DB">
              <w:rPr>
                <w:rtl/>
              </w:rPr>
              <w:tab/>
              <w:t xml:space="preserve">האזור שבו פועל </w:t>
            </w:r>
            <w:r w:rsidRPr="00C403DB">
              <w:rPr>
                <w:rFonts w:hint="cs"/>
                <w:rtl/>
              </w:rPr>
              <w:t>הצהרון;</w:t>
            </w:r>
          </w:p>
        </w:tc>
      </w:tr>
      <w:tr w:rsidR="003567EE" w:rsidRPr="00C403DB" w:rsidTr="00C403DB">
        <w:tblPrEx>
          <w:tblLook w:val="01E0" w:firstRow="1" w:lastRow="1" w:firstColumn="1" w:lastColumn="1" w:noHBand="0" w:noVBand="0"/>
        </w:tblPrEx>
        <w:trPr>
          <w:cantSplit/>
          <w:trHeight w:val="60"/>
        </w:trPr>
        <w:tc>
          <w:tcPr>
            <w:tcW w:w="1869" w:type="dxa"/>
          </w:tcPr>
          <w:p w:rsidR="003567EE" w:rsidRPr="00C403DB" w:rsidRDefault="003567EE" w:rsidP="000A3A96">
            <w:pPr>
              <w:pStyle w:val="TableSideHeading"/>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624" w:type="dxa"/>
          </w:tcPr>
          <w:p w:rsidR="003567EE" w:rsidRPr="00C403DB" w:rsidRDefault="003567EE" w:rsidP="000A3A96">
            <w:pPr>
              <w:pStyle w:val="TableText"/>
            </w:pPr>
          </w:p>
        </w:tc>
        <w:tc>
          <w:tcPr>
            <w:tcW w:w="5897" w:type="dxa"/>
          </w:tcPr>
          <w:p w:rsidR="003567EE" w:rsidRPr="00C403DB" w:rsidRDefault="003567EE" w:rsidP="000A3A96">
            <w:pPr>
              <w:pStyle w:val="TableBlock"/>
            </w:pPr>
            <w:r w:rsidRPr="00C403DB">
              <w:rPr>
                <w:rFonts w:hint="cs"/>
                <w:rtl/>
              </w:rPr>
              <w:t>(ד)</w:t>
            </w:r>
            <w:r w:rsidRPr="00C403DB">
              <w:rPr>
                <w:rtl/>
              </w:rPr>
              <w:tab/>
            </w:r>
            <w:r w:rsidRPr="00C403DB">
              <w:rPr>
                <w:rFonts w:hint="cs"/>
                <w:rtl/>
              </w:rPr>
              <w:t xml:space="preserve">מספר הילדים </w:t>
            </w:r>
            <w:r w:rsidRPr="00C403DB">
              <w:rPr>
                <w:rtl/>
              </w:rPr>
              <w:t xml:space="preserve">ושכבות הגיל של הילדים השוהים </w:t>
            </w:r>
            <w:r w:rsidRPr="00C403DB">
              <w:rPr>
                <w:rFonts w:hint="cs"/>
                <w:rtl/>
              </w:rPr>
              <w:t>בצהרון;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 xml:space="preserve">את שיעור השתתפות המדינה בעלות צהרונים, ורשאי השר לקבוע בדרך האמורה שיעורי השתתפות שונים, בין היתר על בסיס </w:t>
            </w:r>
            <w:r w:rsidRPr="00C403DB">
              <w:rPr>
                <w:rFonts w:hint="cs"/>
                <w:rtl/>
              </w:rPr>
              <w:t xml:space="preserve">אמות המידה </w:t>
            </w:r>
            <w:r w:rsidRPr="00C403DB">
              <w:rPr>
                <w:rtl/>
              </w:rPr>
              <w:t>כאמור בפסקה (1).</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 xml:space="preserve">מפעיל צהרון </w:t>
            </w:r>
            <w:r w:rsidRPr="00C403DB">
              <w:rPr>
                <w:rFonts w:hint="cs"/>
                <w:rtl/>
              </w:rPr>
              <w:t xml:space="preserve">לא ייתן </w:t>
            </w:r>
            <w:r w:rsidRPr="00C403DB">
              <w:rPr>
                <w:rtl/>
              </w:rPr>
              <w:t xml:space="preserve"> שירותי צהרון </w:t>
            </w:r>
            <w:r w:rsidRPr="00C403DB">
              <w:rPr>
                <w:rFonts w:hint="cs"/>
                <w:rtl/>
              </w:rPr>
              <w:t>במחיר</w:t>
            </w:r>
            <w:r w:rsidRPr="00C403DB">
              <w:rPr>
                <w:rtl/>
              </w:rPr>
              <w:t xml:space="preserve"> העולה על המחיר החודשי המרבי שנקבע לפי סעיף קטן (א).</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חוב</w:t>
            </w:r>
            <w:r w:rsidRPr="00C403DB">
              <w:rPr>
                <w:rFonts w:hint="cs"/>
                <w:rtl/>
              </w:rPr>
              <w:t>ו</w:t>
            </w:r>
            <w:r w:rsidRPr="00C403DB">
              <w:rPr>
                <w:rtl/>
              </w:rPr>
              <w:t>ת רשות מקומית</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10.</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התקשרה רשות מקומית עם מפעיל צהרון, תותנה ההתקשרות בקיום הוראות חוק זה.</w:t>
            </w:r>
          </w:p>
        </w:tc>
      </w:tr>
      <w:tr w:rsidR="003567EE" w:rsidRPr="00C403DB" w:rsidTr="000A3A96">
        <w:trPr>
          <w:cantSplit/>
        </w:trPr>
        <w:tc>
          <w:tcPr>
            <w:tcW w:w="1869" w:type="dxa"/>
            <w:shd w:val="clear" w:color="auto" w:fill="auto"/>
          </w:tcPr>
          <w:p w:rsidR="003567EE" w:rsidRPr="00C403DB" w:rsidRDefault="003567EE" w:rsidP="000A3A96">
            <w:pPr>
              <w:pStyle w:val="TableSideHeading"/>
              <w:ind w:right="0"/>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רשות מקומית תגיש לממונה, בכל שנה, במועד שיקבע השר, רשימה של הצהרונים הפועלים בתחומה.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rtl/>
              </w:rPr>
            </w:pPr>
            <w:r w:rsidRPr="00C403DB">
              <w:rPr>
                <w:rtl/>
              </w:rPr>
              <w:t>פרק ד': פיקוח</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 xml:space="preserve">הסמכת מפקחים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11.</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השר יסמיך, מבין עובדי משרדו, מפקחים שיהיו נתונות להם הסמכויות לפי פרק זה, כולן או חלקן, לשם פיקוח על ביצוע ההוראות לפי חוק זה.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לא יוסמך מפקח כאמור בסעיף קטן (א), אלא אם כן מתקיימים בו כל אלה: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הוא לא הורשע בעבירה אשר מפאת מהותה, חומרתה או נסיבותיה הוא אינו ראוי, לדעת השר, לשמש מפקח;</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הוא קיבל הכשרה מתאימה בתחום הסמכויות שיהיו נתונות לו לפי חוק זה, כפי שהורה השר;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(3)</w:t>
            </w:r>
            <w:r w:rsidRPr="00C403DB">
              <w:rPr>
                <w:rtl/>
              </w:rPr>
              <w:tab/>
              <w:t>הוא עומד בתנאי כשירות נוספים, כפי שהורה השר.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 xml:space="preserve">סמכויות מפקחים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12.</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לשם פיקוח על ביצוע ההוראות לפי חוק זה, רשאי מפקח, לאחר שהזדהה לפי הוראות סעיף 13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לדרוש מכל אדם למסור לו את שמו ומענו ולהציג לפניו תעודת זהות או תעודה רשמית אחרת המזהה אותו;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לדרוש מכל אדם הנוגע בדבר למסור לו כל ידיעה או מסמך שיש בהם כדי להבטיח או להקל את ביצוען של ההוראות לפי חוק זה; בפסקה זו, "מסמך" – לרבות פלט, כהגדרתו בחוק המחשבים, התשנ"ה–1995‏</w:t>
            </w:r>
            <w:r w:rsidRPr="00C403DB">
              <w:rPr>
                <w:rStyle w:val="a7"/>
                <w:rtl/>
              </w:rPr>
              <w:footnoteReference w:id="4"/>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(3)</w:t>
            </w:r>
            <w:r w:rsidRPr="00C403DB">
              <w:rPr>
                <w:rtl/>
              </w:rPr>
              <w:tab/>
              <w:t>להיכנס בכל עת סבירה למקום שמופעל בו צהרון, ובלבד שלא ייכנס למקום המשמש למגורים אלא על פי צו של בית משפט.</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זיהוי מפקחים</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tl/>
              </w:rPr>
              <w:t>13.</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מפקח לא יעשה שימוש בסמכויות הנתונות לו לפי פרק זה אלא בעת מילוי תפקידו ובהתקיים שניים אלה: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הוא עונד באופן גלוי תג המזהה אותו ואת תפקידו;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יש בידו תעודה החתומה בידי השר, המעידה על תפקידו ועל סמכויותיו, שאותה יציג על פי דרישה.</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szCs w:val="20"/>
                <w:rtl/>
              </w:rPr>
            </w:pPr>
            <w:r w:rsidRPr="00C403DB">
              <w:rPr>
                <w:rFonts w:hint="cs"/>
                <w:rtl/>
              </w:rPr>
              <w:t>הפרעה למפקח</w:t>
            </w:r>
            <w:r w:rsidRPr="00C403DB">
              <w:rPr>
                <w:szCs w:val="20"/>
                <w:rtl/>
              </w:rPr>
              <w:t xml:space="preserve"> </w:t>
            </w:r>
          </w:p>
        </w:tc>
        <w:tc>
          <w:tcPr>
            <w:tcW w:w="624" w:type="dxa"/>
          </w:tcPr>
          <w:p w:rsidR="003567EE" w:rsidRPr="00C403DB" w:rsidRDefault="003567EE" w:rsidP="000A3A96">
            <w:pPr>
              <w:pStyle w:val="TableText"/>
              <w:keepLines w:val="0"/>
              <w:rPr>
                <w:rtl/>
              </w:rPr>
            </w:pPr>
            <w:r w:rsidRPr="00C403DB">
              <w:rPr>
                <w:rFonts w:hint="cs"/>
                <w:rtl/>
              </w:rPr>
              <w:t>14.</w:t>
            </w:r>
          </w:p>
        </w:tc>
        <w:tc>
          <w:tcPr>
            <w:tcW w:w="7145" w:type="dxa"/>
            <w:gridSpan w:val="3"/>
          </w:tcPr>
          <w:p w:rsidR="003567EE" w:rsidRPr="00C403DB" w:rsidRDefault="003567EE" w:rsidP="000A3A96">
            <w:pPr>
              <w:pStyle w:val="TableBlock"/>
              <w:rPr>
                <w:rtl/>
              </w:rPr>
            </w:pPr>
            <w:r w:rsidRPr="00C403DB">
              <w:rPr>
                <w:rFonts w:hint="cs"/>
                <w:rtl/>
              </w:rPr>
              <w:t xml:space="preserve">הפריע מפעיל צהרון או מי מטעמו למפקח להפעיל את סמכויותיו לפי סעיף 12, רשאי הממונה לשלוח לו התראה בכתב שלפיה אם לא יחדל מלהפריע כאמור בתוך תקופה שנקבעה בהתראה, יהיה רשאי הממונה להפעיל את סמכותו לפי פרק ה'.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rtl/>
              </w:rPr>
            </w:pPr>
            <w:r w:rsidRPr="00C403DB">
              <w:rPr>
                <w:rtl/>
              </w:rPr>
              <w:t>פרק ה': צו הגבלה מינהלי</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lastRenderedPageBreak/>
              <w:t>צו הגבלה מינהלי</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15</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היה לממונה יסוד סביר לחשד כי חדל להתקיים תנאי מהתנאים לפתיחת צהרון או להפעלתו לפי חוק זה, וכי נגרמת בשל כך פגיעה בשלומם או בבטיחותם של ילדים השוהים בו או שיש יסוד סביר לחשד שתיגרם בשל כך פגיעה כאמור, רשאי הוא לדרוש ממפעיל הצהרון לקיים את התנאי כאמור (בפרק זה – התראה) באופן ובתוך המועד שנקבעו בהתראה.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ניתנה התראה לפי הוראות סעיף קטן (א) ולא קוימו הוראותיה באופן ובמועד שנקבעו בה, רשאי הממונה להורות, בצו, כי המקום לא ישמש להפעלת צהרון או כי השימוש במקום ייעשה במגבלות ובתנאים שנקבעו בצו, והכול במידה שלא תעלה על הנדרש בנסיבות העניין (בפרק זה – צו הגבלה מינהלי)</w:t>
            </w:r>
            <w:r w:rsidRPr="00C403DB">
              <w:rPr>
                <w:rFonts w:hint="cs"/>
                <w:rtl/>
              </w:rPr>
              <w:t>; הממונה רשאי לקבוע בצו הגבלה מינהלי הוראות לעניין אחראים לביצועו ודרכי הבטחת מילויו.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(ג)</w:t>
            </w:r>
            <w:r w:rsidRPr="00C403DB">
              <w:rPr>
                <w:rtl/>
              </w:rPr>
              <w:tab/>
              <w:t xml:space="preserve">על אף האמור בסעיף קטן (א), מצא הממונה כי כתוצאה מפעילות הצהרון יש אפשרות ממשית לפגיעה מיידית בשלומם של הילדים השוהים בו, רשאי הוא להוציא צו הגבלה מינהלי, בלי שנתן התראה קודם לכן. </w:t>
            </w:r>
          </w:p>
        </w:tc>
      </w:tr>
      <w:tr w:rsidR="003567EE" w:rsidRPr="00C403DB" w:rsidTr="000A3A96">
        <w:tblPrEx>
          <w:tblLook w:val="01E0" w:firstRow="1" w:lastRow="1" w:firstColumn="1" w:lastColumn="1" w:noHBand="0" w:noVBand="0"/>
        </w:tblPrEx>
        <w:trPr>
          <w:cantSplit/>
          <w:trHeight w:val="60"/>
        </w:trPr>
        <w:tc>
          <w:tcPr>
            <w:tcW w:w="1869" w:type="dxa"/>
          </w:tcPr>
          <w:p w:rsidR="003567EE" w:rsidRPr="00C403DB" w:rsidRDefault="003567EE" w:rsidP="000A3A96">
            <w:pPr>
              <w:pStyle w:val="TableSideHeading"/>
            </w:pPr>
          </w:p>
        </w:tc>
        <w:tc>
          <w:tcPr>
            <w:tcW w:w="624" w:type="dxa"/>
          </w:tcPr>
          <w:p w:rsidR="003567EE" w:rsidRPr="00C403DB" w:rsidRDefault="003567EE" w:rsidP="000A3A96">
            <w:pPr>
              <w:pStyle w:val="TableText"/>
            </w:pPr>
          </w:p>
        </w:tc>
        <w:tc>
          <w:tcPr>
            <w:tcW w:w="7145" w:type="dxa"/>
            <w:gridSpan w:val="3"/>
          </w:tcPr>
          <w:p w:rsidR="003567EE" w:rsidRPr="00C403DB" w:rsidRDefault="003567EE" w:rsidP="000A3A96">
            <w:pPr>
              <w:pStyle w:val="TableBlock"/>
            </w:pPr>
            <w:r w:rsidRPr="00C403DB">
              <w:rPr>
                <w:rFonts w:hint="cs"/>
                <w:rtl/>
              </w:rPr>
              <w:t>(ד)</w:t>
            </w:r>
            <w:r w:rsidRPr="00C403DB">
              <w:rPr>
                <w:rtl/>
              </w:rPr>
              <w:tab/>
              <w:t xml:space="preserve">לא יינתן צו הגבלה מינהלי אלא לאחר שניתנה למפעיל </w:t>
            </w:r>
            <w:r w:rsidRPr="00C403DB">
              <w:rPr>
                <w:rFonts w:hint="cs"/>
                <w:rtl/>
              </w:rPr>
              <w:t xml:space="preserve">צהרון </w:t>
            </w:r>
            <w:r w:rsidRPr="00C403DB">
              <w:rPr>
                <w:rtl/>
              </w:rPr>
              <w:t>שלגביו ניתן הצו הזדמנות סבירה לטעון את טענותיו</w:t>
            </w:r>
            <w:r w:rsidRPr="00C403DB">
              <w:rPr>
                <w:rFonts w:hint="cs"/>
                <w:rtl/>
              </w:rPr>
              <w:t xml:space="preserve">; ואולם, </w:t>
            </w:r>
            <w:r w:rsidRPr="00C403DB">
              <w:rPr>
                <w:rtl/>
              </w:rPr>
              <w:t xml:space="preserve">הממונה </w:t>
            </w:r>
            <w:r w:rsidRPr="00C403DB">
              <w:rPr>
                <w:rFonts w:hint="cs"/>
                <w:rtl/>
              </w:rPr>
              <w:t xml:space="preserve">רשאי </w:t>
            </w:r>
            <w:r w:rsidRPr="00C403DB">
              <w:rPr>
                <w:rtl/>
              </w:rPr>
              <w:t>להוציא צו הגבלה מינהלי גם בלא שניתנה הזדמנות לטעון טענות כאמור, אם סבר שיהיה במתן הזדמנות לטעון טענות כאמור כדי לסכל את מטרת הוצאת הצו, ובלבד שהזדמנות כאמור תינתן בהקדם האפשרי לאחר מכן.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w:t>
            </w:r>
            <w:r w:rsidRPr="00C403DB">
              <w:rPr>
                <w:rFonts w:hint="cs"/>
                <w:rtl/>
              </w:rPr>
              <w:t>ה</w:t>
            </w:r>
            <w:r w:rsidRPr="00C403DB">
              <w:rPr>
                <w:rtl/>
              </w:rPr>
              <w:t>)</w:t>
            </w:r>
            <w:r w:rsidRPr="00C403DB">
              <w:rPr>
                <w:rtl/>
              </w:rPr>
              <w:tab/>
              <w:t>הממונה יקבע בצו ההגבלה המינהלי הוראות לעניין ביצועו, ובכלל זה הוראות בדבר מסירת הודעה להורי הילדים השוהים בצהרון שלגביו ניתן הצו על מתן הצו ועל הטעמים לנתינתו.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w:t>
            </w:r>
            <w:r w:rsidRPr="00C403DB">
              <w:rPr>
                <w:rFonts w:hint="cs"/>
                <w:rtl/>
              </w:rPr>
              <w:t>ו</w:t>
            </w:r>
            <w:r w:rsidRPr="00C403DB">
              <w:rPr>
                <w:rtl/>
              </w:rPr>
              <w:t>)</w:t>
            </w:r>
            <w:r w:rsidRPr="00C403DB">
              <w:rPr>
                <w:rtl/>
              </w:rPr>
              <w:tab/>
              <w:t>עותק של צו הגבלה מינהלי יוצג בצהרון שלגביו ניתן, ויומצא למפעיל הצהרון ולמנהלו, אם ניתן לאתרם בשקידה סבירה.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szCs w:val="20"/>
                <w:rtl/>
              </w:rPr>
              <w:t xml:space="preserve">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w:t>
            </w:r>
            <w:r w:rsidRPr="00C403DB">
              <w:rPr>
                <w:rFonts w:hint="cs"/>
                <w:rtl/>
              </w:rPr>
              <w:t>ז</w:t>
            </w:r>
            <w:r w:rsidRPr="00C403DB">
              <w:rPr>
                <w:rtl/>
              </w:rPr>
              <w:t>)</w:t>
            </w:r>
            <w:r w:rsidRPr="00C403DB">
              <w:rPr>
                <w:rtl/>
              </w:rPr>
              <w:tab/>
              <w:t>צו הגבלה מינהלי יעמוד בתוקפו לתקופה שתיקבע בו; הממונה רשאי להאריך את תוקפו לתקופות נוספות</w:t>
            </w:r>
            <w:r w:rsidRPr="00C403DB">
              <w:rPr>
                <w:rFonts w:hint="cs"/>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 xml:space="preserve">(ח) </w:t>
            </w:r>
            <w:r w:rsidRPr="00C403DB">
              <w:rPr>
                <w:rtl/>
              </w:rPr>
              <w:tab/>
            </w:r>
            <w:r w:rsidRPr="00C403DB">
              <w:rPr>
                <w:rFonts w:hint="cs"/>
                <w:rtl/>
              </w:rPr>
              <w:t xml:space="preserve">על החלטת הממונה לפי סעיף זה ניתן </w:t>
            </w:r>
            <w:r w:rsidRPr="00C403DB">
              <w:rPr>
                <w:rFonts w:hint="eastAsia"/>
                <w:rtl/>
              </w:rPr>
              <w:t>לערער</w:t>
            </w:r>
            <w:r w:rsidRPr="00C403DB">
              <w:rPr>
                <w:rtl/>
              </w:rPr>
              <w:t>/לערור</w:t>
            </w:r>
            <w:r w:rsidRPr="00C403DB">
              <w:rPr>
                <w:rFonts w:hint="cs"/>
                <w:rtl/>
              </w:rPr>
              <w:t xml:space="preserve"> לבית משפט השלום שבו יושב נשיא בית משפט השלום שבאזור שיפוטו ניתנה ההחלטה, בתוך 30 ימים מיום שנמסרה ההחלטה,  ולעניין צו הגבלה מינהלי </w:t>
            </w:r>
            <w:r w:rsidRPr="00C403DB">
              <w:rPr>
                <w:rtl/>
              </w:rPr>
              <w:t>–</w:t>
            </w:r>
            <w:r w:rsidRPr="00C403DB">
              <w:rPr>
                <w:rFonts w:hint="cs"/>
                <w:rtl/>
              </w:rPr>
              <w:t xml:space="preserve"> בתוך תקופת הצו. </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C403DB" w:rsidP="00C403DB">
            <w:pPr>
              <w:pStyle w:val="TableSideHeading"/>
              <w:keepLines w:val="0"/>
              <w:rPr>
                <w:rtl/>
              </w:rPr>
            </w:pPr>
            <w:r w:rsidRPr="00C403DB">
              <w:rPr>
                <w:rFonts w:hint="cs"/>
                <w:rtl/>
              </w:rPr>
              <w:t>סמכות בית המשפט</w:t>
            </w:r>
          </w:p>
        </w:tc>
        <w:tc>
          <w:tcPr>
            <w:tcW w:w="624" w:type="dxa"/>
          </w:tcPr>
          <w:p w:rsidR="003567EE" w:rsidRPr="00C403DB" w:rsidRDefault="003567EE" w:rsidP="000A3A96">
            <w:pPr>
              <w:pStyle w:val="TableText"/>
              <w:rPr>
                <w:rtl/>
              </w:rPr>
            </w:pPr>
            <w:r w:rsidRPr="00C403DB">
              <w:rPr>
                <w:rFonts w:hint="cs"/>
                <w:rtl/>
              </w:rPr>
              <w:t>16.</w:t>
            </w:r>
          </w:p>
        </w:tc>
        <w:tc>
          <w:tcPr>
            <w:tcW w:w="7145" w:type="dxa"/>
            <w:gridSpan w:val="3"/>
          </w:tcPr>
          <w:p w:rsidR="003567EE" w:rsidRPr="00C403DB" w:rsidRDefault="003567EE" w:rsidP="000A3A96">
            <w:pPr>
              <w:pStyle w:val="TableBlock"/>
              <w:rPr>
                <w:rtl/>
              </w:rPr>
            </w:pPr>
            <w:r w:rsidRPr="00C403DB">
              <w:rPr>
                <w:rFonts w:hint="cs"/>
                <w:rtl/>
              </w:rPr>
              <w:t xml:space="preserve">(א) </w:t>
            </w:r>
            <w:r w:rsidRPr="00C403DB">
              <w:rPr>
                <w:rtl/>
              </w:rPr>
              <w:tab/>
            </w:r>
            <w:r w:rsidRPr="00C403DB">
              <w:rPr>
                <w:rFonts w:hint="cs"/>
                <w:rtl/>
              </w:rPr>
              <w:t>הגשת ערעור/ערר לפי סעיף 15(ח) אינה מתלה את תוקפו של הצו, כל עוד לא החליט בית המשפט אחרת; החליט בית המשפט להתלות את תוקפו של הצו במעמד צד אחד, יידון הערעור/ערר במעמד הצדדים בהקדם האפשרי ולא יאוחר מתום שבעה ימים מיום ההחלטה.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 xml:space="preserve">ב) </w:t>
            </w:r>
            <w:r w:rsidRPr="00C403DB">
              <w:rPr>
                <w:rtl/>
              </w:rPr>
              <w:tab/>
            </w:r>
            <w:r w:rsidRPr="00C403DB">
              <w:rPr>
                <w:rFonts w:hint="cs"/>
                <w:rtl/>
              </w:rPr>
              <w:t>בית המשפט רשאי לבטל צו הגבלה מינהלי, לאשרו או לשנותו.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rtl/>
              </w:rPr>
            </w:pPr>
            <w:r w:rsidRPr="00C403DB">
              <w:rPr>
                <w:rtl/>
              </w:rPr>
              <w:t>פרק ו': עיצומים כספיים</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rFonts w:hint="cs"/>
                <w:rtl/>
              </w:rPr>
              <w:t xml:space="preserve">הגדרות </w:t>
            </w:r>
            <w:r w:rsidRPr="00C403DB">
              <w:rPr>
                <w:rtl/>
              </w:rPr>
              <w:t>–</w:t>
            </w:r>
            <w:r w:rsidRPr="00C403DB">
              <w:rPr>
                <w:rFonts w:hint="cs"/>
                <w:rtl/>
              </w:rPr>
              <w:t xml:space="preserve"> פרק ו'</w:t>
            </w:r>
            <w:r w:rsidRPr="00C403DB">
              <w:rPr>
                <w:szCs w:val="20"/>
                <w:rtl/>
              </w:rPr>
              <w:t xml:space="preserve">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17</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 xml:space="preserve">בפרק זה </w:t>
            </w:r>
            <w:r w:rsidRPr="00C403DB">
              <w:rPr>
                <w:rtl/>
              </w:rPr>
              <w:t xml:space="preserve">–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Del="00201A0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Fonts w:hint="cs"/>
                <w:rtl/>
              </w:rPr>
              <w:t xml:space="preserve">"מפעיל צהרון" </w:t>
            </w:r>
            <w:r w:rsidRPr="00C403DB">
              <w:rPr>
                <w:rtl/>
              </w:rPr>
              <w:t>–</w:t>
            </w:r>
            <w:r w:rsidRPr="00C403DB">
              <w:rPr>
                <w:rFonts w:hint="cs"/>
                <w:rtl/>
              </w:rPr>
              <w:t>למעט מנהל צהרון ובעלים של צהרון;</w:t>
            </w:r>
            <w:r w:rsidRPr="00C403DB">
              <w:rPr>
                <w:rtl/>
              </w:rPr>
              <w:t xml:space="preserve"> </w:t>
            </w:r>
            <w:r w:rsidRPr="00C403DB">
              <w:rPr>
                <w:rFonts w:hint="cs"/>
                <w:rtl/>
              </w:rPr>
              <w:t xml:space="preserve">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Del="00201A0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Outdent"/>
              <w:rPr>
                <w:rtl/>
              </w:rPr>
            </w:pPr>
            <w:r w:rsidRPr="00C403DB">
              <w:rPr>
                <w:rFonts w:hint="cs"/>
                <w:rtl/>
              </w:rPr>
              <w:t xml:space="preserve">"הסכום הבסיסי" </w:t>
            </w:r>
            <w:r w:rsidRPr="00C403DB">
              <w:rPr>
                <w:rtl/>
              </w:rPr>
              <w:t>–</w:t>
            </w:r>
            <w:r w:rsidRPr="00C403DB">
              <w:rPr>
                <w:rFonts w:hint="cs"/>
                <w:rtl/>
              </w:rPr>
              <w:t xml:space="preserve"> 3000 שקלים חדשים, ולגבי מפעיל צהרון המפעיל יותר מחמישה צהרונים </w:t>
            </w:r>
            <w:r w:rsidRPr="00C403DB">
              <w:rPr>
                <w:rtl/>
              </w:rPr>
              <w:t>–</w:t>
            </w:r>
            <w:r w:rsidRPr="00C403DB">
              <w:rPr>
                <w:rFonts w:hint="cs"/>
                <w:rtl/>
              </w:rPr>
              <w:t xml:space="preserve"> 6000 שקלים חדשים.</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r w:rsidRPr="00C403DB">
              <w:rPr>
                <w:rFonts w:hint="cs"/>
                <w:rtl/>
              </w:rPr>
              <w:t>עיצום כספי בגובה מחצית הסכום הבסיסי</w:t>
            </w:r>
          </w:p>
        </w:tc>
        <w:tc>
          <w:tcPr>
            <w:tcW w:w="624" w:type="dxa"/>
          </w:tcPr>
          <w:p w:rsidR="003567EE" w:rsidRPr="00C403DB" w:rsidRDefault="003567EE" w:rsidP="000A3A96">
            <w:pPr>
              <w:pStyle w:val="TableText"/>
              <w:keepLines w:val="0"/>
              <w:rPr>
                <w:rtl/>
              </w:rPr>
            </w:pPr>
            <w:r w:rsidRPr="00C403DB">
              <w:rPr>
                <w:rFonts w:hint="cs"/>
                <w:rtl/>
              </w:rPr>
              <w:t>18.</w:t>
            </w:r>
          </w:p>
        </w:tc>
        <w:tc>
          <w:tcPr>
            <w:tcW w:w="7145" w:type="dxa"/>
            <w:gridSpan w:val="3"/>
          </w:tcPr>
          <w:p w:rsidR="003567EE" w:rsidRPr="00C403DB" w:rsidRDefault="003567EE" w:rsidP="000A3A96">
            <w:pPr>
              <w:pStyle w:val="TableBlock"/>
              <w:rPr>
                <w:rtl/>
              </w:rPr>
            </w:pPr>
            <w:r w:rsidRPr="00C403DB">
              <w:rPr>
                <w:rtl/>
              </w:rPr>
              <w:t xml:space="preserve">הפר מפעיל צהרון </w:t>
            </w:r>
            <w:r w:rsidRPr="00C403DB">
              <w:rPr>
                <w:rFonts w:hint="cs"/>
                <w:rtl/>
              </w:rPr>
              <w:t xml:space="preserve">הוראה מהוראות חוק זה, כמפורט להלן, רשאי הממונה להטיל עליו עיצום כספי לפי הוראות פרק זה בגובה מחצית הסכום הבסיסי: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1</w:t>
            </w:r>
            <w:r w:rsidRPr="00C403DB">
              <w:rPr>
                <w:rtl/>
              </w:rPr>
              <w:t>2)</w:t>
            </w:r>
            <w:r w:rsidRPr="00C403DB">
              <w:rPr>
                <w:rtl/>
              </w:rPr>
              <w:tab/>
            </w:r>
            <w:r w:rsidRPr="00C403DB">
              <w:rPr>
                <w:rFonts w:hint="cs"/>
                <w:rtl/>
              </w:rPr>
              <w:t>לא פרסם בצהרון פירוט תפריט יומי, באופן גלוי וזמין לכל, בתחילת כל חודש, בניגוד להוראות סעיף 8(ג);</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 xml:space="preserve">(2) </w:t>
            </w:r>
            <w:r w:rsidRPr="00C403DB">
              <w:rPr>
                <w:rtl/>
              </w:rPr>
              <w:tab/>
            </w:r>
            <w:r w:rsidRPr="00C403DB">
              <w:rPr>
                <w:rFonts w:hint="cs"/>
                <w:rtl/>
              </w:rPr>
              <w:t xml:space="preserve">לא הביא לידיעת הילדים והוריהם בתחילת כל שנת לימודים את הפרטים המפורטים בסעיף 8(ד), בניגוד להוראות אותו סעיף;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 xml:space="preserve">(3) </w:t>
            </w:r>
            <w:r w:rsidRPr="00C403DB">
              <w:rPr>
                <w:rtl/>
              </w:rPr>
              <w:tab/>
            </w:r>
            <w:r w:rsidRPr="00C403DB">
              <w:rPr>
                <w:rFonts w:hint="eastAsia"/>
                <w:rtl/>
              </w:rPr>
              <w:t>לא</w:t>
            </w:r>
            <w:r w:rsidRPr="00C403DB">
              <w:rPr>
                <w:rtl/>
              </w:rPr>
              <w:t xml:space="preserve"> </w:t>
            </w:r>
            <w:r w:rsidRPr="00C403DB">
              <w:rPr>
                <w:rFonts w:hint="eastAsia"/>
                <w:rtl/>
              </w:rPr>
              <w:t>מסר</w:t>
            </w:r>
            <w:r w:rsidRPr="00C403DB">
              <w:rPr>
                <w:rFonts w:hint="cs"/>
                <w:rtl/>
              </w:rPr>
              <w:t xml:space="preserve"> </w:t>
            </w:r>
            <w:r w:rsidRPr="00C403DB">
              <w:rPr>
                <w:rFonts w:hint="eastAsia"/>
                <w:rtl/>
              </w:rPr>
              <w:t>מסמך</w:t>
            </w:r>
            <w:r w:rsidRPr="00C403DB">
              <w:rPr>
                <w:rtl/>
              </w:rPr>
              <w:t xml:space="preserve"> לפי דרישת מפקח, בניגוד להוראות סעי</w:t>
            </w:r>
            <w:r w:rsidRPr="00C403DB">
              <w:rPr>
                <w:rFonts w:hint="eastAsia"/>
                <w:rtl/>
              </w:rPr>
              <w:t>ף</w:t>
            </w:r>
            <w:r w:rsidRPr="00C403DB">
              <w:rPr>
                <w:rtl/>
              </w:rPr>
              <w:t xml:space="preserve"> </w:t>
            </w:r>
            <w:r w:rsidRPr="00C403DB">
              <w:rPr>
                <w:rFonts w:hint="cs"/>
                <w:rtl/>
              </w:rPr>
              <w:t>12</w:t>
            </w:r>
            <w:r w:rsidRPr="00C403DB">
              <w:rPr>
                <w:rtl/>
              </w:rPr>
              <w:t>(2)</w:t>
            </w:r>
            <w:r w:rsidRPr="00C403DB">
              <w:rPr>
                <w:rFonts w:hint="cs"/>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 xml:space="preserve">(4) </w:t>
            </w:r>
            <w:r w:rsidRPr="00C403DB">
              <w:rPr>
                <w:rtl/>
              </w:rPr>
              <w:tab/>
            </w:r>
            <w:r w:rsidRPr="00C403DB">
              <w:rPr>
                <w:rFonts w:hint="cs"/>
                <w:rtl/>
              </w:rPr>
              <w:t>הפר הוראה לפי חוק זה המנויה בחלק א' לתוספת.</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r w:rsidRPr="00C403DB">
              <w:rPr>
                <w:rFonts w:hint="cs"/>
                <w:rtl/>
              </w:rPr>
              <w:t>עיצום כספי בגובה הסכום הבסיסי</w:t>
            </w:r>
          </w:p>
        </w:tc>
        <w:tc>
          <w:tcPr>
            <w:tcW w:w="624" w:type="dxa"/>
          </w:tcPr>
          <w:p w:rsidR="003567EE" w:rsidRPr="00C403DB" w:rsidRDefault="003567EE" w:rsidP="000A3A96">
            <w:pPr>
              <w:pStyle w:val="TableText"/>
              <w:keepLines w:val="0"/>
              <w:rPr>
                <w:rtl/>
              </w:rPr>
            </w:pPr>
            <w:r w:rsidRPr="00C403DB">
              <w:rPr>
                <w:rFonts w:hint="cs"/>
                <w:rtl/>
              </w:rPr>
              <w:t>19.</w:t>
            </w:r>
          </w:p>
        </w:tc>
        <w:tc>
          <w:tcPr>
            <w:tcW w:w="7145" w:type="dxa"/>
            <w:gridSpan w:val="3"/>
          </w:tcPr>
          <w:p w:rsidR="003567EE" w:rsidRPr="00C403DB" w:rsidRDefault="003567EE" w:rsidP="000A3A96">
            <w:pPr>
              <w:pStyle w:val="TableBlock"/>
              <w:rPr>
                <w:rtl/>
              </w:rPr>
            </w:pPr>
            <w:r w:rsidRPr="00C403DB">
              <w:rPr>
                <w:rtl/>
              </w:rPr>
              <w:t xml:space="preserve">הפר מפעיל צהרון </w:t>
            </w:r>
            <w:r w:rsidRPr="00C403DB">
              <w:rPr>
                <w:rFonts w:hint="cs"/>
                <w:rtl/>
              </w:rPr>
              <w:t>הוראה מהוראות חוק זה, כמפורט להלן, רשאי הממונה להטיל עליו עיצום כספי לפי הוראות פרק זה בגובה הסכום הבסיסי:</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p>
        </w:tc>
        <w:tc>
          <w:tcPr>
            <w:tcW w:w="624" w:type="dxa"/>
          </w:tcPr>
          <w:p w:rsidR="003567EE" w:rsidRPr="00C403DB" w:rsidRDefault="003567EE" w:rsidP="000A3A96">
            <w:pPr>
              <w:pStyle w:val="TableText"/>
              <w:rPr>
                <w:rtl/>
              </w:rPr>
            </w:pPr>
          </w:p>
        </w:tc>
        <w:tc>
          <w:tcPr>
            <w:tcW w:w="7145" w:type="dxa"/>
            <w:gridSpan w:val="3"/>
          </w:tcPr>
          <w:p w:rsidR="003567EE" w:rsidRPr="00C403DB" w:rsidRDefault="003567EE" w:rsidP="000A3A96">
            <w:pPr>
              <w:pStyle w:val="TableBlock"/>
              <w:rPr>
                <w:rtl/>
              </w:rPr>
            </w:pPr>
            <w:r w:rsidRPr="00C403DB">
              <w:rPr>
                <w:rtl/>
              </w:rPr>
              <w:t>(1)</w:t>
            </w:r>
            <w:r w:rsidRPr="00C403DB">
              <w:rPr>
                <w:rtl/>
              </w:rPr>
              <w:tab/>
            </w:r>
            <w:r w:rsidRPr="00C403DB">
              <w:rPr>
                <w:rFonts w:hint="cs"/>
                <w:rtl/>
              </w:rPr>
              <w:t>לא הודיע מפעיל צהרון שאינו רשות מקומית או מי מטעמה לרשות המקומית שהוא פועל בתחומה על פתיחת הצהרון והפעלתו, בניגוד להוראת סעיף 5;</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rFonts w:hint="cs"/>
                <w:szCs w:val="20"/>
                <w:rtl/>
              </w:rPr>
              <w:t xml:space="preserve">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(2)</w:t>
            </w:r>
            <w:r w:rsidRPr="00C403DB">
              <w:rPr>
                <w:rtl/>
              </w:rPr>
              <w:tab/>
              <w:t xml:space="preserve">הפר </w:t>
            </w:r>
            <w:r w:rsidRPr="00C403DB">
              <w:rPr>
                <w:rFonts w:hint="cs"/>
                <w:rtl/>
              </w:rPr>
              <w:t>הוראה לפי חוק זה המנויה בחלק ב' לתוספת.</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r w:rsidRPr="00C403DB">
              <w:rPr>
                <w:rFonts w:hint="cs"/>
                <w:rtl/>
              </w:rPr>
              <w:t>עיצום כספי בגובה כפל הסכום הבסיסי</w:t>
            </w:r>
          </w:p>
        </w:tc>
        <w:tc>
          <w:tcPr>
            <w:tcW w:w="624" w:type="dxa"/>
          </w:tcPr>
          <w:p w:rsidR="003567EE" w:rsidRPr="00C403DB" w:rsidRDefault="003567EE" w:rsidP="000A3A96">
            <w:pPr>
              <w:pStyle w:val="TableText"/>
              <w:keepLines w:val="0"/>
              <w:rPr>
                <w:rtl/>
              </w:rPr>
            </w:pPr>
            <w:r w:rsidRPr="00C403DB">
              <w:rPr>
                <w:rFonts w:hint="cs"/>
                <w:rtl/>
              </w:rPr>
              <w:t>20.</w:t>
            </w:r>
          </w:p>
        </w:tc>
        <w:tc>
          <w:tcPr>
            <w:tcW w:w="7145" w:type="dxa"/>
            <w:gridSpan w:val="3"/>
          </w:tcPr>
          <w:p w:rsidR="003567EE" w:rsidRPr="00C403DB" w:rsidRDefault="003567EE" w:rsidP="000A3A96">
            <w:pPr>
              <w:pStyle w:val="TableBlock"/>
              <w:rPr>
                <w:rtl/>
              </w:rPr>
            </w:pPr>
            <w:r w:rsidRPr="00C403DB">
              <w:rPr>
                <w:rtl/>
              </w:rPr>
              <w:t xml:space="preserve">הפר מפעיל צהרון </w:t>
            </w:r>
            <w:r w:rsidRPr="00C403DB">
              <w:rPr>
                <w:rFonts w:hint="cs"/>
                <w:rtl/>
              </w:rPr>
              <w:t>הוראה מהוראות חוק זה, כמפורט להלן, רשאי הממונה להטיל עליו עיצום כספי לפי הוראות פרק זה בגובה כפל הסכום הבסיסי:</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rPr>
                <w:rtl/>
              </w:rPr>
            </w:pPr>
          </w:p>
        </w:tc>
        <w:tc>
          <w:tcPr>
            <w:tcW w:w="624" w:type="dxa"/>
          </w:tcPr>
          <w:p w:rsidR="003567EE" w:rsidRPr="00C403DB" w:rsidRDefault="003567EE" w:rsidP="000A3A96">
            <w:pPr>
              <w:pStyle w:val="TableText"/>
              <w:rPr>
                <w:rtl/>
              </w:rPr>
            </w:pPr>
          </w:p>
        </w:tc>
        <w:tc>
          <w:tcPr>
            <w:tcW w:w="7145" w:type="dxa"/>
            <w:gridSpan w:val="3"/>
          </w:tcPr>
          <w:p w:rsidR="003567EE" w:rsidRPr="00C403DB" w:rsidRDefault="003567EE" w:rsidP="000A3A96">
            <w:pPr>
              <w:pStyle w:val="TableBlock"/>
              <w:rPr>
                <w:rtl/>
              </w:rPr>
            </w:pPr>
            <w:r w:rsidRPr="00C403DB">
              <w:rPr>
                <w:rFonts w:hint="cs"/>
                <w:rtl/>
              </w:rPr>
              <w:t>(1)</w:t>
            </w:r>
            <w:r w:rsidRPr="00C403DB">
              <w:rPr>
                <w:rtl/>
              </w:rPr>
              <w:tab/>
            </w:r>
            <w:r w:rsidRPr="00C403DB">
              <w:rPr>
                <w:rFonts w:hint="cs"/>
                <w:rtl/>
              </w:rPr>
              <w:t>התקשר בקשר למכירה או להספקה של מזון לצהרון שהוא מפעיל עם ספק מזון שאינו ספק מורשה או בלי שהתקיימו בספק המזון התנאים בסעיף 8(ב) בניגוד להוראות אותו סעיף;</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rPr>
                <w:rtl/>
              </w:rPr>
            </w:pPr>
          </w:p>
        </w:tc>
        <w:tc>
          <w:tcPr>
            <w:tcW w:w="624" w:type="dxa"/>
          </w:tcPr>
          <w:p w:rsidR="003567EE" w:rsidRPr="00C403DB" w:rsidRDefault="003567EE" w:rsidP="000A3A96">
            <w:pPr>
              <w:pStyle w:val="TableText"/>
              <w:rPr>
                <w:rtl/>
              </w:rPr>
            </w:pPr>
          </w:p>
        </w:tc>
        <w:tc>
          <w:tcPr>
            <w:tcW w:w="7145" w:type="dxa"/>
            <w:gridSpan w:val="3"/>
          </w:tcPr>
          <w:p w:rsidR="003567EE" w:rsidRPr="00C403DB" w:rsidRDefault="003567EE" w:rsidP="000A3A96">
            <w:pPr>
              <w:pStyle w:val="TableText"/>
              <w:rPr>
                <w:rtl/>
              </w:rPr>
            </w:pPr>
            <w:r w:rsidRPr="00C403DB">
              <w:rPr>
                <w:rFonts w:hint="cs"/>
                <w:rtl/>
              </w:rPr>
              <w:t>(2)</w:t>
            </w:r>
            <w:r w:rsidRPr="00C403DB">
              <w:rPr>
                <w:rtl/>
              </w:rPr>
              <w:tab/>
            </w:r>
            <w:r w:rsidRPr="00C403DB">
              <w:rPr>
                <w:rFonts w:hint="cs"/>
                <w:rtl/>
              </w:rPr>
              <w:t>הפר הוראה לפי חוק זה המנויה בחלק ג' לתוספת.</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r w:rsidRPr="00C403DB">
              <w:rPr>
                <w:rFonts w:hint="cs"/>
                <w:rtl/>
              </w:rPr>
              <w:lastRenderedPageBreak/>
              <w:t>עיצום כספי בגובה פי שלושה מהסכום הבסיסי</w:t>
            </w:r>
          </w:p>
        </w:tc>
        <w:tc>
          <w:tcPr>
            <w:tcW w:w="624" w:type="dxa"/>
          </w:tcPr>
          <w:p w:rsidR="003567EE" w:rsidRPr="00C403DB" w:rsidRDefault="003567EE" w:rsidP="000A3A96">
            <w:pPr>
              <w:pStyle w:val="TableText"/>
              <w:keepLines w:val="0"/>
              <w:rPr>
                <w:rtl/>
              </w:rPr>
            </w:pPr>
            <w:r w:rsidRPr="00C403DB">
              <w:rPr>
                <w:rFonts w:hint="cs"/>
                <w:rtl/>
              </w:rPr>
              <w:t>21.</w:t>
            </w:r>
          </w:p>
        </w:tc>
        <w:tc>
          <w:tcPr>
            <w:tcW w:w="7145" w:type="dxa"/>
            <w:gridSpan w:val="3"/>
          </w:tcPr>
          <w:p w:rsidR="003567EE" w:rsidRPr="00C403DB" w:rsidRDefault="003567EE" w:rsidP="000A3A96">
            <w:pPr>
              <w:pStyle w:val="TableBlock"/>
              <w:rPr>
                <w:rtl/>
              </w:rPr>
            </w:pPr>
            <w:r w:rsidRPr="00C403DB">
              <w:rPr>
                <w:rtl/>
              </w:rPr>
              <w:t xml:space="preserve">הפר מפעיל צהרון </w:t>
            </w:r>
            <w:r w:rsidRPr="00C403DB">
              <w:rPr>
                <w:rFonts w:hint="cs"/>
                <w:rtl/>
              </w:rPr>
              <w:t>הוראה מהוראות חוק זה, כמפורט להלן, רשאי הממונה להטיל עליו עיצום כספי לפי הוראות פרק זה בגובה פי שלושה מהסכום הבסיסי:</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r>
            <w:r w:rsidRPr="00C403DB">
              <w:rPr>
                <w:rFonts w:hint="eastAsia"/>
                <w:rtl/>
              </w:rPr>
              <w:t>לא</w:t>
            </w:r>
            <w:r w:rsidRPr="00C403DB">
              <w:rPr>
                <w:rtl/>
              </w:rPr>
              <w:t xml:space="preserve"> הגיש </w:t>
            </w:r>
            <w:r w:rsidRPr="00C403DB">
              <w:rPr>
                <w:rFonts w:hint="cs"/>
                <w:rtl/>
              </w:rPr>
              <w:t>תצהיר</w:t>
            </w:r>
            <w:r w:rsidRPr="00C403DB">
              <w:rPr>
                <w:rtl/>
              </w:rPr>
              <w:t xml:space="preserve"> על עמידתו </w:t>
            </w:r>
            <w:r w:rsidRPr="00C403DB">
              <w:rPr>
                <w:rFonts w:hint="eastAsia"/>
                <w:rtl/>
              </w:rPr>
              <w:t>בהוראות</w:t>
            </w:r>
            <w:r w:rsidRPr="00C403DB">
              <w:rPr>
                <w:rtl/>
              </w:rPr>
              <w:t xml:space="preserve"> לפי </w:t>
            </w:r>
            <w:r w:rsidRPr="00C403DB">
              <w:rPr>
                <w:rFonts w:hint="eastAsia"/>
                <w:rtl/>
              </w:rPr>
              <w:t>חוק</w:t>
            </w:r>
            <w:r w:rsidRPr="00C403DB">
              <w:rPr>
                <w:rtl/>
              </w:rPr>
              <w:t xml:space="preserve"> זה, </w:t>
            </w:r>
            <w:r w:rsidRPr="00C403DB">
              <w:rPr>
                <w:rFonts w:hint="eastAsia"/>
                <w:rtl/>
              </w:rPr>
              <w:t>בניגוד</w:t>
            </w:r>
            <w:r w:rsidRPr="00C403DB">
              <w:rPr>
                <w:rtl/>
              </w:rPr>
              <w:t xml:space="preserve"> להוראות סעיף </w:t>
            </w:r>
            <w:r w:rsidRPr="00C403DB">
              <w:rPr>
                <w:rFonts w:hint="cs"/>
                <w:rtl/>
              </w:rPr>
              <w:t>4;</w:t>
            </w:r>
            <w:r w:rsidRPr="00C403DB">
              <w:rPr>
                <w:rtl/>
              </w:rPr>
              <w:t xml:space="preserve">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w:t>
            </w:r>
            <w:r w:rsidRPr="00C403DB">
              <w:rPr>
                <w:rFonts w:hint="cs"/>
                <w:rtl/>
              </w:rPr>
              <w:t>2</w:t>
            </w:r>
            <w:r w:rsidRPr="00C403DB">
              <w:rPr>
                <w:rtl/>
              </w:rPr>
              <w:t>)</w:t>
            </w:r>
            <w:r w:rsidRPr="00C403DB">
              <w:rPr>
                <w:rtl/>
              </w:rPr>
              <w:tab/>
            </w:r>
            <w:r w:rsidRPr="00C403DB">
              <w:rPr>
                <w:rFonts w:hint="cs"/>
                <w:rtl/>
              </w:rPr>
              <w:t xml:space="preserve"> </w:t>
            </w:r>
            <w:r w:rsidRPr="00C403DB">
              <w:rPr>
                <w:rFonts w:hint="eastAsia"/>
                <w:rtl/>
              </w:rPr>
              <w:t>לא</w:t>
            </w:r>
            <w:r w:rsidRPr="00C403DB">
              <w:rPr>
                <w:rtl/>
              </w:rPr>
              <w:t xml:space="preserve"> </w:t>
            </w:r>
            <w:r w:rsidRPr="00C403DB">
              <w:rPr>
                <w:rFonts w:hint="eastAsia"/>
                <w:rtl/>
              </w:rPr>
              <w:t>קיים</w:t>
            </w:r>
            <w:r w:rsidRPr="00C403DB">
              <w:rPr>
                <w:rtl/>
              </w:rPr>
              <w:t xml:space="preserve"> צו הגבלה </w:t>
            </w:r>
            <w:r w:rsidRPr="00C403DB">
              <w:rPr>
                <w:rFonts w:hint="eastAsia"/>
                <w:rtl/>
              </w:rPr>
              <w:t>מינהלי</w:t>
            </w:r>
            <w:r w:rsidRPr="00C403DB">
              <w:rPr>
                <w:rFonts w:hint="cs"/>
                <w:rtl/>
              </w:rPr>
              <w:t>,</w:t>
            </w:r>
            <w:r w:rsidRPr="00C403DB">
              <w:rPr>
                <w:rtl/>
              </w:rPr>
              <w:t xml:space="preserve"> </w:t>
            </w:r>
            <w:r w:rsidRPr="00C403DB">
              <w:rPr>
                <w:rFonts w:hint="cs"/>
                <w:rtl/>
              </w:rPr>
              <w:t xml:space="preserve">בניגוד להוראות סעיף </w:t>
            </w:r>
            <w:r w:rsidRPr="00C403DB">
              <w:rPr>
                <w:rtl/>
              </w:rPr>
              <w:t xml:space="preserve">15(ב) </w:t>
            </w:r>
            <w:r w:rsidRPr="00C403DB">
              <w:rPr>
                <w:rFonts w:hint="cs"/>
                <w:rtl/>
              </w:rPr>
              <w:t xml:space="preserve">או </w:t>
            </w:r>
            <w:r w:rsidRPr="00C403DB">
              <w:rPr>
                <w:rtl/>
              </w:rPr>
              <w:t xml:space="preserve">(ג);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szCs w:val="20"/>
                <w:rtl/>
              </w:rPr>
              <w:t xml:space="preserve">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(3)</w:t>
            </w:r>
            <w:r w:rsidRPr="00C403DB">
              <w:rPr>
                <w:rtl/>
              </w:rPr>
              <w:tab/>
            </w:r>
            <w:r w:rsidRPr="00C403DB">
              <w:rPr>
                <w:rFonts w:hint="cs"/>
                <w:rtl/>
              </w:rPr>
              <w:t xml:space="preserve"> הפר הוראה לפי חוק זה המנויה בחלק ד' לתוספת.</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r w:rsidRPr="00C403DB">
              <w:rPr>
                <w:rFonts w:hint="cs"/>
                <w:rtl/>
              </w:rPr>
              <w:t>עיצום כספי בגובה מחצית הסכום הבסיסי המוכפל במספר הילדים השוהים בצהרון</w:t>
            </w:r>
          </w:p>
        </w:tc>
        <w:tc>
          <w:tcPr>
            <w:tcW w:w="624" w:type="dxa"/>
          </w:tcPr>
          <w:p w:rsidR="003567EE" w:rsidRPr="00C403DB" w:rsidRDefault="003567EE" w:rsidP="000A3A96">
            <w:pPr>
              <w:pStyle w:val="TableText"/>
              <w:keepLines w:val="0"/>
              <w:tabs>
                <w:tab w:val="left" w:pos="0"/>
              </w:tabs>
              <w:rPr>
                <w:rtl/>
              </w:rPr>
            </w:pPr>
            <w:r w:rsidRPr="00C403DB">
              <w:rPr>
                <w:rFonts w:hint="cs"/>
                <w:rtl/>
              </w:rPr>
              <w:t>22.</w:t>
            </w:r>
          </w:p>
        </w:tc>
        <w:tc>
          <w:tcPr>
            <w:tcW w:w="7145" w:type="dxa"/>
            <w:gridSpan w:val="3"/>
          </w:tcPr>
          <w:p w:rsidR="003567EE" w:rsidRPr="00C403DB" w:rsidRDefault="003567EE" w:rsidP="000A3A96">
            <w:pPr>
              <w:pStyle w:val="TableBlock"/>
              <w:rPr>
                <w:rtl/>
              </w:rPr>
            </w:pPr>
            <w:r w:rsidRPr="00C403DB">
              <w:rPr>
                <w:rtl/>
              </w:rPr>
              <w:t xml:space="preserve">הפר מפעיל צהרון </w:t>
            </w:r>
            <w:r w:rsidRPr="00C403DB">
              <w:rPr>
                <w:rFonts w:hint="cs"/>
                <w:rtl/>
              </w:rPr>
              <w:t>הוראה מהוראות חוק זה, כמפורט להלן, רשאי הממונה להטיל עליו עיצום כספי לפי הוראות פרק זה בגובה מחצית הסכום הבסיסי המוכפל במספר הילדים השוהים בצהרון:</w:t>
            </w:r>
            <w:r w:rsidRPr="00C403DB">
              <w:rPr>
                <w:rtl/>
              </w:rPr>
              <w:tab/>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p>
        </w:tc>
        <w:tc>
          <w:tcPr>
            <w:tcW w:w="624" w:type="dxa"/>
          </w:tcPr>
          <w:p w:rsidR="003567EE" w:rsidRPr="00C403DB" w:rsidRDefault="003567EE" w:rsidP="000A3A96">
            <w:pPr>
              <w:pStyle w:val="TableText"/>
              <w:rPr>
                <w:rtl/>
              </w:rPr>
            </w:pPr>
          </w:p>
        </w:tc>
        <w:tc>
          <w:tcPr>
            <w:tcW w:w="7145" w:type="dxa"/>
            <w:gridSpan w:val="3"/>
          </w:tcPr>
          <w:p w:rsidR="003567EE" w:rsidRPr="00C403DB" w:rsidRDefault="003567EE" w:rsidP="000A3A96">
            <w:pPr>
              <w:pStyle w:val="TableBlock"/>
              <w:rPr>
                <w:rtl/>
              </w:rPr>
            </w:pPr>
            <w:r w:rsidRPr="00C403DB">
              <w:rPr>
                <w:rtl/>
              </w:rPr>
              <w:t>(</w:t>
            </w:r>
            <w:r w:rsidRPr="00C403DB">
              <w:rPr>
                <w:rFonts w:hint="cs"/>
                <w:rtl/>
              </w:rPr>
              <w:t>1</w:t>
            </w:r>
            <w:r w:rsidRPr="00C403DB">
              <w:rPr>
                <w:rtl/>
              </w:rPr>
              <w:t>)</w:t>
            </w:r>
            <w:r w:rsidRPr="00C403DB">
              <w:rPr>
                <w:rtl/>
              </w:rPr>
              <w:tab/>
            </w:r>
            <w:r w:rsidRPr="00C403DB">
              <w:rPr>
                <w:rFonts w:hint="cs"/>
                <w:rtl/>
              </w:rPr>
              <w:t>נתן שירותי צהרון במחיר העולה על המחיר המרבי שנקבע לפי הוראות סעיף 9(א), בניגוד להוראות סעיף 9(ב);</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p>
        </w:tc>
        <w:tc>
          <w:tcPr>
            <w:tcW w:w="624" w:type="dxa"/>
          </w:tcPr>
          <w:p w:rsidR="003567EE" w:rsidRPr="00C403DB" w:rsidRDefault="003567EE" w:rsidP="000A3A96">
            <w:pPr>
              <w:pStyle w:val="TableText"/>
              <w:rPr>
                <w:rtl/>
              </w:rPr>
            </w:pPr>
          </w:p>
        </w:tc>
        <w:tc>
          <w:tcPr>
            <w:tcW w:w="7145" w:type="dxa"/>
            <w:gridSpan w:val="3"/>
          </w:tcPr>
          <w:p w:rsidR="003567EE" w:rsidRPr="00C403DB" w:rsidRDefault="003567EE" w:rsidP="000A3A96">
            <w:pPr>
              <w:pStyle w:val="TableBlock"/>
              <w:rPr>
                <w:rtl/>
              </w:rPr>
            </w:pPr>
            <w:r w:rsidRPr="00C403DB">
              <w:rPr>
                <w:rtl/>
              </w:rPr>
              <w:t>(</w:t>
            </w:r>
            <w:r w:rsidRPr="00C403DB">
              <w:rPr>
                <w:rFonts w:hint="cs"/>
                <w:rtl/>
              </w:rPr>
              <w:t>2</w:t>
            </w:r>
            <w:r w:rsidRPr="00C403DB">
              <w:rPr>
                <w:rtl/>
              </w:rPr>
              <w:t>)</w:t>
            </w:r>
            <w:r w:rsidRPr="00C403DB">
              <w:rPr>
                <w:rtl/>
              </w:rPr>
              <w:tab/>
            </w:r>
            <w:r w:rsidRPr="00C403DB">
              <w:rPr>
                <w:rFonts w:hint="cs"/>
                <w:rtl/>
              </w:rPr>
              <w:t>הפר הוראה לפי חוק זה המנויה בחלק ה' לתוספת.</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הודעה על כוונת חיוב</w:t>
            </w:r>
          </w:p>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23</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 xml:space="preserve">היה לממונה יסוד סביר להניח כי מפעיל צהרון הפר הוראה מההוראות לפי חוק זה, כאמור </w:t>
            </w:r>
            <w:r w:rsidRPr="00C403DB">
              <w:rPr>
                <w:rFonts w:hint="cs"/>
                <w:rtl/>
              </w:rPr>
              <w:t xml:space="preserve">בסעיפים 18 עד 22 </w:t>
            </w:r>
            <w:r w:rsidRPr="00C403DB">
              <w:rPr>
                <w:rtl/>
              </w:rPr>
              <w:t>(בפרק זה – המפר), ובכוונתו להטיל עליו עיצום כספי לפי אות</w:t>
            </w:r>
            <w:r w:rsidRPr="00C403DB">
              <w:rPr>
                <w:rFonts w:hint="cs"/>
                <w:rtl/>
              </w:rPr>
              <w:t>ם</w:t>
            </w:r>
            <w:r w:rsidRPr="00C403DB">
              <w:rPr>
                <w:rtl/>
              </w:rPr>
              <w:t xml:space="preserve"> סעי</w:t>
            </w:r>
            <w:r w:rsidRPr="00C403DB">
              <w:rPr>
                <w:rFonts w:hint="cs"/>
                <w:rtl/>
              </w:rPr>
              <w:t>פים</w:t>
            </w:r>
            <w:r w:rsidRPr="00C403DB">
              <w:rPr>
                <w:rtl/>
              </w:rPr>
              <w:t>, ימסור למפר הודעה על הכוונה להטיל עליו עיצום כספי (בפרק זה – הודעה על כוונת חיוב).</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בהודעה על כוונת חיוב יציין הממונה, בין השאר, את אלה: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המעשה או המחדל (בפרק זה – המעשה), המהווה את ההפרה;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סכום העיצום הכספי והתקופה לתשלומו;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(3)</w:t>
            </w:r>
            <w:r w:rsidRPr="00C403DB">
              <w:rPr>
                <w:rtl/>
              </w:rPr>
              <w:tab/>
              <w:t>זכותו של המפר לטעון את טענותיו לפני הממונה לפי הוראות סעיף</w:t>
            </w:r>
            <w:r w:rsidRPr="00C403DB">
              <w:rPr>
                <w:rFonts w:hint="cs"/>
                <w:rtl/>
              </w:rPr>
              <w:t>24</w:t>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(4)</w:t>
            </w:r>
            <w:r w:rsidRPr="00C403DB">
              <w:rPr>
                <w:rtl/>
              </w:rPr>
              <w:tab/>
              <w:t>הסמכות להוסיף על סכום העיצום הכספי בשל הפרה נמשכת או הפרה חוזרת לפי הוראות סעיף</w:t>
            </w:r>
            <w:r w:rsidRPr="00C403DB">
              <w:rPr>
                <w:rFonts w:hint="cs"/>
                <w:rtl/>
              </w:rPr>
              <w:t>26</w:t>
            </w:r>
            <w:r w:rsidRPr="00C403DB">
              <w:rPr>
                <w:rtl/>
              </w:rPr>
              <w:t>, והמועד שממנו יראו הפרה כהפרה נמשכת לעניין הסעיף האמור.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 xml:space="preserve">זכות טיעון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24</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 xml:space="preserve">מפר שנמסרה לו הודעה על כוונת חיוב לפי סעיף </w:t>
            </w:r>
            <w:r w:rsidRPr="00C403DB">
              <w:rPr>
                <w:rFonts w:hint="cs"/>
                <w:rtl/>
              </w:rPr>
              <w:t>23</w:t>
            </w:r>
            <w:r w:rsidRPr="00C403DB">
              <w:rPr>
                <w:rtl/>
              </w:rPr>
              <w:t xml:space="preserve"> רשאי לטעון טענותיו, בכתב, לפני הממונה, לעניין הכוונה להטיל עליו עיצום כספי ולעניין סכומו, בתוך 45 ימים ממועד מסירת ההודעה; הממונה רשאי, לבקשת המפר, להאריך את התקופה האמורה בתקופה שלא תעלה על 45 ימים.</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lastRenderedPageBreak/>
              <w:t>החלטת הממונה ודרישת תשלום</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25</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הממונה יחליט, לאחר ששקל את הטענות שנטענו לפי סעיף</w:t>
            </w:r>
            <w:r w:rsidRPr="00C403DB">
              <w:rPr>
                <w:rFonts w:hint="cs"/>
                <w:rtl/>
              </w:rPr>
              <w:t>24</w:t>
            </w:r>
            <w:r w:rsidRPr="00C403DB">
              <w:rPr>
                <w:rtl/>
              </w:rPr>
              <w:t>, אם להטיל על המפר עיצום כספי, והוא רשאי להפחית את סכום העיצום הכספי לפי הוראות סעיף</w:t>
            </w:r>
            <w:r w:rsidRPr="00C403DB">
              <w:rPr>
                <w:rFonts w:hint="cs"/>
                <w:rtl/>
              </w:rPr>
              <w:t>27</w:t>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החליט הממונה לפי הוראות סעיף קטן (א)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שלא להטיל על המפר עיצום כספי – ימסור לו הודעה על כך, בכתב.</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(ג)</w:t>
            </w:r>
            <w:r w:rsidRPr="00C403DB">
              <w:rPr>
                <w:rtl/>
              </w:rPr>
              <w:tab/>
              <w:t>בדרישת התשלום או בהודעה</w:t>
            </w:r>
            <w:r w:rsidRPr="00C403DB">
              <w:rPr>
                <w:rFonts w:hint="cs"/>
                <w:rtl/>
              </w:rPr>
              <w:t>,</w:t>
            </w:r>
            <w:r w:rsidRPr="00C403DB">
              <w:rPr>
                <w:rtl/>
              </w:rPr>
              <w:t xml:space="preserve"> לפי סעיף קטן (ב) יפרט הממונה את נימוקי החלטתו.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(ד)</w:t>
            </w:r>
            <w:r w:rsidRPr="00C403DB">
              <w:rPr>
                <w:rtl/>
              </w:rPr>
              <w:tab/>
              <w:t>לא ביקש המפר לטעון את טענותיו לפי הוראות סעיף</w:t>
            </w:r>
            <w:r w:rsidRPr="00C403DB">
              <w:rPr>
                <w:rFonts w:hint="cs"/>
                <w:rtl/>
              </w:rPr>
              <w:t>24</w:t>
            </w:r>
            <w:r w:rsidRPr="00C403DB">
              <w:rPr>
                <w:rtl/>
              </w:rPr>
              <w:t>, בתוך התקופות האמורות באותו סעיף, יראו את ההודעה על כוונת החיוב, בתום אותה תקופה, כדרישת תשלום שנמסרה למפר במועד האמור.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rtl/>
              </w:rPr>
              <w:t>הפרה נמשכת והפרה חוזרת</w:t>
            </w:r>
            <w:r w:rsidRPr="00C403DB">
              <w:rPr>
                <w:szCs w:val="20"/>
                <w:rtl/>
              </w:rPr>
              <w:t xml:space="preserve">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26</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בהפרה נמשכת ייווסף על העיצום הכספי הקבוע לאותה הפרה, החלק החמישים שלו לכל יום שבו נמשכת ההפרה.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בהפרה חוזרת ייווסף על העיצום הכספי הקבוע לאותה הפרה, סכום השווה לעיצום הכספי כאמור; לעניין זה, "הפרה חוזרת" – הפרת הוראה מההוראות לפי חוק זה כאמור בסעי</w:t>
            </w:r>
            <w:r w:rsidRPr="00C403DB">
              <w:rPr>
                <w:rFonts w:hint="cs"/>
                <w:rtl/>
              </w:rPr>
              <w:t>פים 18 עד 22</w:t>
            </w:r>
            <w:r w:rsidRPr="00C403DB">
              <w:rPr>
                <w:rtl/>
              </w:rPr>
              <w:t>, בתוך שנתיים מהפרה קודמת של אותה הוראה שבשלה הוטל על המפר עיצום כספי.</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סכומים מופחתים</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27</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הממונה אינו רשאי להטיל עיצום כספי בסכום הנמוך מהסכומים הקבועים לפי סעי</w:t>
            </w:r>
            <w:r w:rsidRPr="00C403DB">
              <w:rPr>
                <w:rFonts w:hint="cs"/>
                <w:rtl/>
              </w:rPr>
              <w:t>פים 18 עד 22</w:t>
            </w:r>
            <w:r w:rsidRPr="00C403DB">
              <w:rPr>
                <w:rtl/>
              </w:rPr>
              <w:t>, אלא לפי הוראות סעיף קטן (ב).</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השר, בהסכמת שר המשפטים ובאישור ועדת החינוך, התרבות והספורט של הכנסת, רשאי לקבוע מקרים, נסיבות ושיקולים שבשלהם יהיה ניתן להטיל עיצום כספי בסכום הנמוך מהסכומים הקבועים לפי סעי</w:t>
            </w:r>
            <w:r w:rsidRPr="00C403DB">
              <w:rPr>
                <w:rFonts w:hint="cs"/>
                <w:rtl/>
              </w:rPr>
              <w:t>פים 18 עד 22</w:t>
            </w:r>
            <w:r w:rsidRPr="00C403DB">
              <w:rPr>
                <w:rtl/>
              </w:rPr>
              <w:t>, ובשיעורים שיקבע.</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סכום מעודכן של העיצום הכספי</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28</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 xml:space="preserve">העיצום הכספי יהיה לפי סכומו המעודכן ביום מסירת דרישת התשלום, ולגבי מפר שלא טען את טענותיו לפני הממונה כאמור בסעיף </w:t>
            </w:r>
            <w:r w:rsidRPr="00C403DB">
              <w:rPr>
                <w:rFonts w:hint="cs"/>
                <w:rtl/>
              </w:rPr>
              <w:t>24</w:t>
            </w:r>
            <w:r w:rsidRPr="00C403DB">
              <w:rPr>
                <w:rtl/>
              </w:rPr>
              <w:t xml:space="preserve"> – ביום מסירת ההודעה על כוונת החיוב; הוגש ערעור לבית משפט לפי סעיף </w:t>
            </w:r>
            <w:r w:rsidRPr="00C403DB">
              <w:rPr>
                <w:rFonts w:hint="cs"/>
                <w:rtl/>
              </w:rPr>
              <w:t>33</w:t>
            </w:r>
            <w:r w:rsidRPr="00C403DB">
              <w:rPr>
                <w:rtl/>
              </w:rPr>
              <w:t xml:space="preserve"> ועוכב תשלומו של העיצום הכספי בידי הממונה או בית המשפט, יהיה העיצום הכספי לפי סכומו המעודכן ביום ההחלטה בערעור.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סכומי העיצום הכספי הקבועים בסעיף 15 יתעדכנו ב</w:t>
            </w:r>
            <w:r w:rsidRPr="00C403DB">
              <w:rPr>
                <w:rFonts w:hint="cs"/>
                <w:rtl/>
              </w:rPr>
              <w:t>-1</w:t>
            </w:r>
            <w:r w:rsidRPr="00C403DB">
              <w:rPr>
                <w:rtl/>
              </w:rPr>
              <w:t xml:space="preserve"> בינואר בכל שנה (בסעיף קטן זה – יום העדכון), בהתאם לשיעור שינוי המדד הידוע ביום העדכון לעומת המדד שהיה ידוע ב</w:t>
            </w:r>
            <w:r w:rsidRPr="00C403DB">
              <w:rPr>
                <w:rFonts w:hint="cs"/>
                <w:rtl/>
              </w:rPr>
              <w:t>-</w:t>
            </w:r>
            <w:r w:rsidRPr="00C403DB">
              <w:rPr>
                <w:rtl/>
              </w:rPr>
              <w:t>1 בינואר של השנה הקודמת; הסכום האמור יעוגל לסכום הקרוב שהוא מכפלה של עשרה שקלים חדשים; לעניין זה, "מדד" – מדד המחירים לצרכן שמפרסמת הלשכה המרכזית לסטטיסטיקה.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(ג)</w:t>
            </w:r>
            <w:r w:rsidRPr="00C403DB">
              <w:rPr>
                <w:rtl/>
              </w:rPr>
              <w:tab/>
              <w:t>הממונה יפרסם ברשומות הודעה על סכומי העיצום הכספי המעודכנים לפי סעיף קטן (ב).</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המועד לתשלום העיצום הכספי</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29</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המפר ישלם את העיצום הכספי בתוך 30 ימים מיום מסירת דרישת התשלום כאמור בסעיף</w:t>
            </w:r>
            <w:r w:rsidRPr="00C403DB">
              <w:rPr>
                <w:rFonts w:hint="cs"/>
                <w:rtl/>
              </w:rPr>
              <w:t>25</w:t>
            </w:r>
            <w:r w:rsidRPr="00C403DB">
              <w:rPr>
                <w:rtl/>
              </w:rPr>
              <w:t xml:space="preserve">.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הפרשי הצמדה וריבית</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30</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לא שילם המפר עיצום כספי במועד, ייווספו על העיצום הכספי, לתקופת הפיגור, הפרשי הצמדה וריבית כהגדרתם בחוק פסיקת ריבית והצמדה, התשכ"א–1961‏</w:t>
            </w:r>
            <w:r w:rsidRPr="00C403DB">
              <w:rPr>
                <w:rStyle w:val="a7"/>
                <w:rtl/>
              </w:rPr>
              <w:footnoteReference w:id="5"/>
            </w:r>
            <w:r w:rsidRPr="00C403DB">
              <w:rPr>
                <w:rtl/>
              </w:rPr>
              <w:t xml:space="preserve"> (בפרק זה – הפרשי הצמדה וריבית), עד לתשלומו.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גבייה</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31</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עיצום כספי ייגבה לאוצר המדינה, ועל גבייתו יחולו הוראות חוק המרכז לגביית קנסות, אגרות והוצאות, התשנ"ה–1995‏</w:t>
            </w:r>
            <w:r w:rsidRPr="00C403DB">
              <w:rPr>
                <w:rStyle w:val="a7"/>
                <w:rtl/>
              </w:rPr>
              <w:footnoteReference w:id="6"/>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עיצום כספי בשל הפרה לפי חוק זה ולפי חוק אחר</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32</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על מעשה אחד המהווה הפרה של הוראה מההוראות לפי חוק זה המנויות בסעי</w:t>
            </w:r>
            <w:r w:rsidRPr="00C403DB">
              <w:rPr>
                <w:rFonts w:hint="cs"/>
                <w:rtl/>
              </w:rPr>
              <w:t>פים 18 עד 22</w:t>
            </w:r>
            <w:r w:rsidRPr="00C403DB">
              <w:rPr>
                <w:rtl/>
              </w:rPr>
              <w:t xml:space="preserve"> ושל הוראה מההוראות לפי חוק אחר, לא יוטל יותר מעיצום כספי אחד.</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rtl/>
              </w:rPr>
              <w:t>ערעור</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33</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על החלטה סופית של הממונה לפי פרק זה ניתן לערער לבית משפט השלום</w:t>
            </w:r>
            <w:r w:rsidRPr="00C403DB">
              <w:rPr>
                <w:rFonts w:ascii="Times New Roman" w:hAnsi="Times New Roman" w:cs="Times New Roman" w:hint="cs"/>
                <w:rtl/>
              </w:rPr>
              <w:t> </w:t>
            </w:r>
            <w:r w:rsidRPr="00C403DB">
              <w:rPr>
                <w:rFonts w:hint="cs"/>
                <w:rtl/>
              </w:rPr>
              <w:t>שבו</w:t>
            </w:r>
            <w:r w:rsidRPr="00C403DB">
              <w:rPr>
                <w:rtl/>
              </w:rPr>
              <w:t xml:space="preserve"> </w:t>
            </w:r>
            <w:r w:rsidRPr="00C403DB">
              <w:rPr>
                <w:rFonts w:hint="cs"/>
                <w:rtl/>
              </w:rPr>
              <w:t>יושב</w:t>
            </w:r>
            <w:r w:rsidRPr="00C403DB">
              <w:rPr>
                <w:rtl/>
              </w:rPr>
              <w:t xml:space="preserve"> </w:t>
            </w:r>
            <w:r w:rsidRPr="00C403DB">
              <w:rPr>
                <w:rFonts w:hint="cs"/>
                <w:rtl/>
              </w:rPr>
              <w:t>נשיא</w:t>
            </w:r>
            <w:r w:rsidRPr="00C403DB">
              <w:rPr>
                <w:rtl/>
              </w:rPr>
              <w:t xml:space="preserve"> </w:t>
            </w:r>
            <w:r w:rsidRPr="00C403DB">
              <w:rPr>
                <w:rFonts w:hint="cs"/>
                <w:rtl/>
              </w:rPr>
              <w:t>בית</w:t>
            </w:r>
            <w:r w:rsidRPr="00C403DB">
              <w:rPr>
                <w:rtl/>
              </w:rPr>
              <w:t xml:space="preserve"> </w:t>
            </w:r>
            <w:r w:rsidRPr="00C403DB">
              <w:rPr>
                <w:rFonts w:hint="cs"/>
                <w:rtl/>
              </w:rPr>
              <w:t>משפט</w:t>
            </w:r>
            <w:r w:rsidRPr="00C403DB">
              <w:rPr>
                <w:rtl/>
              </w:rPr>
              <w:t xml:space="preserve"> </w:t>
            </w:r>
            <w:r w:rsidRPr="00C403DB">
              <w:rPr>
                <w:rFonts w:hint="cs"/>
                <w:rtl/>
              </w:rPr>
              <w:t>השלום</w:t>
            </w:r>
            <w:r w:rsidRPr="00C403DB">
              <w:rPr>
                <w:rtl/>
              </w:rPr>
              <w:t xml:space="preserve">; </w:t>
            </w:r>
            <w:r w:rsidRPr="00C403DB">
              <w:rPr>
                <w:rFonts w:hint="cs"/>
                <w:rtl/>
              </w:rPr>
              <w:t>ערעור</w:t>
            </w:r>
            <w:r w:rsidRPr="00C403DB">
              <w:rPr>
                <w:rtl/>
              </w:rPr>
              <w:t xml:space="preserve"> </w:t>
            </w:r>
            <w:r w:rsidRPr="00C403DB">
              <w:rPr>
                <w:rFonts w:hint="cs"/>
                <w:rtl/>
              </w:rPr>
              <w:t>כאמור</w:t>
            </w:r>
            <w:r w:rsidRPr="00C403DB">
              <w:rPr>
                <w:rtl/>
              </w:rPr>
              <w:t xml:space="preserve"> </w:t>
            </w:r>
            <w:r w:rsidRPr="00C403DB">
              <w:rPr>
                <w:rFonts w:hint="cs"/>
                <w:rtl/>
              </w:rPr>
              <w:t>יוגש</w:t>
            </w:r>
            <w:r w:rsidRPr="00C403DB">
              <w:rPr>
                <w:rtl/>
              </w:rPr>
              <w:t xml:space="preserve"> </w:t>
            </w:r>
            <w:r w:rsidRPr="00C403DB">
              <w:rPr>
                <w:rFonts w:hint="cs"/>
                <w:rtl/>
              </w:rPr>
              <w:t>בתוך</w:t>
            </w:r>
            <w:r w:rsidRPr="00C403DB">
              <w:rPr>
                <w:rtl/>
              </w:rPr>
              <w:t xml:space="preserve"> 30 </w:t>
            </w:r>
            <w:r w:rsidRPr="00C403DB">
              <w:rPr>
                <w:rFonts w:hint="cs"/>
                <w:rtl/>
              </w:rPr>
              <w:t>ימים</w:t>
            </w:r>
            <w:r w:rsidRPr="00C403DB">
              <w:rPr>
                <w:rtl/>
              </w:rPr>
              <w:t xml:space="preserve"> </w:t>
            </w:r>
            <w:r w:rsidRPr="00C403DB">
              <w:rPr>
                <w:rFonts w:hint="cs"/>
                <w:rtl/>
              </w:rPr>
              <w:t>מיום</w:t>
            </w:r>
            <w:r w:rsidRPr="00C403DB">
              <w:rPr>
                <w:rtl/>
              </w:rPr>
              <w:t xml:space="preserve"> </w:t>
            </w:r>
            <w:r w:rsidRPr="00C403DB">
              <w:rPr>
                <w:rFonts w:hint="cs"/>
                <w:rtl/>
              </w:rPr>
              <w:t>שבו</w:t>
            </w:r>
            <w:r w:rsidRPr="00C403DB">
              <w:rPr>
                <w:rtl/>
              </w:rPr>
              <w:t xml:space="preserve"> </w:t>
            </w:r>
            <w:r w:rsidRPr="00C403DB">
              <w:rPr>
                <w:rFonts w:hint="cs"/>
                <w:rtl/>
              </w:rPr>
              <w:t>נמסרה</w:t>
            </w:r>
            <w:r w:rsidRPr="00C403DB">
              <w:rPr>
                <w:rtl/>
              </w:rPr>
              <w:t xml:space="preserve"> </w:t>
            </w:r>
            <w:r w:rsidRPr="00C403DB">
              <w:rPr>
                <w:rFonts w:hint="cs"/>
                <w:rtl/>
              </w:rPr>
              <w:t>למפר</w:t>
            </w:r>
            <w:r w:rsidRPr="00C403DB">
              <w:rPr>
                <w:rtl/>
              </w:rPr>
              <w:t xml:space="preserve"> </w:t>
            </w:r>
            <w:r w:rsidRPr="00C403DB">
              <w:rPr>
                <w:rFonts w:hint="cs"/>
                <w:rtl/>
              </w:rPr>
              <w:t>דרישת</w:t>
            </w:r>
            <w:r w:rsidRPr="00C403DB">
              <w:rPr>
                <w:rtl/>
              </w:rPr>
              <w:t xml:space="preserve"> </w:t>
            </w:r>
            <w:r w:rsidRPr="00C403DB">
              <w:rPr>
                <w:rFonts w:hint="cs"/>
                <w:rtl/>
              </w:rPr>
              <w:t>התש</w:t>
            </w:r>
            <w:r w:rsidRPr="00C403DB">
              <w:rPr>
                <w:rtl/>
              </w:rPr>
              <w:t>לום.</w:t>
            </w:r>
            <w:r w:rsidRPr="00C403DB">
              <w:rPr>
                <w:rFonts w:ascii="Times New Roman" w:hAnsi="Times New Roman" w:cs="Times New Roman" w:hint="cs"/>
                <w:rtl/>
              </w:rPr>
              <w:t>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אין בהגשת ערעור לפי סעיף קטן (א) כדי לעכב את תשלום העיצום הכספי, אלא אם כן הסכים לכך הממונה או שבית המשפט הורה על כך.</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(ג)</w:t>
            </w:r>
            <w:r w:rsidRPr="00C403DB">
              <w:rPr>
                <w:rtl/>
              </w:rPr>
              <w:tab/>
              <w:t xml:space="preserve">החליט בית המשפט לקבל ערעור שהוגש לפי סעיף קטן (א), לאחר ששולם העיצום הכספי לפי הוראות פרק זה, והורה על החזרת סכום העיצום הכספי ששולם או על הפחתת העיצום הכספי, יוחזר הסכום ששולם או כל חלק ממנו אשר הופחת, בתוספת הפרשי הצמדה וריבית מיום תשלומו עד יום החזרתו.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פרסום</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34</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הטיל הממונה עיצום כספי לפי פרק זה, יפרסם באתר האינטרנט של משרד החינוך את הפרטים שלהלן, בדרך שתבטיח</w:t>
            </w:r>
            <w:r w:rsidRPr="00C403DB">
              <w:rPr>
                <w:rFonts w:ascii="Times New Roman" w:hAnsi="Times New Roman" w:cs="Times New Roman" w:hint="cs"/>
                <w:rtl/>
              </w:rPr>
              <w:t> </w:t>
            </w:r>
            <w:r w:rsidRPr="00C403DB">
              <w:rPr>
                <w:rFonts w:hint="cs"/>
                <w:rtl/>
              </w:rPr>
              <w:t>שקיפות</w:t>
            </w:r>
            <w:r w:rsidRPr="00C403DB">
              <w:rPr>
                <w:rtl/>
              </w:rPr>
              <w:t xml:space="preserve"> </w:t>
            </w:r>
            <w:r w:rsidRPr="00C403DB">
              <w:rPr>
                <w:rFonts w:hint="cs"/>
                <w:rtl/>
              </w:rPr>
              <w:t>לגבי</w:t>
            </w:r>
            <w:r w:rsidRPr="00C403DB">
              <w:rPr>
                <w:rtl/>
              </w:rPr>
              <w:t xml:space="preserve"> </w:t>
            </w:r>
            <w:r w:rsidRPr="00C403DB">
              <w:rPr>
                <w:rFonts w:hint="cs"/>
                <w:rtl/>
              </w:rPr>
              <w:t>הפעלת</w:t>
            </w:r>
            <w:r w:rsidRPr="00C403DB">
              <w:rPr>
                <w:rtl/>
              </w:rPr>
              <w:t xml:space="preserve"> </w:t>
            </w:r>
            <w:r w:rsidRPr="00C403DB">
              <w:rPr>
                <w:rFonts w:hint="cs"/>
                <w:rtl/>
              </w:rPr>
              <w:t>שיקול</w:t>
            </w:r>
            <w:r w:rsidRPr="00C403DB">
              <w:rPr>
                <w:rtl/>
              </w:rPr>
              <w:t xml:space="preserve"> </w:t>
            </w:r>
            <w:r w:rsidRPr="00C403DB">
              <w:rPr>
                <w:rFonts w:hint="cs"/>
                <w:rtl/>
              </w:rPr>
              <w:t>דעתו</w:t>
            </w:r>
            <w:r w:rsidRPr="00C403DB">
              <w:rPr>
                <w:rtl/>
              </w:rPr>
              <w:t xml:space="preserve"> </w:t>
            </w:r>
            <w:r w:rsidRPr="00C403DB">
              <w:rPr>
                <w:rFonts w:hint="cs"/>
                <w:rtl/>
              </w:rPr>
              <w:t>בקבלת</w:t>
            </w:r>
            <w:r w:rsidRPr="00C403DB">
              <w:rPr>
                <w:rtl/>
              </w:rPr>
              <w:t xml:space="preserve"> </w:t>
            </w:r>
            <w:r w:rsidRPr="00C403DB">
              <w:rPr>
                <w:rFonts w:hint="cs"/>
                <w:rtl/>
              </w:rPr>
              <w:t>ההחלטה</w:t>
            </w:r>
            <w:r w:rsidRPr="00C403DB">
              <w:rPr>
                <w:rtl/>
              </w:rPr>
              <w:t xml:space="preserve"> </w:t>
            </w:r>
            <w:r w:rsidRPr="00C403DB">
              <w:rPr>
                <w:rFonts w:hint="cs"/>
                <w:rtl/>
              </w:rPr>
              <w:t>להטיל</w:t>
            </w:r>
            <w:r w:rsidRPr="00C403DB">
              <w:rPr>
                <w:rtl/>
              </w:rPr>
              <w:t xml:space="preserve"> </w:t>
            </w:r>
            <w:r w:rsidRPr="00C403DB">
              <w:rPr>
                <w:rFonts w:hint="cs"/>
                <w:rtl/>
              </w:rPr>
              <w:t>עיצום</w:t>
            </w:r>
            <w:r w:rsidRPr="00C403DB">
              <w:rPr>
                <w:rtl/>
              </w:rPr>
              <w:t xml:space="preserve"> </w:t>
            </w:r>
            <w:r w:rsidRPr="00C403DB">
              <w:rPr>
                <w:rFonts w:hint="cs"/>
                <w:rtl/>
              </w:rPr>
              <w:t>כ</w:t>
            </w:r>
            <w:r w:rsidRPr="00C403DB">
              <w:rPr>
                <w:rtl/>
              </w:rPr>
              <w:t xml:space="preserve">ספי: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(1)</w:t>
            </w:r>
            <w:r w:rsidRPr="00C403DB">
              <w:rPr>
                <w:rtl/>
              </w:rPr>
              <w:tab/>
              <w:t>דבר הטלת העיצום הכספי;</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(2)</w:t>
            </w:r>
            <w:r w:rsidRPr="00C403DB">
              <w:rPr>
                <w:rtl/>
              </w:rPr>
              <w:tab/>
              <w:t>מהות ההפרה</w:t>
            </w:r>
            <w:r w:rsidRPr="00C403DB">
              <w:rPr>
                <w:rFonts w:ascii="Times New Roman" w:hAnsi="Times New Roman" w:cs="Times New Roman" w:hint="cs"/>
                <w:rtl/>
              </w:rPr>
              <w:t> </w:t>
            </w:r>
            <w:r w:rsidRPr="00C403DB">
              <w:rPr>
                <w:rFonts w:hint="cs"/>
                <w:rtl/>
              </w:rPr>
              <w:t>שבשל</w:t>
            </w:r>
            <w:r w:rsidRPr="00C403DB">
              <w:rPr>
                <w:rtl/>
              </w:rPr>
              <w:t>ה הוטל העיצום הכספי ונסיבות ההפרה;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(3)</w:t>
            </w:r>
            <w:r w:rsidRPr="00C403DB">
              <w:rPr>
                <w:rtl/>
              </w:rPr>
              <w:tab/>
              <w:t>סכום העיצום הכספי שהוטל;</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(4)</w:t>
            </w:r>
            <w:r w:rsidRPr="00C403DB">
              <w:rPr>
                <w:rtl/>
              </w:rPr>
              <w:tab/>
              <w:t>אם הופחת העיצום הכספי – הנסיבות שבשלהן הופחת</w:t>
            </w:r>
            <w:r w:rsidRPr="00C403DB">
              <w:rPr>
                <w:rFonts w:ascii="Times New Roman" w:hAnsi="Times New Roman" w:cs="Times New Roman" w:hint="cs"/>
                <w:rtl/>
              </w:rPr>
              <w:t> </w:t>
            </w:r>
            <w:r w:rsidRPr="00C403DB">
              <w:rPr>
                <w:rFonts w:hint="cs"/>
                <w:rtl/>
              </w:rPr>
              <w:t>סכום</w:t>
            </w:r>
            <w:r w:rsidRPr="00C403DB">
              <w:rPr>
                <w:rtl/>
              </w:rPr>
              <w:t xml:space="preserve"> </w:t>
            </w:r>
            <w:r w:rsidRPr="00C403DB">
              <w:rPr>
                <w:rFonts w:hint="cs"/>
                <w:rtl/>
              </w:rPr>
              <w:t>העיצום</w:t>
            </w:r>
            <w:r w:rsidRPr="00C403DB">
              <w:rPr>
                <w:rtl/>
              </w:rPr>
              <w:t xml:space="preserve"> </w:t>
            </w:r>
            <w:r w:rsidRPr="00C403DB">
              <w:rPr>
                <w:rFonts w:hint="cs"/>
                <w:rtl/>
              </w:rPr>
              <w:t>ושיעורי</w:t>
            </w:r>
            <w:r w:rsidRPr="00C403DB">
              <w:rPr>
                <w:rtl/>
              </w:rPr>
              <w:t xml:space="preserve"> </w:t>
            </w:r>
            <w:r w:rsidRPr="00C403DB">
              <w:rPr>
                <w:rFonts w:hint="cs"/>
                <w:rtl/>
              </w:rPr>
              <w:t>הה</w:t>
            </w:r>
            <w:r w:rsidRPr="00C403DB">
              <w:rPr>
                <w:rtl/>
              </w:rPr>
              <w:t>פחתה;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(5)</w:t>
            </w:r>
            <w:r w:rsidRPr="00C403DB">
              <w:rPr>
                <w:rtl/>
              </w:rPr>
              <w:tab/>
              <w:t>פרטים על המפר, הנוגעים לעניין;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6521" w:type="dxa"/>
            <w:gridSpan w:val="2"/>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(6)</w:t>
            </w:r>
            <w:r w:rsidRPr="00C403DB">
              <w:rPr>
                <w:rtl/>
              </w:rPr>
              <w:tab/>
              <w:t>שמו של המפר – אם המפר הוא תאגיד.</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הוגש ערעור לפי סעיף</w:t>
            </w:r>
            <w:r w:rsidR="00C403DB" w:rsidRPr="00C403DB">
              <w:rPr>
                <w:rFonts w:hint="cs"/>
                <w:rtl/>
              </w:rPr>
              <w:t xml:space="preserve"> </w:t>
            </w:r>
            <w:r w:rsidRPr="00C403DB">
              <w:rPr>
                <w:rFonts w:hint="cs"/>
                <w:rtl/>
              </w:rPr>
              <w:t xml:space="preserve">33 </w:t>
            </w:r>
            <w:r w:rsidRPr="00C403DB">
              <w:rPr>
                <w:rtl/>
              </w:rPr>
              <w:t>, יפרסם הממונה, בפרסום לפי סעיף קטן (א) גם את דבר הגשת הערעור ואת תוצאותיו.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(ג)</w:t>
            </w:r>
            <w:r w:rsidRPr="00C403DB">
              <w:rPr>
                <w:rtl/>
              </w:rPr>
              <w:tab/>
              <w:t>על אף האמור בסעיף זה, לא יפרסם הממונה פרטים שהם</w:t>
            </w:r>
            <w:r w:rsidRPr="00C403DB">
              <w:rPr>
                <w:rFonts w:ascii="Times New Roman" w:hAnsi="Times New Roman" w:cs="Times New Roman" w:hint="cs"/>
                <w:rtl/>
              </w:rPr>
              <w:t> </w:t>
            </w:r>
            <w:r w:rsidRPr="00C403DB">
              <w:rPr>
                <w:rFonts w:hint="cs"/>
                <w:rtl/>
              </w:rPr>
              <w:t>בגדר</w:t>
            </w:r>
            <w:r w:rsidRPr="00C403DB">
              <w:rPr>
                <w:rtl/>
              </w:rPr>
              <w:t xml:space="preserve"> </w:t>
            </w:r>
            <w:r w:rsidRPr="00C403DB">
              <w:rPr>
                <w:rFonts w:hint="cs"/>
                <w:rtl/>
              </w:rPr>
              <w:t>מידע</w:t>
            </w:r>
            <w:r w:rsidRPr="00C403DB">
              <w:rPr>
                <w:rtl/>
              </w:rPr>
              <w:t xml:space="preserve"> </w:t>
            </w:r>
            <w:r w:rsidRPr="00C403DB">
              <w:rPr>
                <w:rFonts w:hint="cs"/>
                <w:rtl/>
              </w:rPr>
              <w:t>שרשות</w:t>
            </w:r>
            <w:r w:rsidRPr="00C403DB">
              <w:rPr>
                <w:rtl/>
              </w:rPr>
              <w:t xml:space="preserve"> </w:t>
            </w:r>
            <w:r w:rsidRPr="00C403DB">
              <w:rPr>
                <w:rFonts w:hint="cs"/>
                <w:rtl/>
              </w:rPr>
              <w:t>ציבורית</w:t>
            </w:r>
            <w:r w:rsidRPr="00C403DB">
              <w:rPr>
                <w:rtl/>
              </w:rPr>
              <w:t xml:space="preserve"> </w:t>
            </w:r>
            <w:r w:rsidRPr="00C403DB">
              <w:rPr>
                <w:rFonts w:hint="cs"/>
                <w:rtl/>
              </w:rPr>
              <w:t>מנועה</w:t>
            </w:r>
            <w:r w:rsidRPr="00C403DB">
              <w:rPr>
                <w:rtl/>
              </w:rPr>
              <w:t xml:space="preserve"> </w:t>
            </w:r>
            <w:r w:rsidRPr="00C403DB">
              <w:rPr>
                <w:rFonts w:hint="cs"/>
                <w:rtl/>
              </w:rPr>
              <w:t>מלמסור</w:t>
            </w:r>
            <w:r w:rsidRPr="00C403DB">
              <w:rPr>
                <w:rtl/>
              </w:rPr>
              <w:t xml:space="preserve"> </w:t>
            </w:r>
            <w:r w:rsidRPr="00C403DB">
              <w:rPr>
                <w:rFonts w:hint="cs"/>
                <w:rtl/>
              </w:rPr>
              <w:t>לפי</w:t>
            </w:r>
            <w:r w:rsidRPr="00C403DB">
              <w:rPr>
                <w:rtl/>
              </w:rPr>
              <w:t xml:space="preserve"> </w:t>
            </w:r>
            <w:r w:rsidRPr="00C403DB">
              <w:rPr>
                <w:rFonts w:hint="cs"/>
                <w:rtl/>
              </w:rPr>
              <w:t>סעיף</w:t>
            </w:r>
            <w:r w:rsidRPr="00C403DB">
              <w:rPr>
                <w:rtl/>
              </w:rPr>
              <w:t xml:space="preserve"> 9(</w:t>
            </w:r>
            <w:r w:rsidRPr="00C403DB">
              <w:rPr>
                <w:rFonts w:hint="cs"/>
                <w:rtl/>
              </w:rPr>
              <w:t>א</w:t>
            </w:r>
            <w:r w:rsidRPr="00C403DB">
              <w:rPr>
                <w:rtl/>
              </w:rPr>
              <w:t xml:space="preserve">) </w:t>
            </w:r>
            <w:r w:rsidRPr="00C403DB">
              <w:rPr>
                <w:rFonts w:hint="cs"/>
                <w:rtl/>
              </w:rPr>
              <w:t>לחוק</w:t>
            </w:r>
            <w:r w:rsidRPr="00C403DB">
              <w:rPr>
                <w:rtl/>
              </w:rPr>
              <w:t xml:space="preserve"> </w:t>
            </w:r>
            <w:r w:rsidRPr="00C403DB">
              <w:rPr>
                <w:rFonts w:hint="cs"/>
                <w:rtl/>
              </w:rPr>
              <w:t>חופש</w:t>
            </w:r>
            <w:r w:rsidRPr="00C403DB">
              <w:rPr>
                <w:rtl/>
              </w:rPr>
              <w:t xml:space="preserve"> </w:t>
            </w:r>
            <w:r w:rsidRPr="00C403DB">
              <w:rPr>
                <w:rFonts w:hint="cs"/>
                <w:rtl/>
              </w:rPr>
              <w:t>המידע</w:t>
            </w:r>
            <w:r w:rsidRPr="00C403DB">
              <w:rPr>
                <w:rtl/>
              </w:rPr>
              <w:t xml:space="preserve">, </w:t>
            </w:r>
            <w:r w:rsidRPr="00C403DB">
              <w:rPr>
                <w:rFonts w:hint="cs"/>
                <w:rtl/>
              </w:rPr>
              <w:t>התשנ</w:t>
            </w:r>
            <w:r w:rsidRPr="00C403DB">
              <w:rPr>
                <w:rtl/>
              </w:rPr>
              <w:t>"</w:t>
            </w:r>
            <w:r w:rsidRPr="00C403DB">
              <w:rPr>
                <w:rFonts w:hint="cs"/>
                <w:rtl/>
              </w:rPr>
              <w:t>ח–</w:t>
            </w:r>
            <w:r w:rsidRPr="00C403DB">
              <w:rPr>
                <w:rtl/>
              </w:rPr>
              <w:t>1998‏</w:t>
            </w:r>
            <w:r w:rsidRPr="00C403DB">
              <w:rPr>
                <w:rStyle w:val="a7"/>
                <w:rtl/>
              </w:rPr>
              <w:footnoteReference w:id="7"/>
            </w:r>
            <w:r w:rsidRPr="00C403DB">
              <w:rPr>
                <w:rtl/>
              </w:rPr>
              <w:t>, וכן רשאי הוא שלא לפרסם פרטים לפי סעיף זה שהם בגדר מידע שרשות ציבורית אינה חייבת למסור לפי סעיף 9(ב) לחוק האמור.</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(ד)</w:t>
            </w:r>
            <w:r w:rsidRPr="00C403DB">
              <w:rPr>
                <w:rtl/>
              </w:rPr>
              <w:tab/>
              <w:t>פרסום לפי סעיף זה בעניין עיצום כספי שהוטל על תאגיד יהיה לתקופה של ארבע שנים</w:t>
            </w:r>
            <w:r w:rsidRPr="00C403DB">
              <w:rPr>
                <w:rFonts w:hint="cs"/>
                <w:rtl/>
              </w:rPr>
              <w:t xml:space="preserve">, ובעניין עיצום כספי שהוטל על יחיד </w:t>
            </w:r>
            <w:r w:rsidRPr="00C403DB">
              <w:rPr>
                <w:rtl/>
              </w:rPr>
              <w:t>–</w:t>
            </w:r>
            <w:r w:rsidRPr="00C403DB">
              <w:rPr>
                <w:rFonts w:hint="cs"/>
                <w:rtl/>
              </w:rPr>
              <w:t xml:space="preserve"> לתקופה של שנתיים</w:t>
            </w:r>
            <w:r w:rsidRPr="00C403DB">
              <w:rPr>
                <w:rtl/>
              </w:rPr>
              <w:t>.</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(ה)</w:t>
            </w:r>
            <w:r w:rsidRPr="00C403DB">
              <w:rPr>
                <w:rtl/>
              </w:rPr>
              <w:tab/>
              <w:t>השר רשאי לקבוע דרכים נוספות לפרסום הפרטים האמורים בסעיף זה.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שמירת אחריות פלילית</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35</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w:t>
            </w:r>
            <w:r w:rsidRPr="00C403DB">
              <w:rPr>
                <w:rtl/>
              </w:rPr>
              <w:tab/>
              <w:t>תשלום עיצום כספי לפי פרק זה לא יגרע מאחריותו הפלילית של אדם בשל הפרת הוראה מההוראות לפי חוק זה המנויות בסעי</w:t>
            </w:r>
            <w:r w:rsidRPr="00C403DB">
              <w:rPr>
                <w:rFonts w:hint="cs"/>
                <w:rtl/>
              </w:rPr>
              <w:t>פים 18 עד 22</w:t>
            </w:r>
            <w:r w:rsidRPr="00C403DB">
              <w:rPr>
                <w:rtl/>
              </w:rPr>
              <w:t>, המהווה עבירה.</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(ב)</w:t>
            </w:r>
            <w:r w:rsidRPr="00C403DB">
              <w:rPr>
                <w:rtl/>
              </w:rPr>
              <w:tab/>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(ג)</w:t>
            </w:r>
            <w:r w:rsidRPr="00C403DB">
              <w:rPr>
                <w:rtl/>
              </w:rPr>
              <w:tab/>
              <w:t>הוגש נגד אדם כתב אישום בשל הפרה המהווה עבירה כאמור בסעיף קטן (א), לא ינקוט נגדו הממונה הליכים לפי פרק זה בשל אותה הפרה, ואם הוגש כתב אישום בנסיבות האמורות בסעיף קטן (ב) לאחר שהמפר שילם עיצום כספי – יוחזר לו הסכום ששולם, בתוספת הפרשי הצמדה וריבית מיום תשלום הסכום עד יום החזרתו.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rtl/>
              </w:rPr>
            </w:pPr>
            <w:r w:rsidRPr="00C403DB">
              <w:rPr>
                <w:rtl/>
              </w:rPr>
              <w:t>פרק ז': הוראות שונות</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lastRenderedPageBreak/>
              <w:t>ייחוד סמכות הפיקוח על המחירים</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36</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הוראות חוק פיקוח על מחירי מצרכים ושירותים, התשנ"ו–1996‏</w:t>
            </w:r>
            <w:r w:rsidRPr="00C403DB">
              <w:rPr>
                <w:rStyle w:val="a7"/>
                <w:rtl/>
              </w:rPr>
              <w:footnoteReference w:id="8"/>
            </w:r>
            <w:r w:rsidRPr="00C403DB">
              <w:rPr>
                <w:rtl/>
              </w:rPr>
              <w:t>, לא יחולו על מחיר בעד שירות של צהרון.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 xml:space="preserve">שמירת דינים </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37</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אין בהוראות חוק זה כדי לגרוע מהוראות כל דין, ובכלל זה מסמכויות פיקוח הנתונות לפי כל דין.</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אי־תחולה</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38</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הוראות חוק זה לא יחולו על מסגרות שמשרד העבודה, הרווחה והשירותים החברתיים משתתף בתקציבן ועל קייטנה כהגדרתה בחוק הקייטנות (רישוי ופיקוח), התש"ן–1990‏</w:t>
            </w:r>
            <w:r w:rsidRPr="00C403DB">
              <w:rPr>
                <w:rStyle w:val="a7"/>
                <w:rtl/>
              </w:rPr>
              <w:footnoteReference w:id="9"/>
            </w:r>
            <w:r w:rsidRPr="00C403DB">
              <w:rPr>
                <w:rtl/>
              </w:rPr>
              <w:t>.</w:t>
            </w:r>
          </w:p>
        </w:tc>
      </w:tr>
      <w:tr w:rsidR="003567EE" w:rsidRPr="00C403DB" w:rsidTr="000A3A96">
        <w:tblPrEx>
          <w:tblLook w:val="01E0" w:firstRow="1" w:lastRow="1" w:firstColumn="1" w:lastColumn="1" w:noHBand="0" w:noVBand="0"/>
        </w:tblPrEx>
        <w:trPr>
          <w:cantSplit/>
        </w:trPr>
        <w:tc>
          <w:tcPr>
            <w:tcW w:w="1869" w:type="dxa"/>
          </w:tcPr>
          <w:p w:rsidR="003567EE" w:rsidRPr="00C403DB" w:rsidRDefault="003567EE" w:rsidP="000A3A96">
            <w:pPr>
              <w:pStyle w:val="TableSideHeading"/>
              <w:keepLines w:val="0"/>
              <w:rPr>
                <w:rtl/>
              </w:rPr>
            </w:pPr>
            <w:r w:rsidRPr="00C403DB">
              <w:rPr>
                <w:rFonts w:hint="cs"/>
                <w:rtl/>
              </w:rPr>
              <w:t>תיקון התוספת</w:t>
            </w:r>
          </w:p>
        </w:tc>
        <w:tc>
          <w:tcPr>
            <w:tcW w:w="624" w:type="dxa"/>
          </w:tcPr>
          <w:p w:rsidR="003567EE" w:rsidRPr="00C403DB" w:rsidRDefault="003567EE" w:rsidP="000A3A96">
            <w:pPr>
              <w:pStyle w:val="TableText"/>
              <w:keepLines w:val="0"/>
              <w:tabs>
                <w:tab w:val="left" w:pos="0"/>
              </w:tabs>
              <w:rPr>
                <w:rtl/>
              </w:rPr>
            </w:pPr>
            <w:r w:rsidRPr="00C403DB">
              <w:rPr>
                <w:rFonts w:hint="cs"/>
                <w:rtl/>
              </w:rPr>
              <w:t>39.</w:t>
            </w:r>
            <w:r w:rsidRPr="00C403DB">
              <w:rPr>
                <w:rtl/>
              </w:rPr>
              <w:tab/>
            </w:r>
          </w:p>
        </w:tc>
        <w:tc>
          <w:tcPr>
            <w:tcW w:w="7145" w:type="dxa"/>
            <w:gridSpan w:val="3"/>
          </w:tcPr>
          <w:p w:rsidR="003567EE" w:rsidRPr="00C403DB" w:rsidRDefault="003567EE" w:rsidP="000A3A96">
            <w:pPr>
              <w:pStyle w:val="TableBlock"/>
              <w:rPr>
                <w:rtl/>
              </w:rPr>
            </w:pPr>
            <w:r w:rsidRPr="00C403DB">
              <w:rPr>
                <w:rFonts w:hint="cs"/>
                <w:rtl/>
              </w:rPr>
              <w:t>השר, בהסכמת שר המשפטים, ובאישור ועדת החינוך, התרבות והספורט של הכנסת, רשאי, בצו לשנות את התוספת.</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r w:rsidRPr="00C403DB">
              <w:rPr>
                <w:rtl/>
              </w:rPr>
              <w:t>ביצוע ותקנות</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40</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tl/>
              </w:rPr>
              <w:t>השר ממונה על ביצועו של חוק זה, והוא רשאי להתקין תקנות בכל עניין הנוגע לביצועו.</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szCs w:val="20"/>
                <w:rtl/>
              </w:rPr>
            </w:pPr>
            <w:r w:rsidRPr="00C403DB">
              <w:rPr>
                <w:rtl/>
              </w:rPr>
              <w:t>תחילה</w:t>
            </w:r>
            <w:r w:rsidRPr="00C403DB">
              <w:rPr>
                <w:rFonts w:hint="cs"/>
                <w:rtl/>
              </w:rPr>
              <w:t xml:space="preserve"> ותחולה</w:t>
            </w: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r w:rsidRPr="00C403DB">
              <w:rPr>
                <w:rFonts w:hint="cs"/>
                <w:rtl/>
              </w:rPr>
              <w:t>41</w:t>
            </w:r>
            <w:r w:rsidRPr="00C403DB">
              <w:rPr>
                <w:rtl/>
              </w:rPr>
              <w:t>.</w:t>
            </w: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rtl/>
              </w:rPr>
              <w:t>(א)</w:t>
            </w:r>
            <w:r w:rsidRPr="00C403DB">
              <w:rPr>
                <w:rtl/>
              </w:rPr>
              <w:tab/>
              <w:t>תחילתו של חוק זה בתחילת שנת הלימודים התשע"ח</w:t>
            </w:r>
            <w:r w:rsidRPr="00C403DB">
              <w:rPr>
                <w:rFonts w:hint="cs"/>
                <w:rtl/>
              </w:rPr>
              <w:t xml:space="preserve">; ואולם, תחילתם של </w:t>
            </w:r>
            <w:r w:rsidRPr="00C403DB">
              <w:rPr>
                <w:rtl/>
              </w:rPr>
              <w:t>תחילתם של סעי</w:t>
            </w:r>
            <w:r w:rsidRPr="00C403DB">
              <w:rPr>
                <w:rFonts w:hint="cs"/>
                <w:rtl/>
              </w:rPr>
              <w:t>פים 4 ו-</w:t>
            </w:r>
            <w:r w:rsidRPr="00C403DB">
              <w:rPr>
                <w:rtl/>
              </w:rPr>
              <w:t xml:space="preserve">8 ושל פרק ו' בתחילת שנת הלימודים התשע"ט. </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rtl/>
              </w:rPr>
            </w:pPr>
            <w:r w:rsidRPr="00C403DB">
              <w:rPr>
                <w:rFonts w:hint="cs"/>
                <w:sz w:val="26"/>
                <w:rtl/>
              </w:rPr>
              <w:t xml:space="preserve">(ב) </w:t>
            </w:r>
            <w:r w:rsidRPr="00C403DB">
              <w:rPr>
                <w:sz w:val="26"/>
                <w:rtl/>
              </w:rPr>
              <w:tab/>
            </w:r>
            <w:r w:rsidRPr="00C403DB">
              <w:rPr>
                <w:rFonts w:hint="cs"/>
                <w:sz w:val="26"/>
                <w:rtl/>
              </w:rPr>
              <w:t xml:space="preserve">הוראות חוק זה יחולו על צהרונים שמפעילות רשות מקומית או מי מטעמה וחברה ממשלתית </w:t>
            </w:r>
            <w:r w:rsidRPr="00C403DB">
              <w:rPr>
                <w:rFonts w:hint="cs"/>
                <w:rtl/>
              </w:rPr>
              <w:t>החל בשנת הלימודים התשע"ח.</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Block"/>
              <w:rPr>
                <w:sz w:val="26"/>
                <w:rtl/>
              </w:rPr>
            </w:pPr>
            <w:r w:rsidRPr="00C403DB">
              <w:rPr>
                <w:rFonts w:hint="cs"/>
                <w:rtl/>
              </w:rPr>
              <w:t>(ג)</w:t>
            </w:r>
            <w:r w:rsidRPr="00C403DB">
              <w:rPr>
                <w:rtl/>
              </w:rPr>
              <w:tab/>
            </w:r>
            <w:r w:rsidRPr="00C403DB">
              <w:rPr>
                <w:rFonts w:hint="cs"/>
                <w:rtl/>
              </w:rPr>
              <w:t>הוראות חוק זה יחולו על צהרונים שאינם מנויים בסעיף קטן (ב) החל בשנת הלימודים התשע"ט.</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rtl/>
              </w:rPr>
            </w:pPr>
            <w:r w:rsidRPr="00C403DB">
              <w:rPr>
                <w:rtl/>
              </w:rPr>
              <w:t>תוספת</w:t>
            </w:r>
          </w:p>
        </w:tc>
      </w:tr>
      <w:tr w:rsidR="003567EE" w:rsidRPr="00C403DB" w:rsidTr="000A3A96">
        <w:trPr>
          <w:cantSplit/>
        </w:trPr>
        <w:tc>
          <w:tcPr>
            <w:tcW w:w="1869" w:type="dxa"/>
            <w:shd w:val="clear" w:color="auto" w:fill="auto"/>
            <w:tcMar>
              <w:top w:w="91" w:type="dxa"/>
              <w:left w:w="0" w:type="dxa"/>
              <w:bottom w:w="91" w:type="dxa"/>
              <w:right w:w="0" w:type="dxa"/>
            </w:tcMar>
          </w:tcPr>
          <w:p w:rsidR="003567EE" w:rsidRPr="00C403DB" w:rsidRDefault="003567EE" w:rsidP="000A3A96">
            <w:pPr>
              <w:pStyle w:val="TableSideHeading"/>
              <w:rPr>
                <w:rtl/>
              </w:rPr>
            </w:pPr>
          </w:p>
        </w:tc>
        <w:tc>
          <w:tcPr>
            <w:tcW w:w="624" w:type="dxa"/>
            <w:shd w:val="clear" w:color="auto" w:fill="auto"/>
            <w:tcMar>
              <w:top w:w="91" w:type="dxa"/>
              <w:left w:w="0" w:type="dxa"/>
              <w:bottom w:w="91" w:type="dxa"/>
              <w:right w:w="0" w:type="dxa"/>
            </w:tcMar>
          </w:tcPr>
          <w:p w:rsidR="003567EE" w:rsidRPr="00C403DB" w:rsidRDefault="003567EE" w:rsidP="000A3A96">
            <w:pPr>
              <w:pStyle w:val="TableText"/>
              <w:rPr>
                <w:rtl/>
              </w:rPr>
            </w:pPr>
          </w:p>
        </w:tc>
        <w:tc>
          <w:tcPr>
            <w:tcW w:w="7145" w:type="dxa"/>
            <w:gridSpan w:val="3"/>
            <w:shd w:val="clear" w:color="auto" w:fill="auto"/>
            <w:tcMar>
              <w:top w:w="91" w:type="dxa"/>
              <w:left w:w="0" w:type="dxa"/>
              <w:bottom w:w="91" w:type="dxa"/>
              <w:right w:w="0" w:type="dxa"/>
            </w:tcMar>
          </w:tcPr>
          <w:p w:rsidR="003567EE" w:rsidRPr="00C403DB" w:rsidRDefault="003567EE" w:rsidP="000A3A96">
            <w:pPr>
              <w:pStyle w:val="TableHead"/>
              <w:rPr>
                <w:b w:val="0"/>
                <w:bCs w:val="0"/>
                <w:rtl/>
              </w:rPr>
            </w:pPr>
          </w:p>
        </w:tc>
      </w:tr>
    </w:tbl>
    <w:p w:rsidR="003567EE" w:rsidRPr="00C403DB" w:rsidRDefault="003567EE" w:rsidP="003567EE">
      <w:pPr>
        <w:ind w:right="-28"/>
        <w:jc w:val="center"/>
        <w:rPr>
          <w:sz w:val="26"/>
          <w:szCs w:val="26"/>
          <w:rtl/>
        </w:rPr>
      </w:pPr>
    </w:p>
    <w:p w:rsidR="003567EE" w:rsidRDefault="003567EE" w:rsidP="003567EE">
      <w:pPr>
        <w:spacing w:before="0" w:line="360" w:lineRule="auto"/>
        <w:ind w:right="-28" w:firstLine="0"/>
        <w:jc w:val="center"/>
        <w:rPr>
          <w:rFonts w:cs="David"/>
          <w:sz w:val="26"/>
          <w:szCs w:val="26"/>
          <w:rtl/>
        </w:rPr>
      </w:pPr>
      <w:r w:rsidRPr="00C403DB">
        <w:rPr>
          <w:rFonts w:cs="David" w:hint="cs"/>
          <w:sz w:val="26"/>
          <w:szCs w:val="26"/>
          <w:rtl/>
        </w:rPr>
        <w:t>***************************************************************************************</w:t>
      </w:r>
    </w:p>
    <w:p w:rsidR="00A45373" w:rsidRPr="00C403DB" w:rsidRDefault="00A45373" w:rsidP="00C403DB">
      <w:pPr>
        <w:spacing w:before="0" w:line="240" w:lineRule="auto"/>
        <w:ind w:firstLine="0"/>
        <w:rPr>
          <w:rFonts w:cs="David"/>
          <w:sz w:val="20"/>
          <w:szCs w:val="20"/>
        </w:rPr>
      </w:pPr>
    </w:p>
    <w:sectPr w:rsidR="00A45373" w:rsidRPr="00C403DB" w:rsidSect="006D751F">
      <w:footerReference w:type="even" r:id="rId7"/>
      <w:footerReference w:type="default" r:id="rId8"/>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413" w:rsidRDefault="00427413" w:rsidP="003567EE">
      <w:pPr>
        <w:spacing w:before="0" w:line="240" w:lineRule="auto"/>
      </w:pPr>
      <w:r>
        <w:separator/>
      </w:r>
    </w:p>
  </w:endnote>
  <w:endnote w:type="continuationSeparator" w:id="0">
    <w:p w:rsidR="00427413" w:rsidRDefault="00427413" w:rsidP="003567E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B12" w:rsidRDefault="008307AA" w:rsidP="002213B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D21B12" w:rsidRDefault="00427413">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B12" w:rsidRPr="006D751F" w:rsidRDefault="008307AA" w:rsidP="002213BB">
    <w:pPr>
      <w:pStyle w:val="ab"/>
      <w:framePr w:wrap="around" w:vAnchor="text" w:hAnchor="text" w:xAlign="center" w:y="1"/>
      <w:rPr>
        <w:rStyle w:val="ad"/>
        <w:rFonts w:cs="David"/>
        <w:sz w:val="26"/>
        <w:szCs w:val="26"/>
      </w:rPr>
    </w:pPr>
    <w:r w:rsidRPr="006D751F">
      <w:rPr>
        <w:rStyle w:val="ad"/>
        <w:rFonts w:cs="David"/>
        <w:sz w:val="26"/>
        <w:szCs w:val="26"/>
        <w:rtl/>
      </w:rPr>
      <w:fldChar w:fldCharType="begin"/>
    </w:r>
    <w:r w:rsidRPr="006D751F">
      <w:rPr>
        <w:rStyle w:val="ad"/>
        <w:rFonts w:cs="David"/>
        <w:sz w:val="26"/>
        <w:szCs w:val="26"/>
      </w:rPr>
      <w:instrText xml:space="preserve">PAGE  </w:instrText>
    </w:r>
    <w:r w:rsidRPr="006D751F">
      <w:rPr>
        <w:rStyle w:val="ad"/>
        <w:rFonts w:cs="David"/>
        <w:sz w:val="26"/>
        <w:szCs w:val="26"/>
        <w:rtl/>
      </w:rPr>
      <w:fldChar w:fldCharType="separate"/>
    </w:r>
    <w:r w:rsidR="00E15588">
      <w:rPr>
        <w:rStyle w:val="ad"/>
        <w:rFonts w:cs="David"/>
        <w:noProof/>
        <w:sz w:val="26"/>
        <w:szCs w:val="26"/>
        <w:rtl/>
      </w:rPr>
      <w:t>1</w:t>
    </w:r>
    <w:r w:rsidRPr="006D751F">
      <w:rPr>
        <w:rStyle w:val="ad"/>
        <w:rFonts w:cs="David"/>
        <w:sz w:val="26"/>
        <w:szCs w:val="26"/>
        <w:rtl/>
      </w:rPr>
      <w:fldChar w:fldCharType="end"/>
    </w:r>
  </w:p>
  <w:p w:rsidR="00D21B12" w:rsidRDefault="0042741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413" w:rsidRDefault="00427413" w:rsidP="003567EE">
      <w:pPr>
        <w:spacing w:before="0" w:line="240" w:lineRule="auto"/>
      </w:pPr>
      <w:r>
        <w:separator/>
      </w:r>
    </w:p>
  </w:footnote>
  <w:footnote w:type="continuationSeparator" w:id="0">
    <w:p w:rsidR="00427413" w:rsidRDefault="00427413" w:rsidP="003567EE">
      <w:pPr>
        <w:spacing w:before="0" w:line="240" w:lineRule="auto"/>
      </w:pPr>
      <w:r>
        <w:continuationSeparator/>
      </w:r>
    </w:p>
  </w:footnote>
  <w:footnote w:id="1">
    <w:p w:rsidR="003567EE" w:rsidRDefault="003567EE" w:rsidP="003567EE">
      <w:pPr>
        <w:pStyle w:val="a5"/>
        <w:rPr>
          <w:rtl/>
        </w:rPr>
      </w:pPr>
      <w:r>
        <w:rPr>
          <w:rStyle w:val="a7"/>
        </w:rPr>
        <w:footnoteRef/>
      </w:r>
      <w:r>
        <w:rPr>
          <w:rtl/>
        </w:rPr>
        <w:t xml:space="preserve"> </w:t>
      </w:r>
      <w:r>
        <w:rPr>
          <w:rFonts w:hint="eastAsia"/>
          <w:rtl/>
        </w:rPr>
        <w:t>ס</w:t>
      </w:r>
      <w:r>
        <w:rPr>
          <w:rtl/>
        </w:rPr>
        <w:t>"ח התש"ט, עמ' 287.</w:t>
      </w:r>
    </w:p>
  </w:footnote>
  <w:footnote w:id="2">
    <w:p w:rsidR="003567EE" w:rsidRDefault="003567EE" w:rsidP="003567EE">
      <w:pPr>
        <w:pStyle w:val="a5"/>
        <w:rPr>
          <w:rtl/>
        </w:rPr>
      </w:pPr>
      <w:r>
        <w:rPr>
          <w:rStyle w:val="a7"/>
        </w:rPr>
        <w:footnoteRef/>
      </w:r>
      <w:r>
        <w:rPr>
          <w:rtl/>
        </w:rPr>
        <w:t xml:space="preserve"> </w:t>
      </w:r>
      <w:r>
        <w:rPr>
          <w:rFonts w:hint="eastAsia"/>
          <w:rtl/>
        </w:rPr>
        <w:t>ס</w:t>
      </w:r>
      <w:r>
        <w:rPr>
          <w:rtl/>
        </w:rPr>
        <w:t>"ח התשע"ז, עמ' 20.</w:t>
      </w:r>
    </w:p>
  </w:footnote>
  <w:footnote w:id="3">
    <w:p w:rsidR="003567EE" w:rsidRDefault="003567EE" w:rsidP="003567EE">
      <w:pPr>
        <w:pStyle w:val="a5"/>
        <w:rPr>
          <w:rtl/>
        </w:rPr>
      </w:pPr>
      <w:r>
        <w:rPr>
          <w:rStyle w:val="a7"/>
        </w:rPr>
        <w:footnoteRef/>
      </w:r>
      <w:r>
        <w:rPr>
          <w:rtl/>
        </w:rPr>
        <w:t xml:space="preserve"> </w:t>
      </w:r>
      <w:r>
        <w:rPr>
          <w:rFonts w:hint="eastAsia"/>
          <w:rtl/>
        </w:rPr>
        <w:t>ס</w:t>
      </w:r>
      <w:r>
        <w:rPr>
          <w:rtl/>
        </w:rPr>
        <w:t>"ח התשס"א, עמ' 509.</w:t>
      </w:r>
    </w:p>
  </w:footnote>
  <w:footnote w:id="4">
    <w:p w:rsidR="003567EE" w:rsidRDefault="003567EE" w:rsidP="003567EE">
      <w:pPr>
        <w:pStyle w:val="a5"/>
        <w:rPr>
          <w:rtl/>
        </w:rPr>
      </w:pPr>
      <w:r>
        <w:rPr>
          <w:rStyle w:val="a7"/>
        </w:rPr>
        <w:footnoteRef/>
      </w:r>
      <w:r>
        <w:rPr>
          <w:rtl/>
        </w:rPr>
        <w:t xml:space="preserve"> </w:t>
      </w:r>
      <w:r>
        <w:rPr>
          <w:rFonts w:hint="eastAsia"/>
          <w:rtl/>
        </w:rPr>
        <w:t>ס</w:t>
      </w:r>
      <w:r>
        <w:rPr>
          <w:rtl/>
        </w:rPr>
        <w:t>"ח התשנ"ה, עמ' 366.</w:t>
      </w:r>
    </w:p>
  </w:footnote>
  <w:footnote w:id="5">
    <w:p w:rsidR="003567EE" w:rsidRDefault="003567EE" w:rsidP="003567EE">
      <w:pPr>
        <w:pStyle w:val="a5"/>
        <w:rPr>
          <w:rtl/>
        </w:rPr>
      </w:pPr>
      <w:r>
        <w:rPr>
          <w:rStyle w:val="a7"/>
        </w:rPr>
        <w:footnoteRef/>
      </w:r>
      <w:r>
        <w:rPr>
          <w:rtl/>
        </w:rPr>
        <w:t xml:space="preserve"> </w:t>
      </w:r>
      <w:r>
        <w:rPr>
          <w:rFonts w:hint="eastAsia"/>
          <w:rtl/>
        </w:rPr>
        <w:t>ס</w:t>
      </w:r>
      <w:r>
        <w:rPr>
          <w:rtl/>
        </w:rPr>
        <w:t>"ח התשכ"א, עמ' 192.</w:t>
      </w:r>
    </w:p>
  </w:footnote>
  <w:footnote w:id="6">
    <w:p w:rsidR="003567EE" w:rsidRDefault="003567EE" w:rsidP="003567EE">
      <w:pPr>
        <w:pStyle w:val="a5"/>
        <w:rPr>
          <w:rtl/>
        </w:rPr>
      </w:pPr>
      <w:r>
        <w:rPr>
          <w:rStyle w:val="a7"/>
        </w:rPr>
        <w:footnoteRef/>
      </w:r>
      <w:r>
        <w:rPr>
          <w:rtl/>
        </w:rPr>
        <w:t xml:space="preserve"> </w:t>
      </w:r>
      <w:r>
        <w:rPr>
          <w:rFonts w:hint="eastAsia"/>
          <w:rtl/>
        </w:rPr>
        <w:t>ס</w:t>
      </w:r>
      <w:r>
        <w:rPr>
          <w:rtl/>
        </w:rPr>
        <w:t>"ח התשנ"ה, עמ' 170.</w:t>
      </w:r>
    </w:p>
  </w:footnote>
  <w:footnote w:id="7">
    <w:p w:rsidR="003567EE" w:rsidRDefault="003567EE" w:rsidP="003567EE">
      <w:pPr>
        <w:pStyle w:val="a5"/>
        <w:rPr>
          <w:rtl/>
        </w:rPr>
      </w:pPr>
      <w:r>
        <w:rPr>
          <w:rStyle w:val="a7"/>
        </w:rPr>
        <w:footnoteRef/>
      </w:r>
      <w:r>
        <w:rPr>
          <w:rtl/>
        </w:rPr>
        <w:t xml:space="preserve"> </w:t>
      </w:r>
      <w:r>
        <w:rPr>
          <w:rFonts w:hint="eastAsia"/>
          <w:rtl/>
        </w:rPr>
        <w:t>ס</w:t>
      </w:r>
      <w:r>
        <w:rPr>
          <w:rtl/>
        </w:rPr>
        <w:t>"ח התשנ"ח, עמ' 226.</w:t>
      </w:r>
    </w:p>
  </w:footnote>
  <w:footnote w:id="8">
    <w:p w:rsidR="003567EE" w:rsidRDefault="003567EE" w:rsidP="003567EE">
      <w:pPr>
        <w:pStyle w:val="a5"/>
        <w:rPr>
          <w:rtl/>
        </w:rPr>
      </w:pPr>
      <w:r>
        <w:rPr>
          <w:rStyle w:val="a7"/>
        </w:rPr>
        <w:footnoteRef/>
      </w:r>
      <w:r>
        <w:rPr>
          <w:rtl/>
        </w:rPr>
        <w:t xml:space="preserve"> </w:t>
      </w:r>
      <w:r>
        <w:rPr>
          <w:rFonts w:hint="eastAsia"/>
          <w:rtl/>
        </w:rPr>
        <w:t>ס</w:t>
      </w:r>
      <w:r>
        <w:rPr>
          <w:rtl/>
        </w:rPr>
        <w:t>"ח התשנ"ו, עמ' 192.</w:t>
      </w:r>
    </w:p>
  </w:footnote>
  <w:footnote w:id="9">
    <w:p w:rsidR="003567EE" w:rsidRDefault="003567EE" w:rsidP="003567EE">
      <w:pPr>
        <w:pStyle w:val="a5"/>
        <w:rPr>
          <w:rtl/>
        </w:rPr>
      </w:pPr>
      <w:r>
        <w:rPr>
          <w:rStyle w:val="a7"/>
        </w:rPr>
        <w:footnoteRef/>
      </w:r>
      <w:r>
        <w:rPr>
          <w:rtl/>
        </w:rPr>
        <w:t xml:space="preserve"> </w:t>
      </w:r>
      <w:r>
        <w:rPr>
          <w:rFonts w:hint="eastAsia"/>
          <w:rtl/>
        </w:rPr>
        <w:t>ס</w:t>
      </w:r>
      <w:r>
        <w:rPr>
          <w:rtl/>
        </w:rPr>
        <w:t>"ח התש"ן, עמ' 155.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D0201BB"/>
    <w:multiLevelType w:val="hybridMultilevel"/>
    <w:tmpl w:val="224E5E44"/>
    <w:lvl w:ilvl="0" w:tplc="A99C7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A03D9C"/>
    <w:multiLevelType w:val="hybridMultilevel"/>
    <w:tmpl w:val="A874D810"/>
    <w:lvl w:ilvl="0" w:tplc="888AAF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5E52F8"/>
    <w:multiLevelType w:val="hybridMultilevel"/>
    <w:tmpl w:val="224E5E44"/>
    <w:lvl w:ilvl="0" w:tplc="A99C7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7EE"/>
    <w:rsid w:val="003567EE"/>
    <w:rsid w:val="003745BF"/>
    <w:rsid w:val="00427413"/>
    <w:rsid w:val="008307AA"/>
    <w:rsid w:val="00A45373"/>
    <w:rsid w:val="00C403DB"/>
    <w:rsid w:val="00C53AF2"/>
    <w:rsid w:val="00E155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48D7AD-E05C-47FC-AD26-770B9BC0B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67EE"/>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3567E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567E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567EE"/>
    <w:pPr>
      <w:spacing w:before="120" w:after="120"/>
    </w:pPr>
    <w:rPr>
      <w:color w:val="FF0000"/>
      <w:w w:val="80"/>
    </w:rPr>
  </w:style>
  <w:style w:type="paragraph" w:styleId="a3">
    <w:name w:val="endnote text"/>
    <w:basedOn w:val="a"/>
    <w:link w:val="a4"/>
    <w:semiHidden/>
    <w:rsid w:val="003567EE"/>
    <w:pPr>
      <w:ind w:left="227" w:hanging="227"/>
    </w:pPr>
    <w:rPr>
      <w:sz w:val="14"/>
      <w:szCs w:val="22"/>
    </w:rPr>
  </w:style>
  <w:style w:type="character" w:customStyle="1" w:styleId="a4">
    <w:name w:val="טקסט הערת סיום תו"/>
    <w:basedOn w:val="a0"/>
    <w:link w:val="a3"/>
    <w:semiHidden/>
    <w:rsid w:val="003567EE"/>
    <w:rPr>
      <w:rFonts w:ascii="Hadasa Roso SL" w:eastAsia="MS Mincho" w:hAnsi="Hadasa Roso SL" w:cs="Hadasa Roso SL"/>
      <w:color w:val="000000"/>
      <w:spacing w:val="1"/>
      <w:sz w:val="14"/>
      <w:lang w:eastAsia="ja-JP"/>
    </w:rPr>
  </w:style>
  <w:style w:type="paragraph" w:customStyle="1" w:styleId="TableText">
    <w:name w:val="Table Text"/>
    <w:basedOn w:val="a"/>
    <w:rsid w:val="003567E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567EE"/>
  </w:style>
  <w:style w:type="paragraph" w:customStyle="1" w:styleId="TableBlock">
    <w:name w:val="Table Block"/>
    <w:basedOn w:val="TableText"/>
    <w:rsid w:val="003567EE"/>
    <w:pPr>
      <w:ind w:right="0"/>
      <w:jc w:val="both"/>
    </w:pPr>
  </w:style>
  <w:style w:type="paragraph" w:customStyle="1" w:styleId="TableHead">
    <w:name w:val="Table Head"/>
    <w:basedOn w:val="TableText"/>
    <w:rsid w:val="003567EE"/>
    <w:pPr>
      <w:ind w:right="0"/>
      <w:jc w:val="center"/>
    </w:pPr>
    <w:rPr>
      <w:b/>
      <w:bCs/>
    </w:rPr>
  </w:style>
  <w:style w:type="paragraph" w:customStyle="1" w:styleId="TableInnerSideHeading">
    <w:name w:val="Table InnerSideHeading"/>
    <w:basedOn w:val="TableSideHeading"/>
    <w:rsid w:val="003567EE"/>
  </w:style>
  <w:style w:type="paragraph" w:customStyle="1" w:styleId="Hesber">
    <w:name w:val="Hesber"/>
    <w:basedOn w:val="a"/>
    <w:rsid w:val="003567EE"/>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3567E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3567EE"/>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3567EE"/>
    <w:rPr>
      <w:vertAlign w:val="superscript"/>
    </w:rPr>
  </w:style>
  <w:style w:type="paragraph" w:customStyle="1" w:styleId="HesberHeading">
    <w:name w:val="Hesber Heading"/>
    <w:basedOn w:val="Hesber"/>
    <w:rsid w:val="003567EE"/>
    <w:pPr>
      <w:tabs>
        <w:tab w:val="left" w:pos="624"/>
        <w:tab w:val="left" w:pos="1247"/>
      </w:tabs>
      <w:ind w:firstLine="0"/>
    </w:pPr>
    <w:rPr>
      <w:b/>
      <w:bCs/>
    </w:rPr>
  </w:style>
  <w:style w:type="paragraph" w:customStyle="1" w:styleId="HesberWriters">
    <w:name w:val="Hesber Writers"/>
    <w:basedOn w:val="Hesber"/>
    <w:rsid w:val="003567EE"/>
    <w:pPr>
      <w:spacing w:before="120" w:after="6000"/>
      <w:ind w:left="1418" w:firstLine="0"/>
      <w:jc w:val="right"/>
    </w:pPr>
    <w:rPr>
      <w:b/>
      <w:bCs/>
    </w:rPr>
  </w:style>
  <w:style w:type="paragraph" w:customStyle="1" w:styleId="Hesber1st">
    <w:name w:val="Hesber 1st"/>
    <w:basedOn w:val="Hesber"/>
    <w:rsid w:val="003567EE"/>
    <w:pPr>
      <w:tabs>
        <w:tab w:val="left" w:pos="680"/>
        <w:tab w:val="left" w:pos="1020"/>
      </w:tabs>
      <w:ind w:firstLine="0"/>
    </w:pPr>
  </w:style>
  <w:style w:type="character" w:styleId="a8">
    <w:name w:val="endnote reference"/>
    <w:basedOn w:val="a0"/>
    <w:semiHidden/>
    <w:rsid w:val="003567EE"/>
    <w:rPr>
      <w:vertAlign w:val="superscript"/>
    </w:rPr>
  </w:style>
  <w:style w:type="paragraph" w:customStyle="1" w:styleId="TableBlockOutdent">
    <w:name w:val="Table BlockOutdent"/>
    <w:basedOn w:val="TableBlock"/>
    <w:rsid w:val="003567EE"/>
    <w:pPr>
      <w:ind w:left="624" w:hanging="624"/>
    </w:pPr>
  </w:style>
  <w:style w:type="paragraph" w:styleId="a9">
    <w:name w:val="header"/>
    <w:basedOn w:val="a"/>
    <w:link w:val="aa"/>
    <w:rsid w:val="003567EE"/>
    <w:pPr>
      <w:tabs>
        <w:tab w:val="center" w:pos="4153"/>
        <w:tab w:val="right" w:pos="8306"/>
      </w:tabs>
    </w:pPr>
  </w:style>
  <w:style w:type="character" w:customStyle="1" w:styleId="aa">
    <w:name w:val="כותרת עליונה תו"/>
    <w:basedOn w:val="a0"/>
    <w:link w:val="a9"/>
    <w:rsid w:val="003567EE"/>
    <w:rPr>
      <w:rFonts w:ascii="Hadasa Roso SL" w:eastAsia="MS Mincho" w:hAnsi="Hadasa Roso SL" w:cs="Hadasa Roso SL"/>
      <w:color w:val="000000"/>
      <w:spacing w:val="1"/>
      <w:sz w:val="17"/>
      <w:szCs w:val="17"/>
      <w:lang w:eastAsia="ja-JP"/>
    </w:rPr>
  </w:style>
  <w:style w:type="paragraph" w:styleId="ab">
    <w:name w:val="footer"/>
    <w:basedOn w:val="a"/>
    <w:link w:val="ac"/>
    <w:rsid w:val="003567EE"/>
    <w:pPr>
      <w:tabs>
        <w:tab w:val="center" w:pos="4153"/>
        <w:tab w:val="right" w:pos="8306"/>
      </w:tabs>
    </w:pPr>
  </w:style>
  <w:style w:type="character" w:customStyle="1" w:styleId="ac">
    <w:name w:val="כותרת תחתונה תו"/>
    <w:basedOn w:val="a0"/>
    <w:link w:val="ab"/>
    <w:rsid w:val="003567EE"/>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3567EE"/>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d">
    <w:name w:val="page number"/>
    <w:basedOn w:val="a0"/>
    <w:rsid w:val="003567EE"/>
  </w:style>
  <w:style w:type="paragraph" w:customStyle="1" w:styleId="Cover1-Reshumot">
    <w:name w:val="Cover 1-Reshumot"/>
    <w:basedOn w:val="a"/>
    <w:rsid w:val="003567E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567EE"/>
    <w:rPr>
      <w:sz w:val="36"/>
      <w:szCs w:val="52"/>
    </w:rPr>
  </w:style>
  <w:style w:type="paragraph" w:customStyle="1" w:styleId="Cover3-Haknesset">
    <w:name w:val="Cover 3-Haknesset"/>
    <w:basedOn w:val="Cover1-Reshumot"/>
    <w:rsid w:val="003567EE"/>
    <w:rPr>
      <w:b/>
      <w:bCs/>
      <w:spacing w:val="60"/>
    </w:rPr>
  </w:style>
  <w:style w:type="paragraph" w:customStyle="1" w:styleId="Cover4-Date">
    <w:name w:val="Cover 4-Date"/>
    <w:basedOn w:val="a"/>
    <w:rsid w:val="003567E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567EE"/>
    <w:pPr>
      <w:snapToGrid w:val="0"/>
      <w:spacing w:before="0" w:line="360" w:lineRule="auto"/>
      <w:jc w:val="left"/>
    </w:pPr>
    <w:rPr>
      <w:rFonts w:ascii="Arial" w:eastAsia="Arial Unicode MS" w:hAnsi="Arial" w:cs="David"/>
      <w:snapToGrid w:val="0"/>
      <w:spacing w:val="0"/>
      <w:sz w:val="20"/>
      <w:szCs w:val="26"/>
    </w:rPr>
  </w:style>
  <w:style w:type="paragraph" w:customStyle="1" w:styleId="Noparagraphstyle">
    <w:name w:val="[No paragraph style]"/>
    <w:rsid w:val="003567E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unhideWhenUsed/>
    <w:rsid w:val="003567EE"/>
    <w:rPr>
      <w:color w:val="0563C1"/>
      <w:u w:val="single"/>
    </w:rPr>
  </w:style>
  <w:style w:type="paragraph" w:styleId="ae">
    <w:name w:val="Balloon Text"/>
    <w:basedOn w:val="a"/>
    <w:link w:val="af"/>
    <w:rsid w:val="003567EE"/>
    <w:pPr>
      <w:spacing w:before="0" w:line="240" w:lineRule="auto"/>
    </w:pPr>
    <w:rPr>
      <w:rFonts w:ascii="Tahoma" w:hAnsi="Tahoma" w:cs="Tahoma"/>
      <w:sz w:val="16"/>
      <w:szCs w:val="16"/>
    </w:rPr>
  </w:style>
  <w:style w:type="character" w:customStyle="1" w:styleId="af">
    <w:name w:val="טקסט בלונים תו"/>
    <w:basedOn w:val="a0"/>
    <w:link w:val="ae"/>
    <w:rsid w:val="003567EE"/>
    <w:rPr>
      <w:rFonts w:ascii="Tahoma" w:eastAsia="MS Mincho" w:hAnsi="Tahoma" w:cs="Tahoma"/>
      <w:color w:val="000000"/>
      <w:spacing w:val="1"/>
      <w:sz w:val="16"/>
      <w:szCs w:val="16"/>
      <w:lang w:eastAsia="ja-JP"/>
    </w:rPr>
  </w:style>
  <w:style w:type="character" w:styleId="af0">
    <w:name w:val="annotation reference"/>
    <w:rsid w:val="003567EE"/>
    <w:rPr>
      <w:sz w:val="16"/>
      <w:szCs w:val="16"/>
    </w:rPr>
  </w:style>
  <w:style w:type="paragraph" w:styleId="af1">
    <w:name w:val="annotation text"/>
    <w:basedOn w:val="a"/>
    <w:link w:val="af2"/>
    <w:rsid w:val="003567EE"/>
    <w:pPr>
      <w:widowControl/>
      <w:autoSpaceDE/>
      <w:autoSpaceDN/>
      <w:adjustRightInd/>
      <w:spacing w:before="0" w:line="240" w:lineRule="auto"/>
      <w:ind w:firstLine="0"/>
      <w:jc w:val="left"/>
      <w:textAlignment w:val="auto"/>
    </w:pPr>
    <w:rPr>
      <w:rFonts w:ascii="Times New Roman" w:eastAsia="Times New Roman" w:hAnsi="Times New Roman" w:cs="Times New Roman"/>
      <w:color w:val="auto"/>
      <w:spacing w:val="0"/>
      <w:sz w:val="20"/>
      <w:szCs w:val="20"/>
      <w:lang w:eastAsia="he-IL"/>
    </w:rPr>
  </w:style>
  <w:style w:type="character" w:customStyle="1" w:styleId="af2">
    <w:name w:val="טקסט הערה תו"/>
    <w:basedOn w:val="a0"/>
    <w:link w:val="af1"/>
    <w:rsid w:val="003567EE"/>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F448AC-6BFF-4045-B832-299F6549AB43}"/>
</file>

<file path=customXml/itemProps2.xml><?xml version="1.0" encoding="utf-8"?>
<ds:datastoreItem xmlns:ds="http://schemas.openxmlformats.org/officeDocument/2006/customXml" ds:itemID="{AFDD2FA1-7F49-4BC1-9593-B25237690512}"/>
</file>

<file path=customXml/itemProps3.xml><?xml version="1.0" encoding="utf-8"?>
<ds:datastoreItem xmlns:ds="http://schemas.openxmlformats.org/officeDocument/2006/customXml" ds:itemID="{D5F22800-33E9-4FD3-A350-A03C629AD2A8}"/>
</file>

<file path=docProps/app.xml><?xml version="1.0" encoding="utf-8"?>
<Properties xmlns="http://schemas.openxmlformats.org/officeDocument/2006/extended-properties" xmlns:vt="http://schemas.openxmlformats.org/officeDocument/2006/docPropsVTypes">
  <Template>Normal</Template>
  <TotalTime>1</TotalTime>
  <Pages>12</Pages>
  <Words>3105</Words>
  <Characters>15530</Characters>
  <Application>Microsoft Office Word</Application>
  <DocSecurity>0</DocSecurity>
  <Lines>129</Lines>
  <Paragraphs>37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מירב ישראלי</dc:creator>
  <cp:keywords/>
  <dc:description/>
  <cp:lastModifiedBy>רבקה וידר</cp:lastModifiedBy>
  <cp:revision>2</cp:revision>
  <dcterms:created xsi:type="dcterms:W3CDTF">2017-07-25T06:55:00Z</dcterms:created>
  <dcterms:modified xsi:type="dcterms:W3CDTF">2017-07-25T06:55:00Z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91</vt:r8>
  </property>
  <property fmtid="{D5CDD505-2E9C-101B-9397-08002B2CF9AE}" pid="4" name="SanhedrinItemID">
    <vt:r8>2020584</vt:r8>
  </property>
</Properties>
</file>