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1BF52" w14:textId="77777777" w:rsidR="009A583C" w:rsidRDefault="009A583C" w:rsidP="009A583C">
      <w:pPr>
        <w:jc w:val="center"/>
        <w:rPr>
          <w:rFonts w:cs="David"/>
          <w:rtl/>
        </w:rPr>
      </w:pPr>
      <w:r>
        <w:rPr>
          <w:rFonts w:cs="David" w:hint="cs"/>
          <w:noProof/>
        </w:rPr>
        <w:drawing>
          <wp:inline distT="0" distB="0" distL="0" distR="0" wp14:anchorId="7281BF78" wp14:editId="44C7B9C1">
            <wp:extent cx="571500" cy="695739"/>
            <wp:effectExtent l="0" t="0" r="0" b="9525"/>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34" cy="700407"/>
                    </a:xfrm>
                    <a:prstGeom prst="rect">
                      <a:avLst/>
                    </a:prstGeom>
                    <a:noFill/>
                    <a:ln>
                      <a:noFill/>
                    </a:ln>
                  </pic:spPr>
                </pic:pic>
              </a:graphicData>
            </a:graphic>
          </wp:inline>
        </w:drawing>
      </w:r>
    </w:p>
    <w:p w14:paraId="7281BF53"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7281BF55" w14:textId="77777777" w:rsidR="009A583C" w:rsidRPr="00252C08" w:rsidRDefault="009A583C" w:rsidP="009A583C">
      <w:pPr>
        <w:jc w:val="center"/>
        <w:rPr>
          <w:rFonts w:cs="Guttman Hatzvi"/>
          <w:b/>
          <w:bCs/>
          <w:sz w:val="74"/>
          <w:szCs w:val="74"/>
          <w:rtl/>
        </w:rPr>
      </w:pPr>
      <w:r w:rsidRPr="00252C08">
        <w:rPr>
          <w:rFonts w:cs="Guttman Hatzvi" w:hint="cs"/>
          <w:b/>
          <w:bCs/>
          <w:sz w:val="74"/>
          <w:szCs w:val="74"/>
          <w:rtl/>
        </w:rPr>
        <w:t xml:space="preserve">מסקנות </w:t>
      </w:r>
    </w:p>
    <w:p w14:paraId="7281BF56" w14:textId="77777777" w:rsidR="009A583C" w:rsidRDefault="009A583C" w:rsidP="009A583C">
      <w:pPr>
        <w:jc w:val="center"/>
        <w:rPr>
          <w:rFonts w:cs="Guttman Hatzvi"/>
          <w:sz w:val="44"/>
          <w:szCs w:val="44"/>
          <w:rtl/>
        </w:rPr>
      </w:pPr>
      <w:r w:rsidRPr="00585426">
        <w:rPr>
          <w:rFonts w:cs="Guttman Hatzvi" w:hint="cs"/>
          <w:sz w:val="44"/>
          <w:szCs w:val="44"/>
          <w:rtl/>
        </w:rPr>
        <w:t xml:space="preserve">הוועדה המיוחדת </w:t>
      </w:r>
      <w:r>
        <w:rPr>
          <w:rFonts w:cs="Guttman Hatzvi" w:hint="cs"/>
          <w:sz w:val="44"/>
          <w:szCs w:val="44"/>
          <w:rtl/>
        </w:rPr>
        <w:t>ליישום</w:t>
      </w:r>
      <w:r w:rsidRPr="00585426">
        <w:rPr>
          <w:rFonts w:cs="Guttman Hatzvi" w:hint="cs"/>
          <w:sz w:val="44"/>
          <w:szCs w:val="44"/>
          <w:rtl/>
        </w:rPr>
        <w:t xml:space="preserve"> </w:t>
      </w:r>
      <w:r>
        <w:rPr>
          <w:rFonts w:cs="Guttman Hatzvi" w:hint="cs"/>
          <w:sz w:val="44"/>
          <w:szCs w:val="44"/>
          <w:rtl/>
        </w:rPr>
        <w:t>הנגשת</w:t>
      </w:r>
      <w:r w:rsidRPr="00585426">
        <w:rPr>
          <w:rFonts w:cs="Guttman Hatzvi" w:hint="cs"/>
          <w:sz w:val="44"/>
          <w:szCs w:val="44"/>
          <w:rtl/>
        </w:rPr>
        <w:t xml:space="preserve"> </w:t>
      </w:r>
      <w:r>
        <w:rPr>
          <w:rFonts w:cs="Guttman Hatzvi" w:hint="cs"/>
          <w:sz w:val="44"/>
          <w:szCs w:val="44"/>
          <w:rtl/>
        </w:rPr>
        <w:t>המידע</w:t>
      </w:r>
    </w:p>
    <w:p w14:paraId="7281BF57" w14:textId="77777777" w:rsidR="009A583C" w:rsidRPr="00585426" w:rsidRDefault="009A583C" w:rsidP="009A583C">
      <w:pPr>
        <w:jc w:val="center"/>
        <w:rPr>
          <w:rFonts w:cs="Guttman Hatzvi"/>
          <w:sz w:val="44"/>
          <w:szCs w:val="44"/>
          <w:rtl/>
        </w:rPr>
      </w:pPr>
      <w:r>
        <w:rPr>
          <w:rFonts w:cs="Guttman Hatzvi" w:hint="cs"/>
          <w:sz w:val="44"/>
          <w:szCs w:val="44"/>
          <w:rtl/>
        </w:rPr>
        <w:t>הממשלתי ועקרונות שקיפותו לציבור</w:t>
      </w:r>
    </w:p>
    <w:p w14:paraId="7281BF58" w14:textId="77777777" w:rsidR="009A583C" w:rsidRPr="00EE7EB1" w:rsidRDefault="009A583C" w:rsidP="009A583C">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7281BF5B" w14:textId="0175A1AA" w:rsidR="009A583C" w:rsidRPr="00350538" w:rsidRDefault="009A583C" w:rsidP="00FA6C1F">
      <w:pPr>
        <w:jc w:val="both"/>
        <w:rPr>
          <w:rFonts w:cs="David"/>
          <w:b/>
          <w:bCs/>
          <w:rtl/>
        </w:rPr>
      </w:pPr>
      <w:r>
        <w:rPr>
          <w:rFonts w:cs="David" w:hint="cs"/>
          <w:b/>
          <w:bCs/>
          <w:rtl/>
        </w:rPr>
        <w:t>הכנסת 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Pr>
          <w:rFonts w:cs="David" w:hint="cs"/>
          <w:b/>
          <w:bCs/>
          <w:rtl/>
        </w:rPr>
        <w:t xml:space="preserve">        </w:t>
      </w:r>
      <w:r w:rsidR="00227B79">
        <w:rPr>
          <w:rFonts w:cs="David" w:hint="cs"/>
          <w:b/>
          <w:bCs/>
          <w:rtl/>
        </w:rPr>
        <w:t xml:space="preserve">    </w:t>
      </w:r>
      <w:r>
        <w:rPr>
          <w:rFonts w:cs="David" w:hint="cs"/>
          <w:b/>
          <w:bCs/>
          <w:rtl/>
        </w:rPr>
        <w:t xml:space="preserve">  </w:t>
      </w:r>
      <w:r w:rsidR="00114722">
        <w:rPr>
          <w:rFonts w:cs="David" w:hint="eastAsia"/>
          <w:b/>
          <w:bCs/>
          <w:rtl/>
        </w:rPr>
        <w:t>‏</w:t>
      </w:r>
      <w:r w:rsidR="00FA6C1F">
        <w:rPr>
          <w:rFonts w:cs="David" w:hint="cs"/>
          <w:b/>
          <w:bCs/>
          <w:rtl/>
        </w:rPr>
        <w:t>כ"ז</w:t>
      </w:r>
      <w:r w:rsidR="00114722">
        <w:rPr>
          <w:rFonts w:cs="David"/>
          <w:b/>
          <w:bCs/>
          <w:rtl/>
        </w:rPr>
        <w:t xml:space="preserve"> </w:t>
      </w:r>
      <w:r w:rsidR="00114722">
        <w:rPr>
          <w:rFonts w:cs="David" w:hint="cs"/>
          <w:b/>
          <w:bCs/>
          <w:rtl/>
        </w:rPr>
        <w:t>ב</w:t>
      </w:r>
      <w:r w:rsidR="00114722">
        <w:rPr>
          <w:rFonts w:cs="David"/>
          <w:b/>
          <w:bCs/>
          <w:rtl/>
        </w:rPr>
        <w:t xml:space="preserve">שבט </w:t>
      </w:r>
      <w:proofErr w:type="spellStart"/>
      <w:r w:rsidR="00114722">
        <w:rPr>
          <w:rFonts w:cs="David" w:hint="cs"/>
          <w:b/>
          <w:bCs/>
          <w:rtl/>
        </w:rPr>
        <w:t>ה</w:t>
      </w:r>
      <w:r w:rsidR="00114722">
        <w:rPr>
          <w:rFonts w:cs="David"/>
          <w:b/>
          <w:bCs/>
          <w:rtl/>
        </w:rPr>
        <w:t>תשע"ח</w:t>
      </w:r>
      <w:proofErr w:type="spellEnd"/>
    </w:p>
    <w:p w14:paraId="7281BF5C" w14:textId="41447286" w:rsidR="009A583C" w:rsidRPr="00114722" w:rsidRDefault="009A583C" w:rsidP="00FA6C1F">
      <w:pPr>
        <w:jc w:val="both"/>
        <w:rPr>
          <w:rFonts w:cs="David"/>
          <w:b/>
          <w:bCs/>
          <w:rtl/>
        </w:rPr>
      </w:pPr>
      <w:r w:rsidRPr="00350538">
        <w:rPr>
          <w:rFonts w:cs="David" w:hint="cs"/>
          <w:b/>
          <w:bCs/>
          <w:rtl/>
        </w:rPr>
        <w:t>מושב</w:t>
      </w:r>
      <w:r w:rsidR="00114722">
        <w:rPr>
          <w:rFonts w:cs="David" w:hint="cs"/>
          <w:b/>
          <w:bCs/>
          <w:rtl/>
        </w:rPr>
        <w:t xml:space="preserve"> רביעי</w:t>
      </w:r>
      <w:r w:rsidRPr="00350538">
        <w:rPr>
          <w:rFonts w:cs="David" w:hint="cs"/>
          <w:b/>
          <w:bCs/>
          <w:rtl/>
        </w:rPr>
        <w:t xml:space="preserve"> </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00227B79">
        <w:rPr>
          <w:rFonts w:cs="David" w:hint="cs"/>
          <w:b/>
          <w:bCs/>
          <w:rtl/>
        </w:rPr>
        <w:tab/>
      </w:r>
      <w:r>
        <w:rPr>
          <w:rFonts w:cs="David" w:hint="cs"/>
          <w:b/>
          <w:bCs/>
          <w:rtl/>
        </w:rPr>
        <w:t xml:space="preserve"> </w:t>
      </w:r>
      <w:r w:rsidR="00FA6C1F">
        <w:rPr>
          <w:rFonts w:cs="David" w:hint="cs"/>
          <w:b/>
          <w:bCs/>
          <w:rtl/>
        </w:rPr>
        <w:t>12</w:t>
      </w:r>
      <w:r w:rsidR="00114722" w:rsidRPr="00114722">
        <w:rPr>
          <w:rFonts w:cs="David" w:hint="cs"/>
          <w:b/>
          <w:bCs/>
          <w:rtl/>
        </w:rPr>
        <w:t xml:space="preserve"> </w:t>
      </w:r>
      <w:r w:rsidR="00FA6C1F">
        <w:rPr>
          <w:rFonts w:cs="David" w:hint="cs"/>
          <w:b/>
          <w:bCs/>
          <w:rtl/>
        </w:rPr>
        <w:t>בפברואר</w:t>
      </w:r>
      <w:bookmarkStart w:id="0" w:name="_GoBack"/>
      <w:bookmarkEnd w:id="0"/>
      <w:r w:rsidR="00114722" w:rsidRPr="00114722">
        <w:rPr>
          <w:rFonts w:cs="David" w:hint="cs"/>
          <w:b/>
          <w:bCs/>
          <w:rtl/>
        </w:rPr>
        <w:t xml:space="preserve"> 2018</w:t>
      </w:r>
    </w:p>
    <w:p w14:paraId="7281BF5D" w14:textId="77777777" w:rsidR="009A583C" w:rsidRPr="00252C08" w:rsidRDefault="009A583C" w:rsidP="009A583C">
      <w:pPr>
        <w:rPr>
          <w:rFonts w:cs="David"/>
          <w:sz w:val="6"/>
          <w:szCs w:val="6"/>
          <w:rtl/>
        </w:rPr>
      </w:pPr>
    </w:p>
    <w:p w14:paraId="7281BF5E" w14:textId="6025E4FF" w:rsidR="009A583C" w:rsidRPr="004C5EA7" w:rsidRDefault="009A583C" w:rsidP="00114722">
      <w:pPr>
        <w:jc w:val="center"/>
        <w:rPr>
          <w:rFonts w:cs="David"/>
          <w:b/>
          <w:bCs/>
          <w:rtl/>
        </w:rPr>
      </w:pPr>
      <w:r w:rsidRPr="00350538">
        <w:rPr>
          <w:rFonts w:cs="David" w:hint="cs"/>
          <w:b/>
          <w:bCs/>
          <w:rtl/>
        </w:rPr>
        <w:t>בנושא:</w:t>
      </w:r>
      <w:r>
        <w:rPr>
          <w:rFonts w:cs="David" w:hint="cs"/>
          <w:b/>
          <w:bCs/>
          <w:rtl/>
        </w:rPr>
        <w:t xml:space="preserve"> </w:t>
      </w:r>
      <w:r w:rsidR="00114722" w:rsidRPr="00114722">
        <w:rPr>
          <w:rFonts w:cs="David"/>
          <w:b/>
          <w:bCs/>
          <w:u w:val="single"/>
          <w:rtl/>
        </w:rPr>
        <w:t>ישראל מסתירה מידע ארכיוני באופן שאינו הולם מדינה דמוקרטית</w:t>
      </w:r>
    </w:p>
    <w:p w14:paraId="7281BF60" w14:textId="0907A338" w:rsidR="009A583C" w:rsidRDefault="008A70E5" w:rsidP="00114722">
      <w:pPr>
        <w:jc w:val="center"/>
        <w:rPr>
          <w:rFonts w:cs="David"/>
          <w:b/>
          <w:bCs/>
          <w:rtl/>
        </w:rPr>
      </w:pPr>
      <w:r>
        <w:rPr>
          <w:rFonts w:cs="David" w:hint="cs"/>
          <w:b/>
          <w:bCs/>
          <w:rtl/>
        </w:rPr>
        <w:t>של חבר הכנסת</w:t>
      </w:r>
      <w:r w:rsidR="009A583C">
        <w:rPr>
          <w:rFonts w:cs="David" w:hint="cs"/>
          <w:b/>
          <w:bCs/>
          <w:rtl/>
        </w:rPr>
        <w:t xml:space="preserve"> </w:t>
      </w:r>
      <w:r w:rsidR="00114722">
        <w:rPr>
          <w:rFonts w:cs="David" w:hint="cs"/>
          <w:b/>
          <w:bCs/>
          <w:rtl/>
        </w:rPr>
        <w:t>נחמן שי</w:t>
      </w:r>
    </w:p>
    <w:p w14:paraId="7281BF61" w14:textId="77777777" w:rsidR="009A583C" w:rsidRPr="00707CD9" w:rsidRDefault="009A583C" w:rsidP="009A583C">
      <w:pPr>
        <w:jc w:val="center"/>
        <w:rPr>
          <w:rFonts w:cs="David"/>
          <w:b/>
          <w:bCs/>
          <w:sz w:val="10"/>
          <w:szCs w:val="10"/>
          <w:rtl/>
        </w:rPr>
      </w:pPr>
    </w:p>
    <w:p w14:paraId="39C94AA2" w14:textId="77777777" w:rsidR="00996CE9" w:rsidRDefault="00996CE9" w:rsidP="00996CE9">
      <w:pPr>
        <w:pStyle w:val="a9"/>
        <w:ind w:left="0" w:right="0" w:firstLine="0"/>
        <w:jc w:val="both"/>
      </w:pPr>
      <w:r>
        <w:rPr>
          <w:rFonts w:hint="cs"/>
          <w:rtl/>
        </w:rPr>
        <w:t>יו"ר הכנסת וסגניו החליטו בישיבתם מיום 22.1.2018 (ו' בשבט התשע"ח) להעביר לדיון מהיר בוועדה המיוחדת ליישום הנגשת המידע הממשלתי ועקרונות שקיפותו לציבור את הצעתו של חבר הכנסת נחמן שי, בנושא שבנדון.</w:t>
      </w:r>
    </w:p>
    <w:p w14:paraId="7A40FFD7" w14:textId="77777777" w:rsidR="00996CE9" w:rsidRPr="00114722" w:rsidRDefault="00996CE9" w:rsidP="00996CE9">
      <w:pPr>
        <w:jc w:val="both"/>
        <w:rPr>
          <w:rFonts w:cs="David"/>
          <w:rtl/>
        </w:rPr>
      </w:pPr>
    </w:p>
    <w:p w14:paraId="2AA3D6E3" w14:textId="77777777" w:rsidR="00996CE9" w:rsidRDefault="00996CE9" w:rsidP="00996CE9">
      <w:pPr>
        <w:jc w:val="both"/>
        <w:rPr>
          <w:rFonts w:cs="David"/>
          <w:rtl/>
        </w:rPr>
      </w:pPr>
      <w:r>
        <w:rPr>
          <w:rFonts w:cs="David" w:hint="cs"/>
          <w:rtl/>
        </w:rPr>
        <w:t xml:space="preserve">ביום 31.1.2018 (ט"ו בשבט </w:t>
      </w:r>
      <w:proofErr w:type="spellStart"/>
      <w:r>
        <w:rPr>
          <w:rFonts w:cs="David" w:hint="cs"/>
          <w:rtl/>
        </w:rPr>
        <w:t>התשע"ח</w:t>
      </w:r>
      <w:proofErr w:type="spellEnd"/>
      <w:r>
        <w:rPr>
          <w:rFonts w:cs="David" w:hint="cs"/>
          <w:rtl/>
        </w:rPr>
        <w:t>) קיימה הוועדה דיון כאמור, בראשות ח"כ סתיו שפיר, יו"ר הוועדה.</w:t>
      </w:r>
    </w:p>
    <w:p w14:paraId="6A779F00" w14:textId="77777777" w:rsidR="00996CE9" w:rsidRDefault="00996CE9" w:rsidP="00996CE9">
      <w:pPr>
        <w:jc w:val="both"/>
        <w:rPr>
          <w:rFonts w:cs="David"/>
          <w:rtl/>
        </w:rPr>
      </w:pPr>
    </w:p>
    <w:p w14:paraId="0A1BA95B" w14:textId="77777777" w:rsidR="00996CE9" w:rsidRDefault="00996CE9" w:rsidP="00996CE9">
      <w:pPr>
        <w:jc w:val="both"/>
        <w:rPr>
          <w:rFonts w:cs="David"/>
          <w:rtl/>
        </w:rPr>
      </w:pPr>
      <w:r>
        <w:rPr>
          <w:rFonts w:cs="David" w:hint="cs"/>
          <w:rtl/>
        </w:rPr>
        <w:t xml:space="preserve">לאחר שיוזם הדיון, ח"כ נחמן שי, הציג את הנושא, הוועדה שמעה מד"ר יעקב </w:t>
      </w:r>
      <w:proofErr w:type="spellStart"/>
      <w:r>
        <w:rPr>
          <w:rFonts w:cs="David" w:hint="cs"/>
          <w:rtl/>
        </w:rPr>
        <w:t>לזוביק</w:t>
      </w:r>
      <w:proofErr w:type="spellEnd"/>
      <w:r>
        <w:rPr>
          <w:rFonts w:cs="David" w:hint="cs"/>
          <w:rtl/>
        </w:rPr>
        <w:t>, גנז המדינה, כי רוב החומר הארכיוני השמור בארכיון המדינה אינו פתוח לעיון הציבור, ובשל הוראות הדין, הקובעות כי הגורם שהפקיד את החומר הוא הגורם שיחליט על חשיפתו, ומחייבות בדיקה של כל חומר שהפקידו בארכיון המדינה משרד ממשלתי או רשות מקומית, בטרם חשיפתו לציבור</w:t>
      </w:r>
      <w:r>
        <w:rPr>
          <w:rFonts w:cs="David"/>
          <w:rtl/>
        </w:rPr>
        <w:t>–</w:t>
      </w:r>
      <w:r>
        <w:rPr>
          <w:rFonts w:cs="David" w:hint="cs"/>
          <w:rtl/>
        </w:rPr>
        <w:t xml:space="preserve"> גם לא ייפתח לעולם.  לדבריו, חלק מהחומר שכן ייחשף לציבור, יהיה נתון להגבלות לא סבירות. עוד מסר כי מתוך 3 מיליוני תיקים השמורים בארכיון המדינה, רק כ- 550,000 פתוחים לציבור. לטענתו, המדינה אינה מטפלת בחומר הארכיוני שלה כמצופה ממדינה דמוקרטית, וכל הצעותיו לשינוי הוראות הדין במטרה להבטיח נגישות רבה יותר של הציבור לחומר הארכיוני </w:t>
      </w:r>
      <w:r>
        <w:rPr>
          <w:rFonts w:cs="David"/>
          <w:rtl/>
        </w:rPr>
        <w:t>–</w:t>
      </w:r>
      <w:r>
        <w:rPr>
          <w:rFonts w:cs="David" w:hint="cs"/>
          <w:rtl/>
        </w:rPr>
        <w:t xml:space="preserve"> לא קודמו.</w:t>
      </w:r>
    </w:p>
    <w:p w14:paraId="623CC02E" w14:textId="77777777" w:rsidR="00996CE9" w:rsidRDefault="00996CE9" w:rsidP="00996CE9">
      <w:pPr>
        <w:jc w:val="both"/>
        <w:rPr>
          <w:rFonts w:cs="David"/>
          <w:rtl/>
        </w:rPr>
      </w:pPr>
    </w:p>
    <w:p w14:paraId="4FA5806C" w14:textId="77777777" w:rsidR="00996CE9" w:rsidRDefault="00996CE9" w:rsidP="00996CE9">
      <w:pPr>
        <w:jc w:val="both"/>
        <w:rPr>
          <w:rFonts w:cs="David"/>
          <w:rtl/>
        </w:rPr>
      </w:pPr>
      <w:r>
        <w:rPr>
          <w:rFonts w:cs="David" w:hint="cs"/>
          <w:rtl/>
        </w:rPr>
        <w:t xml:space="preserve">הוועדה שמעה את תגובתו של המשנה ליועץ המשפטי לממשלה, עו"ד רז נזרי, לדברי גנז המדינה. עו"ד נזרי טען כי משרד המשפטים לא קיבל הצעות לתיקון חוק הארכיונים או לתקנות שהותקנו מכוחו, וכי המשרד אינו הגורם שאמור ליזום תיקונים אלה, אלא המשרד המופקד על יישום חוק הארכיונים </w:t>
      </w:r>
      <w:r>
        <w:rPr>
          <w:rFonts w:cs="David"/>
          <w:rtl/>
        </w:rPr>
        <w:t>–</w:t>
      </w:r>
      <w:r>
        <w:rPr>
          <w:rFonts w:cs="David" w:hint="cs"/>
          <w:rtl/>
        </w:rPr>
        <w:t xml:space="preserve"> משרד ראש הממשלה. עוד אמר כי משרד המשפטים אמון על יישום הדין הקיים, וכי לצערו גנז המדינה פעל בשנים האחרונות מספר פעמים שלא בהתאם להוראות הדין. עם זאת, לשאלת יו"ר הוועדה, ציין עו"ד נזרי כי המצב הקיים, שבו כל כך מעט תיקים בארכיון פתוחים לעיון הציבור </w:t>
      </w:r>
      <w:r>
        <w:rPr>
          <w:rFonts w:cs="David"/>
          <w:rtl/>
        </w:rPr>
        <w:t>–</w:t>
      </w:r>
      <w:r>
        <w:rPr>
          <w:rFonts w:cs="David" w:hint="cs"/>
          <w:rtl/>
        </w:rPr>
        <w:t xml:space="preserve"> היא תוצאה לא סבירה. היועצת המשפטית של ארכיון המדינה, עו"ד נעמי </w:t>
      </w:r>
      <w:proofErr w:type="spellStart"/>
      <w:r>
        <w:rPr>
          <w:rFonts w:cs="David" w:hint="cs"/>
          <w:rtl/>
        </w:rPr>
        <w:t>אלדובי</w:t>
      </w:r>
      <w:proofErr w:type="spellEnd"/>
      <w:r>
        <w:rPr>
          <w:rFonts w:cs="David" w:hint="cs"/>
          <w:rtl/>
        </w:rPr>
        <w:t xml:space="preserve">, אמרה בדיון כי העבודה הפנים-ממשלתית לגבי תיקוני החקיקה טרם הושלמה, בשל מורכבות הנושא וריבוי הגורמים המעורבים בהסדרת התחום. </w:t>
      </w:r>
    </w:p>
    <w:p w14:paraId="1B3C95AA" w14:textId="77777777" w:rsidR="00996CE9" w:rsidRDefault="00996CE9" w:rsidP="00996CE9">
      <w:pPr>
        <w:jc w:val="both"/>
        <w:rPr>
          <w:rFonts w:cs="David"/>
          <w:rtl/>
        </w:rPr>
      </w:pPr>
    </w:p>
    <w:p w14:paraId="7E4659D8" w14:textId="77777777" w:rsidR="00996CE9" w:rsidRDefault="00996CE9" w:rsidP="00996CE9">
      <w:pPr>
        <w:jc w:val="both"/>
        <w:rPr>
          <w:rFonts w:cs="David"/>
          <w:rtl/>
        </w:rPr>
      </w:pPr>
      <w:r>
        <w:rPr>
          <w:rFonts w:cs="David" w:hint="cs"/>
          <w:rtl/>
        </w:rPr>
        <w:t xml:space="preserve">בהמשך לדברים אלה, נמסר לוועדה שבחודש יוני 2017 נתן המשנה ליועץ המשפטי לממשלה, עו"ד נזרי, הנחייה המבוססת על הוראות תקנות הארכיונים,  ולפיה הגורם המוסמך להחליט על חשיפה של חומר ארכיוני הוא הגורם שהפקיד חומר זה, ולא גנז המדינה.  </w:t>
      </w:r>
    </w:p>
    <w:p w14:paraId="6BF1B16C" w14:textId="77777777" w:rsidR="00996CE9" w:rsidRDefault="00996CE9" w:rsidP="00996CE9">
      <w:pPr>
        <w:jc w:val="both"/>
        <w:rPr>
          <w:rFonts w:cs="David"/>
          <w:rtl/>
        </w:rPr>
      </w:pPr>
    </w:p>
    <w:p w14:paraId="3230631D" w14:textId="77777777" w:rsidR="00996CE9" w:rsidRDefault="00996CE9" w:rsidP="00996CE9">
      <w:pPr>
        <w:tabs>
          <w:tab w:val="left" w:pos="4892"/>
        </w:tabs>
        <w:jc w:val="both"/>
        <w:rPr>
          <w:rFonts w:cs="David"/>
        </w:rPr>
      </w:pPr>
      <w:r>
        <w:rPr>
          <w:rFonts w:cs="David" w:hint="cs"/>
          <w:rtl/>
        </w:rPr>
        <w:t>בתום הישיבה, הגיעה הוועדה למסקנות הבאות:</w:t>
      </w:r>
    </w:p>
    <w:p w14:paraId="05571226" w14:textId="77777777" w:rsidR="00996CE9" w:rsidRPr="007D4731" w:rsidRDefault="00996CE9" w:rsidP="00996CE9">
      <w:pPr>
        <w:pStyle w:val="aa"/>
        <w:numPr>
          <w:ilvl w:val="0"/>
          <w:numId w:val="1"/>
        </w:numPr>
        <w:rPr>
          <w:rFonts w:cs="David"/>
        </w:rPr>
      </w:pPr>
      <w:r w:rsidRPr="007D4731">
        <w:rPr>
          <w:rFonts w:cs="David" w:hint="eastAsia"/>
          <w:rtl/>
        </w:rPr>
        <w:t>הוועדה</w:t>
      </w:r>
      <w:r w:rsidRPr="007D4731">
        <w:rPr>
          <w:rFonts w:cs="David"/>
          <w:rtl/>
        </w:rPr>
        <w:t xml:space="preserve"> </w:t>
      </w:r>
      <w:r w:rsidRPr="007D4731">
        <w:rPr>
          <w:rFonts w:cs="David" w:hint="eastAsia"/>
          <w:rtl/>
        </w:rPr>
        <w:t>מודה</w:t>
      </w:r>
      <w:r w:rsidRPr="007D4731">
        <w:rPr>
          <w:rFonts w:cs="David"/>
          <w:rtl/>
        </w:rPr>
        <w:t xml:space="preserve"> </w:t>
      </w:r>
      <w:r w:rsidRPr="007D4731">
        <w:rPr>
          <w:rFonts w:cs="David" w:hint="eastAsia"/>
          <w:rtl/>
        </w:rPr>
        <w:t>לח</w:t>
      </w:r>
      <w:r w:rsidRPr="007D4731">
        <w:rPr>
          <w:rFonts w:cs="David"/>
          <w:rtl/>
        </w:rPr>
        <w:t xml:space="preserve">"כ </w:t>
      </w:r>
      <w:r w:rsidRPr="007D4731">
        <w:rPr>
          <w:rFonts w:cs="David" w:hint="eastAsia"/>
          <w:rtl/>
        </w:rPr>
        <w:t>נחמן</w:t>
      </w:r>
      <w:r w:rsidRPr="007D4731">
        <w:rPr>
          <w:rFonts w:cs="David"/>
          <w:rtl/>
        </w:rPr>
        <w:t xml:space="preserve"> </w:t>
      </w:r>
      <w:r w:rsidRPr="007D4731">
        <w:rPr>
          <w:rFonts w:cs="David" w:hint="eastAsia"/>
          <w:rtl/>
        </w:rPr>
        <w:t>שי</w:t>
      </w:r>
      <w:r w:rsidRPr="007D4731">
        <w:rPr>
          <w:rFonts w:cs="David"/>
          <w:rtl/>
        </w:rPr>
        <w:t xml:space="preserve"> </w:t>
      </w:r>
      <w:r w:rsidRPr="007D4731">
        <w:rPr>
          <w:rFonts w:cs="David" w:hint="eastAsia"/>
          <w:rtl/>
        </w:rPr>
        <w:t>על</w:t>
      </w:r>
      <w:r w:rsidRPr="007D4731">
        <w:rPr>
          <w:rFonts w:cs="David"/>
          <w:rtl/>
        </w:rPr>
        <w:t xml:space="preserve"> </w:t>
      </w:r>
      <w:r w:rsidRPr="007D4731">
        <w:rPr>
          <w:rFonts w:cs="David" w:hint="eastAsia"/>
          <w:rtl/>
        </w:rPr>
        <w:t>העלאת</w:t>
      </w:r>
      <w:r w:rsidRPr="007D4731">
        <w:rPr>
          <w:rFonts w:cs="David"/>
          <w:rtl/>
        </w:rPr>
        <w:t xml:space="preserve"> </w:t>
      </w:r>
      <w:r w:rsidRPr="007D4731">
        <w:rPr>
          <w:rFonts w:cs="David" w:hint="eastAsia"/>
          <w:rtl/>
        </w:rPr>
        <w:t>נושא</w:t>
      </w:r>
      <w:r w:rsidRPr="007D4731">
        <w:rPr>
          <w:rFonts w:cs="David"/>
          <w:rtl/>
        </w:rPr>
        <w:t xml:space="preserve"> </w:t>
      </w:r>
      <w:r w:rsidRPr="007D4731">
        <w:rPr>
          <w:rFonts w:cs="David" w:hint="eastAsia"/>
          <w:rtl/>
        </w:rPr>
        <w:t>חשוב</w:t>
      </w:r>
      <w:r w:rsidRPr="007D4731">
        <w:rPr>
          <w:rFonts w:cs="David"/>
          <w:rtl/>
        </w:rPr>
        <w:t xml:space="preserve"> </w:t>
      </w:r>
      <w:r w:rsidRPr="007D4731">
        <w:rPr>
          <w:rFonts w:cs="David" w:hint="eastAsia"/>
          <w:rtl/>
        </w:rPr>
        <w:t>זה</w:t>
      </w:r>
      <w:r w:rsidRPr="007D4731">
        <w:rPr>
          <w:rFonts w:cs="David"/>
          <w:rtl/>
        </w:rPr>
        <w:t xml:space="preserve"> </w:t>
      </w:r>
      <w:r w:rsidRPr="007D4731">
        <w:rPr>
          <w:rFonts w:cs="David" w:hint="eastAsia"/>
          <w:rtl/>
        </w:rPr>
        <w:t>לסדר</w:t>
      </w:r>
      <w:r w:rsidRPr="007D4731">
        <w:rPr>
          <w:rFonts w:cs="David"/>
          <w:rtl/>
        </w:rPr>
        <w:t xml:space="preserve"> </w:t>
      </w:r>
      <w:r w:rsidRPr="007D4731">
        <w:rPr>
          <w:rFonts w:cs="David" w:hint="eastAsia"/>
          <w:rtl/>
        </w:rPr>
        <w:t>היום</w:t>
      </w:r>
      <w:r w:rsidRPr="007D4731">
        <w:rPr>
          <w:rFonts w:cs="David"/>
          <w:rtl/>
        </w:rPr>
        <w:t xml:space="preserve">, וכן </w:t>
      </w:r>
      <w:r w:rsidRPr="007D4731">
        <w:rPr>
          <w:rFonts w:cs="David" w:hint="eastAsia"/>
          <w:rtl/>
        </w:rPr>
        <w:t>למוזמנים</w:t>
      </w:r>
      <w:r w:rsidRPr="007D4731">
        <w:rPr>
          <w:rFonts w:cs="David"/>
          <w:rtl/>
        </w:rPr>
        <w:t xml:space="preserve"> </w:t>
      </w:r>
      <w:r w:rsidRPr="007D4731">
        <w:rPr>
          <w:rFonts w:cs="David" w:hint="eastAsia"/>
          <w:rtl/>
        </w:rPr>
        <w:t>שהגיעו</w:t>
      </w:r>
      <w:r w:rsidRPr="007D4731">
        <w:rPr>
          <w:rFonts w:cs="David"/>
          <w:rtl/>
        </w:rPr>
        <w:t xml:space="preserve"> </w:t>
      </w:r>
      <w:r w:rsidRPr="007D4731">
        <w:rPr>
          <w:rFonts w:cs="David" w:hint="eastAsia"/>
          <w:rtl/>
        </w:rPr>
        <w:t>לדיון</w:t>
      </w:r>
      <w:r w:rsidRPr="007D4731">
        <w:rPr>
          <w:rFonts w:cs="David"/>
          <w:rtl/>
        </w:rPr>
        <w:t>.</w:t>
      </w:r>
    </w:p>
    <w:p w14:paraId="786001A2" w14:textId="77777777" w:rsidR="00996CE9" w:rsidRDefault="00996CE9" w:rsidP="00996CE9">
      <w:pPr>
        <w:pStyle w:val="aa"/>
        <w:numPr>
          <w:ilvl w:val="0"/>
          <w:numId w:val="1"/>
        </w:numPr>
        <w:jc w:val="both"/>
        <w:rPr>
          <w:rFonts w:cs="David"/>
        </w:rPr>
      </w:pPr>
      <w:r>
        <w:rPr>
          <w:rFonts w:cs="David" w:hint="cs"/>
          <w:rtl/>
        </w:rPr>
        <w:t xml:space="preserve">הוועדה סבורה שהמסגרת המשפטית שמסדירה את תחום הארכיונים, ובפרט את זכות הציבור לעיין במידע המופקד בארכיון המדינה - חוק הארכיונים, התשט"ו-1955, ותקנות הארכיונים (עיון בחומר ארכיוני המופקד בגנזך), התש"ע-2010 </w:t>
      </w:r>
      <w:r>
        <w:rPr>
          <w:rFonts w:cs="David"/>
          <w:rtl/>
        </w:rPr>
        <w:t>–</w:t>
      </w:r>
      <w:r>
        <w:rPr>
          <w:rFonts w:cs="David" w:hint="cs"/>
          <w:rtl/>
        </w:rPr>
        <w:t xml:space="preserve"> נטועה בעבר, ולכן אינה משקפת את עקרונות השקיפות וחופש המידע, הרלבנטיים במיוחד כאשר מדובר במידע השייך לציבור.</w:t>
      </w:r>
    </w:p>
    <w:p w14:paraId="162BAF25" w14:textId="02640314" w:rsidR="00996CE9" w:rsidRDefault="00996CE9" w:rsidP="00EF0388">
      <w:pPr>
        <w:pStyle w:val="aa"/>
        <w:numPr>
          <w:ilvl w:val="0"/>
          <w:numId w:val="1"/>
        </w:numPr>
        <w:jc w:val="both"/>
        <w:rPr>
          <w:rFonts w:cs="David"/>
        </w:rPr>
      </w:pPr>
      <w:r>
        <w:rPr>
          <w:rFonts w:cs="David" w:hint="cs"/>
          <w:rtl/>
        </w:rPr>
        <w:lastRenderedPageBreak/>
        <w:t xml:space="preserve">הוועדה מדגישה כי המצב הנוכחי, שבו רוב מוחלט של החומר הארכיוני כלל אינו נגיש לעיון הציבור </w:t>
      </w:r>
      <w:r>
        <w:rPr>
          <w:rFonts w:cs="David" w:hint="eastAsia"/>
          <w:rtl/>
        </w:rPr>
        <w:t>–</w:t>
      </w:r>
      <w:r w:rsidR="00011DEC">
        <w:rPr>
          <w:rFonts w:cs="David" w:hint="cs"/>
          <w:rtl/>
        </w:rPr>
        <w:t xml:space="preserve"> לוקה בחוסר סבירות משמעותי, הדורש הסברים. חוסר הסבירות מתעצם בהתחשב בכך שהסדרת הנושא היא בתקנות לפי חוק הארכיונים, שאינן טעונות אישור ועדה מוועדות הכנסת, כלומר הממשלה הסדירה את הנושא ללא פיקוח פרלמנטרי וציבורי מצד אחד, ומצד שני </w:t>
      </w:r>
      <w:r w:rsidR="00011DEC">
        <w:rPr>
          <w:rFonts w:cs="David"/>
          <w:rtl/>
        </w:rPr>
        <w:t>–</w:t>
      </w:r>
      <w:r w:rsidR="00011DEC">
        <w:rPr>
          <w:rFonts w:cs="David" w:hint="cs"/>
          <w:rtl/>
        </w:rPr>
        <w:t xml:space="preserve"> אינה מקצה מספיק כוח אדם ליישום אותן תקנות הקובעות כי חשיפת החומר הארכיוני מותנית בבדיקת המשרד הממשלתי שהפקיד את החומר. בכך, הממשלה מונעת בפועל את חשיפתו של חומר זה לציבור, והכל מבלי להציע הצעות קונקרטיות לשינוי המצב, לרבות הצעות לתיקוני חקיקה.</w:t>
      </w:r>
    </w:p>
    <w:p w14:paraId="24EAEBB2" w14:textId="284B7327" w:rsidR="00996CE9" w:rsidRPr="007157E2" w:rsidRDefault="00996CE9" w:rsidP="00011DEC">
      <w:pPr>
        <w:numPr>
          <w:ilvl w:val="0"/>
          <w:numId w:val="1"/>
        </w:numPr>
        <w:spacing w:line="276" w:lineRule="auto"/>
        <w:jc w:val="both"/>
        <w:rPr>
          <w:rFonts w:cs="David"/>
        </w:rPr>
      </w:pPr>
      <w:r w:rsidRPr="00E631A9">
        <w:rPr>
          <w:rFonts w:cs="David"/>
          <w:rtl/>
        </w:rPr>
        <w:t xml:space="preserve">הוועדה </w:t>
      </w:r>
      <w:r w:rsidRPr="00E631A9">
        <w:rPr>
          <w:rFonts w:cs="David" w:hint="cs"/>
          <w:rtl/>
        </w:rPr>
        <w:t>מבקשת</w:t>
      </w:r>
      <w:r w:rsidRPr="00E631A9">
        <w:rPr>
          <w:rFonts w:cs="David"/>
          <w:rtl/>
        </w:rPr>
        <w:t xml:space="preserve"> להבהיר כי </w:t>
      </w:r>
      <w:r>
        <w:rPr>
          <w:rFonts w:cs="David" w:hint="cs"/>
          <w:rtl/>
        </w:rPr>
        <w:t>אין</w:t>
      </w:r>
      <w:r w:rsidRPr="00E631A9">
        <w:rPr>
          <w:rFonts w:cs="David"/>
          <w:rtl/>
        </w:rPr>
        <w:t xml:space="preserve"> ספק </w:t>
      </w:r>
      <w:r>
        <w:rPr>
          <w:rFonts w:cs="David" w:hint="cs"/>
          <w:rtl/>
        </w:rPr>
        <w:t>שיש לאזן את עקרון</w:t>
      </w:r>
      <w:r w:rsidRPr="00E631A9">
        <w:rPr>
          <w:rFonts w:cs="David"/>
          <w:rtl/>
        </w:rPr>
        <w:t xml:space="preserve"> </w:t>
      </w:r>
      <w:r>
        <w:rPr>
          <w:rFonts w:cs="David" w:hint="cs"/>
          <w:rtl/>
        </w:rPr>
        <w:t>ה</w:t>
      </w:r>
      <w:r w:rsidRPr="00E631A9">
        <w:rPr>
          <w:rFonts w:cs="David"/>
          <w:rtl/>
        </w:rPr>
        <w:t>שקיפות עם צ</w:t>
      </w:r>
      <w:r>
        <w:rPr>
          <w:rFonts w:cs="David" w:hint="cs"/>
          <w:rtl/>
        </w:rPr>
        <w:t>ו</w:t>
      </w:r>
      <w:r w:rsidRPr="00E631A9">
        <w:rPr>
          <w:rFonts w:cs="David"/>
          <w:rtl/>
        </w:rPr>
        <w:t>רכי בטחון המדינה</w:t>
      </w:r>
      <w:r>
        <w:rPr>
          <w:rFonts w:cs="David" w:hint="cs"/>
          <w:rtl/>
        </w:rPr>
        <w:t>, יחסי החוץ שלה או כל אינטרס חיוני אחר המצדיק חיסיון, דוגמת הגנה על הפרטיות</w:t>
      </w:r>
      <w:r w:rsidRPr="00E631A9">
        <w:rPr>
          <w:rFonts w:cs="David" w:hint="cs"/>
          <w:rtl/>
        </w:rPr>
        <w:t xml:space="preserve">. </w:t>
      </w:r>
      <w:r>
        <w:rPr>
          <w:rFonts w:cs="David" w:hint="cs"/>
          <w:rtl/>
        </w:rPr>
        <w:t>עם זאת, נוכח היקפי החומר הארכיוני שאינו פתוח לעיון הציבור</w:t>
      </w:r>
      <w:r w:rsidR="00011DEC">
        <w:rPr>
          <w:rFonts w:cs="David" w:hint="cs"/>
          <w:rtl/>
        </w:rPr>
        <w:t xml:space="preserve"> </w:t>
      </w:r>
      <w:r w:rsidR="00011DEC">
        <w:rPr>
          <w:rFonts w:cs="David"/>
          <w:rtl/>
        </w:rPr>
        <w:t>–</w:t>
      </w:r>
      <w:r w:rsidR="00011DEC">
        <w:rPr>
          <w:rFonts w:cs="David" w:hint="cs"/>
          <w:rtl/>
        </w:rPr>
        <w:t xml:space="preserve"> מעל 98% מהחומרים הקיימים -</w:t>
      </w:r>
      <w:r>
        <w:rPr>
          <w:rFonts w:cs="David" w:hint="cs"/>
          <w:rtl/>
        </w:rPr>
        <w:t xml:space="preserve"> ברור כי לא שיקולים אלה</w:t>
      </w:r>
      <w:r w:rsidR="00011DEC">
        <w:rPr>
          <w:rFonts w:cs="David" w:hint="cs"/>
          <w:rtl/>
        </w:rPr>
        <w:t xml:space="preserve"> לבדם</w:t>
      </w:r>
      <w:r>
        <w:rPr>
          <w:rFonts w:cs="David" w:hint="cs"/>
          <w:rtl/>
        </w:rPr>
        <w:t xml:space="preserve"> מונעים את הנגשת המידע לציבור. </w:t>
      </w:r>
    </w:p>
    <w:p w14:paraId="6360C98E" w14:textId="77777777" w:rsidR="00996CE9" w:rsidRDefault="00996CE9" w:rsidP="00996CE9">
      <w:pPr>
        <w:pStyle w:val="aa"/>
        <w:numPr>
          <w:ilvl w:val="0"/>
          <w:numId w:val="1"/>
        </w:numPr>
        <w:jc w:val="both"/>
        <w:rPr>
          <w:rFonts w:cs="David"/>
        </w:rPr>
      </w:pPr>
      <w:r>
        <w:rPr>
          <w:rFonts w:cs="David" w:hint="cs"/>
          <w:rtl/>
        </w:rPr>
        <w:t xml:space="preserve">הוועדה מבקשת ממשרד ראש הממשלה, המופקד על ביצוע חוק הארכיונים, וממשרד המשפטים לעדכן אותה האם וכיצד בכוונתם לפעול לשינוי ושיפור המצב הקיים </w:t>
      </w:r>
      <w:r>
        <w:rPr>
          <w:rFonts w:cs="David"/>
          <w:rtl/>
        </w:rPr>
        <w:t>–</w:t>
      </w:r>
      <w:r>
        <w:rPr>
          <w:rFonts w:cs="David" w:hint="cs"/>
          <w:rtl/>
        </w:rPr>
        <w:t xml:space="preserve"> מה נעשה עד כה, האם יש תזכיר חוק בנושא או טיוטת תקנות, כמה פגישות התקיימו בין המשרדים בנדון כדי לקדם את תיקוני החקיקה הנדרשים, מהם האתגרים המרכזיים המקשים על קידום חקיקה זו, וכן תאריך יעד לסיום העבודה הפנים-ממשלתית בנושא זה.</w:t>
      </w:r>
    </w:p>
    <w:p w14:paraId="132127C7" w14:textId="77777777" w:rsidR="00996CE9" w:rsidRPr="0004341E" w:rsidRDefault="00996CE9" w:rsidP="00996CE9">
      <w:pPr>
        <w:pStyle w:val="aa"/>
        <w:numPr>
          <w:ilvl w:val="0"/>
          <w:numId w:val="1"/>
        </w:numPr>
        <w:jc w:val="both"/>
        <w:rPr>
          <w:rFonts w:cs="David"/>
        </w:rPr>
      </w:pPr>
      <w:r w:rsidRPr="0004341E">
        <w:rPr>
          <w:rFonts w:cs="David" w:hint="cs"/>
          <w:rtl/>
        </w:rPr>
        <w:t>הוועדה מבקשת לדעת האם יש נוהל עבודה מסודר וקריטריונים בנוגע ל</w:t>
      </w:r>
      <w:r>
        <w:rPr>
          <w:rFonts w:cs="David" w:hint="cs"/>
          <w:rtl/>
        </w:rPr>
        <w:t xml:space="preserve">קבלת החלטה על אי-חשיפתו של </w:t>
      </w:r>
      <w:r w:rsidRPr="0004341E">
        <w:rPr>
          <w:rFonts w:cs="David" w:hint="cs"/>
          <w:rtl/>
        </w:rPr>
        <w:t>חומר ארכיוני</w:t>
      </w:r>
      <w:r>
        <w:rPr>
          <w:rFonts w:cs="David" w:hint="cs"/>
          <w:rtl/>
        </w:rPr>
        <w:t xml:space="preserve">, ובפרט לעניין </w:t>
      </w:r>
      <w:r w:rsidRPr="0004341E">
        <w:rPr>
          <w:rFonts w:cs="David" w:hint="cs"/>
          <w:rtl/>
        </w:rPr>
        <w:t>שיקולי בטחון המונעים חשיפת חומר זה</w:t>
      </w:r>
      <w:r>
        <w:rPr>
          <w:rFonts w:cs="David" w:hint="cs"/>
          <w:rtl/>
        </w:rPr>
        <w:t>. ככל שיש נוהל כאמור, הוועדה מבקשת לפרסמו לציבור, שכן לדעת הוועדה,</w:t>
      </w:r>
      <w:r w:rsidRPr="0004341E">
        <w:rPr>
          <w:rFonts w:cs="David" w:hint="cs"/>
          <w:rtl/>
        </w:rPr>
        <w:t xml:space="preserve"> יש לוודא כי </w:t>
      </w:r>
      <w:r>
        <w:rPr>
          <w:rFonts w:cs="David" w:hint="cs"/>
          <w:rtl/>
        </w:rPr>
        <w:t xml:space="preserve">בנוהל זה </w:t>
      </w:r>
      <w:r w:rsidRPr="0004341E">
        <w:rPr>
          <w:rFonts w:cs="David" w:hint="cs"/>
          <w:rtl/>
        </w:rPr>
        <w:t>יינתן</w:t>
      </w:r>
      <w:r>
        <w:rPr>
          <w:rFonts w:cs="David" w:hint="cs"/>
          <w:rtl/>
        </w:rPr>
        <w:t xml:space="preserve"> משקל ואיזון גם לשיקולי שקיפות.</w:t>
      </w:r>
    </w:p>
    <w:p w14:paraId="79FFB2F0" w14:textId="77777777" w:rsidR="00996CE9" w:rsidRDefault="00996CE9" w:rsidP="00996CE9">
      <w:pPr>
        <w:numPr>
          <w:ilvl w:val="0"/>
          <w:numId w:val="1"/>
        </w:numPr>
        <w:spacing w:line="312" w:lineRule="auto"/>
        <w:jc w:val="both"/>
        <w:rPr>
          <w:rFonts w:cs="David"/>
          <w:color w:val="000000"/>
        </w:rPr>
      </w:pPr>
      <w:r>
        <w:rPr>
          <w:rFonts w:cs="David" w:hint="cs"/>
          <w:color w:val="000000"/>
          <w:rtl/>
        </w:rPr>
        <w:t>הוועדה תמשיך ותעקוב אחר הנושא.</w:t>
      </w:r>
    </w:p>
    <w:p w14:paraId="528F7DF2" w14:textId="77777777" w:rsidR="0096071E" w:rsidRPr="00996CE9" w:rsidRDefault="0096071E" w:rsidP="00707CD9">
      <w:pPr>
        <w:ind w:left="26"/>
        <w:jc w:val="both"/>
        <w:rPr>
          <w:rFonts w:cs="David"/>
          <w:rtl/>
        </w:rPr>
      </w:pPr>
    </w:p>
    <w:p w14:paraId="5E7CD450" w14:textId="77777777" w:rsidR="00707CD9" w:rsidRDefault="00707CD9" w:rsidP="00707CD9">
      <w:pPr>
        <w:ind w:left="26"/>
        <w:jc w:val="both"/>
        <w:rPr>
          <w:rFonts w:cs="David"/>
        </w:rPr>
      </w:pPr>
      <w:r>
        <w:rPr>
          <w:rFonts w:cs="David" w:hint="cs"/>
          <w:rtl/>
        </w:rPr>
        <w:t>הוועדה מבקשת מהמשרדים הנוגעים בדבר לדווח לה על ביצוע המסקנות תוך שלושה חודשים.</w:t>
      </w:r>
    </w:p>
    <w:p w14:paraId="657A98D7" w14:textId="77777777" w:rsidR="00707CD9" w:rsidRPr="00707CD9" w:rsidRDefault="00707CD9" w:rsidP="009A583C">
      <w:pPr>
        <w:rPr>
          <w:rtl/>
        </w:rPr>
      </w:pPr>
    </w:p>
    <w:p w14:paraId="7281BF76" w14:textId="77777777" w:rsidR="009A583C" w:rsidRPr="00350538" w:rsidRDefault="009A583C" w:rsidP="009A583C">
      <w:pPr>
        <w:rPr>
          <w:rFonts w:cs="David"/>
          <w:b/>
          <w:bCs/>
          <w:rtl/>
        </w:rPr>
      </w:pPr>
      <w:r w:rsidRPr="00350538">
        <w:rPr>
          <w:rFonts w:cs="David" w:hint="cs"/>
          <w:b/>
          <w:bCs/>
          <w:rtl/>
        </w:rPr>
        <w:t xml:space="preserve">המסקנות הונחו על שולחן הכנסת ביום: </w:t>
      </w:r>
    </w:p>
    <w:p w14:paraId="7281BF77" w14:textId="66FBE0FB" w:rsidR="00275AB1" w:rsidRPr="00252C08" w:rsidRDefault="00EF0388" w:rsidP="008E75B5">
      <w:pPr>
        <w:ind w:left="26"/>
        <w:jc w:val="both"/>
        <w:rPr>
          <w:rFonts w:cs="David"/>
          <w:rtl/>
        </w:rPr>
      </w:pPr>
      <w:r w:rsidRPr="00252C08">
        <w:rPr>
          <w:rFonts w:cs="David" w:hint="cs"/>
          <w:rtl/>
        </w:rPr>
        <w:t>כ"ז ב</w:t>
      </w:r>
      <w:r w:rsidR="008E75B5">
        <w:rPr>
          <w:rFonts w:cs="David" w:hint="cs"/>
          <w:rtl/>
        </w:rPr>
        <w:t>שבט</w:t>
      </w:r>
      <w:r w:rsidRPr="00252C08">
        <w:rPr>
          <w:rFonts w:cs="David" w:hint="cs"/>
          <w:rtl/>
        </w:rPr>
        <w:t xml:space="preserve">, </w:t>
      </w:r>
      <w:proofErr w:type="spellStart"/>
      <w:r w:rsidRPr="00252C08">
        <w:rPr>
          <w:rFonts w:cs="David" w:hint="cs"/>
          <w:rtl/>
        </w:rPr>
        <w:t>התשע"ח</w:t>
      </w:r>
      <w:proofErr w:type="spellEnd"/>
    </w:p>
    <w:p w14:paraId="3EE31D3F" w14:textId="6E57B680" w:rsidR="00EF0388" w:rsidRPr="00252C08" w:rsidRDefault="00EF0388" w:rsidP="00EF0388">
      <w:pPr>
        <w:ind w:left="26"/>
        <w:jc w:val="both"/>
        <w:rPr>
          <w:rFonts w:cs="David"/>
        </w:rPr>
      </w:pPr>
      <w:r w:rsidRPr="00252C08">
        <w:rPr>
          <w:rFonts w:cs="David" w:hint="cs"/>
          <w:rtl/>
        </w:rPr>
        <w:t>12 בפברואר 2018</w:t>
      </w:r>
    </w:p>
    <w:sectPr w:rsidR="00EF0388" w:rsidRPr="00252C08" w:rsidSect="00252C08">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D7693" w14:textId="77777777" w:rsidR="00BD52BA" w:rsidRDefault="00BD52BA" w:rsidP="00F45C91">
      <w:r>
        <w:separator/>
      </w:r>
    </w:p>
  </w:endnote>
  <w:endnote w:type="continuationSeparator" w:id="0">
    <w:p w14:paraId="3E2C2F79" w14:textId="77777777" w:rsidR="00BD52BA" w:rsidRDefault="00BD52BA" w:rsidP="00F4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A8B38" w14:textId="77777777" w:rsidR="005464AF" w:rsidRDefault="005464A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05F8B" w14:textId="77777777" w:rsidR="005464AF" w:rsidRDefault="005464AF">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1403A" w14:textId="77777777" w:rsidR="005464AF" w:rsidRDefault="005464A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D27CA" w14:textId="77777777" w:rsidR="00BD52BA" w:rsidRDefault="00BD52BA" w:rsidP="00F45C91">
      <w:r>
        <w:separator/>
      </w:r>
    </w:p>
  </w:footnote>
  <w:footnote w:type="continuationSeparator" w:id="0">
    <w:p w14:paraId="337B079F" w14:textId="77777777" w:rsidR="00BD52BA" w:rsidRDefault="00BD52BA" w:rsidP="00F45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C1F22" w14:textId="77777777" w:rsidR="005464AF" w:rsidRDefault="005464AF">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958F0" w14:textId="77777777" w:rsidR="005464AF" w:rsidRDefault="005464AF">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266E7" w14:textId="77777777" w:rsidR="005464AF" w:rsidRDefault="005464A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1E0EAE"/>
    <w:multiLevelType w:val="hybridMultilevel"/>
    <w:tmpl w:val="16088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3C"/>
    <w:rsid w:val="00011DEC"/>
    <w:rsid w:val="0004341E"/>
    <w:rsid w:val="00114722"/>
    <w:rsid w:val="001939F5"/>
    <w:rsid w:val="001B3497"/>
    <w:rsid w:val="001B5960"/>
    <w:rsid w:val="001B63BC"/>
    <w:rsid w:val="00227B79"/>
    <w:rsid w:val="00252C08"/>
    <w:rsid w:val="00263834"/>
    <w:rsid w:val="00275AB1"/>
    <w:rsid w:val="00322747"/>
    <w:rsid w:val="0035316F"/>
    <w:rsid w:val="005464AF"/>
    <w:rsid w:val="00707CD9"/>
    <w:rsid w:val="008A70E5"/>
    <w:rsid w:val="008E75B5"/>
    <w:rsid w:val="009222E6"/>
    <w:rsid w:val="00927FE7"/>
    <w:rsid w:val="0096071E"/>
    <w:rsid w:val="00996CE9"/>
    <w:rsid w:val="009A583C"/>
    <w:rsid w:val="00A9304B"/>
    <w:rsid w:val="00B1352E"/>
    <w:rsid w:val="00B500AE"/>
    <w:rsid w:val="00B8232B"/>
    <w:rsid w:val="00BD52BA"/>
    <w:rsid w:val="00E631A9"/>
    <w:rsid w:val="00EF0388"/>
    <w:rsid w:val="00F45C91"/>
    <w:rsid w:val="00F5291E"/>
    <w:rsid w:val="00F75D5D"/>
    <w:rsid w:val="00FA2EA7"/>
    <w:rsid w:val="00FA6C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BF52"/>
  <w15:docId w15:val="{66F7EEF1-768C-4DD4-9912-2650AC307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iPriority w:val="99"/>
    <w:unhideWhenUsed/>
    <w:rsid w:val="00F45C91"/>
    <w:pPr>
      <w:tabs>
        <w:tab w:val="center" w:pos="4153"/>
        <w:tab w:val="right" w:pos="8306"/>
      </w:tabs>
    </w:pPr>
  </w:style>
  <w:style w:type="character" w:customStyle="1" w:styleId="a6">
    <w:name w:val="כותרת עליונה תו"/>
    <w:basedOn w:val="a0"/>
    <w:link w:val="a5"/>
    <w:uiPriority w:val="99"/>
    <w:rsid w:val="00F45C91"/>
    <w:rPr>
      <w:rFonts w:ascii="Times New Roman" w:eastAsia="Times New Roman" w:hAnsi="Times New Roman" w:cs="Times New Roman"/>
      <w:sz w:val="24"/>
      <w:szCs w:val="24"/>
    </w:rPr>
  </w:style>
  <w:style w:type="paragraph" w:styleId="a7">
    <w:name w:val="footer"/>
    <w:basedOn w:val="a"/>
    <w:link w:val="a8"/>
    <w:uiPriority w:val="99"/>
    <w:unhideWhenUsed/>
    <w:rsid w:val="00F45C91"/>
    <w:pPr>
      <w:tabs>
        <w:tab w:val="center" w:pos="4153"/>
        <w:tab w:val="right" w:pos="8306"/>
      </w:tabs>
    </w:pPr>
  </w:style>
  <w:style w:type="character" w:customStyle="1" w:styleId="a8">
    <w:name w:val="כותרת תחתונה תו"/>
    <w:basedOn w:val="a0"/>
    <w:link w:val="a7"/>
    <w:uiPriority w:val="99"/>
    <w:rsid w:val="00F45C91"/>
    <w:rPr>
      <w:rFonts w:ascii="Times New Roman" w:eastAsia="Times New Roman" w:hAnsi="Times New Roman" w:cs="Times New Roman"/>
      <w:sz w:val="24"/>
      <w:szCs w:val="24"/>
    </w:rPr>
  </w:style>
  <w:style w:type="paragraph" w:styleId="a9">
    <w:name w:val="Block Text"/>
    <w:basedOn w:val="a"/>
    <w:semiHidden/>
    <w:unhideWhenUsed/>
    <w:rsid w:val="00114722"/>
    <w:pPr>
      <w:ind w:left="791" w:right="981" w:firstLine="654"/>
    </w:pPr>
    <w:rPr>
      <w:rFonts w:cs="David"/>
      <w:noProof/>
      <w:lang w:eastAsia="he-IL"/>
    </w:rPr>
  </w:style>
  <w:style w:type="paragraph" w:styleId="aa">
    <w:name w:val="List Paragraph"/>
    <w:basedOn w:val="a"/>
    <w:uiPriority w:val="34"/>
    <w:qFormat/>
    <w:rsid w:val="00927F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712751">
      <w:bodyDiv w:val="1"/>
      <w:marLeft w:val="0"/>
      <w:marRight w:val="0"/>
      <w:marTop w:val="0"/>
      <w:marBottom w:val="0"/>
      <w:divBdr>
        <w:top w:val="none" w:sz="0" w:space="0" w:color="auto"/>
        <w:left w:val="none" w:sz="0" w:space="0" w:color="auto"/>
        <w:bottom w:val="none" w:sz="0" w:space="0" w:color="auto"/>
        <w:right w:val="none" w:sz="0" w:space="0" w:color="auto"/>
      </w:divBdr>
    </w:div>
    <w:div w:id="974990623">
      <w:bodyDiv w:val="1"/>
      <w:marLeft w:val="0"/>
      <w:marRight w:val="0"/>
      <w:marTop w:val="0"/>
      <w:marBottom w:val="0"/>
      <w:divBdr>
        <w:top w:val="none" w:sz="0" w:space="0" w:color="auto"/>
        <w:left w:val="none" w:sz="0" w:space="0" w:color="auto"/>
        <w:bottom w:val="none" w:sz="0" w:space="0" w:color="auto"/>
        <w:right w:val="none" w:sz="0" w:space="0" w:color="auto"/>
      </w:divBdr>
    </w:div>
    <w:div w:id="975992218">
      <w:bodyDiv w:val="1"/>
      <w:marLeft w:val="0"/>
      <w:marRight w:val="0"/>
      <w:marTop w:val="0"/>
      <w:marBottom w:val="0"/>
      <w:divBdr>
        <w:top w:val="none" w:sz="0" w:space="0" w:color="auto"/>
        <w:left w:val="none" w:sz="0" w:space="0" w:color="auto"/>
        <w:bottom w:val="none" w:sz="0" w:space="0" w:color="auto"/>
        <w:right w:val="none" w:sz="0" w:space="0" w:color="auto"/>
      </w:divBdr>
    </w:div>
    <w:div w:id="1249077308">
      <w:bodyDiv w:val="1"/>
      <w:marLeft w:val="0"/>
      <w:marRight w:val="0"/>
      <w:marTop w:val="0"/>
      <w:marBottom w:val="0"/>
      <w:divBdr>
        <w:top w:val="none" w:sz="0" w:space="0" w:color="auto"/>
        <w:left w:val="none" w:sz="0" w:space="0" w:color="auto"/>
        <w:bottom w:val="none" w:sz="0" w:space="0" w:color="auto"/>
        <w:right w:val="none" w:sz="0" w:space="0" w:color="auto"/>
      </w:divBdr>
    </w:div>
    <w:div w:id="156371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496F2-EC59-4C51-B878-F66602D6A37B}">
  <ds:schemaRefs>
    <ds:schemaRef ds:uri="http://schemas.microsoft.com/office/2006/metadata/properties"/>
    <ds:schemaRef ds:uri="f7660851-4ffa-4136-bafb-a5c8c40811cf"/>
  </ds:schemaRefs>
</ds:datastoreItem>
</file>

<file path=customXml/itemProps2.xml><?xml version="1.0" encoding="utf-8"?>
<ds:datastoreItem xmlns:ds="http://schemas.openxmlformats.org/officeDocument/2006/customXml" ds:itemID="{B95D4967-8871-4F00-89EC-FF4767327209}">
  <ds:schemaRefs>
    <ds:schemaRef ds:uri="http://schemas.microsoft.com/sharepoint/v3/contenttype/forms"/>
  </ds:schemaRefs>
</ds:datastoreItem>
</file>

<file path=customXml/itemProps3.xml><?xml version="1.0" encoding="utf-8"?>
<ds:datastoreItem xmlns:ds="http://schemas.openxmlformats.org/officeDocument/2006/customXml" ds:itemID="{C7F286B6-87ED-4A17-983E-60FC89BA9755}"/>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3585</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דיון מהיר בנושא: ישראל מסתירה מידע ארכיוני באופן שאינו הולם מדינה דמוקרטית</vt:lpstr>
    </vt:vector>
  </TitlesOfParts>
  <Company>Knesset</Company>
  <LinksUpToDate>false</LinksUpToDate>
  <CharactersWithSpaces>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ישראל מסתירה מידע ארכיוני באופן שאינו הולם מדינה דמוקרטית</dc:title>
  <dc:creator>יעל נגני</dc:creator>
  <cp:lastModifiedBy>מיכל כהן</cp:lastModifiedBy>
  <cp:revision>2</cp:revision>
  <cp:lastPrinted>2018-02-01T10:48:00Z</cp:lastPrinted>
  <dcterms:created xsi:type="dcterms:W3CDTF">2018-02-12T10:29:00Z</dcterms:created>
  <dcterms:modified xsi:type="dcterms:W3CDTF">2018-02-12T10:29:00Z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a49bf6898386;#</vt:lpwstr>
  </property>
  <property fmtid="{D5CDD505-2E9C-101B-9397-08002B2CF9AE}" pid="5" name="z">
    <vt:lpwstr>#RowsetSchema</vt:lpwstr>
  </property>
  <property fmtid="{D5CDD505-2E9C-101B-9397-08002B2CF9AE}" pid="6" name="Author">
    <vt:lpwstr>314;#לאה גופר</vt:lpwstr>
  </property>
  <property fmtid="{D5CDD505-2E9C-101B-9397-08002B2CF9AE}" pid="7" name="FileLeafRef">
    <vt:lpwstr>916;#00568618.docx</vt:lpwstr>
  </property>
  <property fmtid="{D5CDD505-2E9C-101B-9397-08002B2CF9AE}" pid="8" name="Modified_x0020_By">
    <vt:lpwstr>LAN_KNESSET\michalc</vt:lpwstr>
  </property>
  <property fmtid="{D5CDD505-2E9C-101B-9397-08002B2CF9AE}" pid="9" name="Created_x0020_By">
    <vt:lpwstr>LAN_KNESSET\v_taktziv_b_lea</vt:lpwstr>
  </property>
  <property fmtid="{D5CDD505-2E9C-101B-9397-08002B2CF9AE}" pid="10" name="File_x0020_Type">
    <vt:lpwstr>docx</vt:lpwstr>
  </property>
  <property fmtid="{D5CDD505-2E9C-101B-9397-08002B2CF9AE}" pid="11" name="AutoNumber">
    <vt:lpwstr>00568618</vt:lpwstr>
  </property>
  <property fmtid="{D5CDD505-2E9C-101B-9397-08002B2CF9AE}" pid="12" name="SDCategories">
    <vt:lpwstr>:ועדות:הוועדה המיוחדת ליישום הנגשת המידע הממשלתי ועקרונות שקיפותו לציבור:כנסת 20:הלס"י;#</vt:lpwstr>
  </property>
  <property fmtid="{D5CDD505-2E9C-101B-9397-08002B2CF9AE}" pid="13" name="SDAuthor">
    <vt:lpwstr>לאה גופר</vt:lpwstr>
  </property>
  <property fmtid="{D5CDD505-2E9C-101B-9397-08002B2CF9AE}" pid="14" name="SDDocDate">
    <vt:lpwstr>31/01/2018</vt:lpwstr>
  </property>
  <property fmtid="{D5CDD505-2E9C-101B-9397-08002B2CF9AE}" pid="15" name="SDHebDate">
    <vt:lpwstr>ט"ו בשבט, התשע"ח</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916</vt:lpwstr>
  </property>
  <property fmtid="{D5CDD505-2E9C-101B-9397-08002B2CF9AE}" pid="19" name="Created">
    <vt:lpwstr>31/01/2018</vt:lpwstr>
  </property>
  <property fmtid="{D5CDD505-2E9C-101B-9397-08002B2CF9AE}" pid="20" name="Modified">
    <vt:lpwstr>11/02/2018</vt:lpwstr>
  </property>
  <property fmtid="{D5CDD505-2E9C-101B-9397-08002B2CF9AE}" pid="21" name="Editor">
    <vt:lpwstr>1557;#סוניה מיכל כהן</vt:lpwstr>
  </property>
  <property fmtid="{D5CDD505-2E9C-101B-9397-08002B2CF9AE}" pid="22" name="_ModerationStatus">
    <vt:lpwstr>0</vt:lpwstr>
  </property>
  <property fmtid="{D5CDD505-2E9C-101B-9397-08002B2CF9AE}" pid="23" name="FileRef">
    <vt:lpwstr>916;#sites/VEADOT/hmeda/DocLib/DocLib automatically created by sharedocs 1/00568618.docx</vt:lpwstr>
  </property>
  <property fmtid="{D5CDD505-2E9C-101B-9397-08002B2CF9AE}" pid="24" name="FileDirRef">
    <vt:lpwstr>916;#sites/VEADOT/hmeda/DocLib/DocLib automatically created by sharedocs 1</vt:lpwstr>
  </property>
  <property fmtid="{D5CDD505-2E9C-101B-9397-08002B2CF9AE}" pid="25" name="Last_x0020_Modified">
    <vt:lpwstr>916;#2018-02-11 08:35:07</vt:lpwstr>
  </property>
  <property fmtid="{D5CDD505-2E9C-101B-9397-08002B2CF9AE}" pid="26" name="Created_x0020_Date">
    <vt:lpwstr>916;#2018-01-31 08:27:54</vt:lpwstr>
  </property>
  <property fmtid="{D5CDD505-2E9C-101B-9397-08002B2CF9AE}" pid="27" name="File_x0020_Size">
    <vt:lpwstr>916;#48449</vt:lpwstr>
  </property>
  <property fmtid="{D5CDD505-2E9C-101B-9397-08002B2CF9AE}" pid="28" name="FSObjType">
    <vt:lpwstr>916;#0</vt:lpwstr>
  </property>
  <property fmtid="{D5CDD505-2E9C-101B-9397-08002B2CF9AE}" pid="29" name="PermMask">
    <vt:lpwstr>0x1b03c5f1bff</vt:lpwstr>
  </property>
  <property fmtid="{D5CDD505-2E9C-101B-9397-08002B2CF9AE}" pid="30" name="CheckedOutUserId">
    <vt:lpwstr>916;#</vt:lpwstr>
  </property>
  <property fmtid="{D5CDD505-2E9C-101B-9397-08002B2CF9AE}" pid="31" name="IsCheckedoutToLocal">
    <vt:lpwstr>916;#0</vt:lpwstr>
  </property>
  <property fmtid="{D5CDD505-2E9C-101B-9397-08002B2CF9AE}" pid="32" name="UniqueId">
    <vt:lpwstr>916;#{18057CCF-A652-49E8-863B-EFD87B622974}</vt:lpwstr>
  </property>
  <property fmtid="{D5CDD505-2E9C-101B-9397-08002B2CF9AE}" pid="33" name="ProgId">
    <vt:lpwstr>916;#</vt:lpwstr>
  </property>
  <property fmtid="{D5CDD505-2E9C-101B-9397-08002B2CF9AE}" pid="34" name="ScopeId">
    <vt:lpwstr>916;#{1CCE3813-ECF5-4953-B7C6-B0A2E41B09A7}</vt:lpwstr>
  </property>
  <property fmtid="{D5CDD505-2E9C-101B-9397-08002B2CF9AE}" pid="35" name="VirusStatus">
    <vt:lpwstr>916;#48449</vt:lpwstr>
  </property>
  <property fmtid="{D5CDD505-2E9C-101B-9397-08002B2CF9AE}" pid="36" name="CheckedOutTitle">
    <vt:lpwstr>916;#</vt:lpwstr>
  </property>
  <property fmtid="{D5CDD505-2E9C-101B-9397-08002B2CF9AE}" pid="37" name="_CheckinComment">
    <vt:lpwstr>916;#</vt:lpwstr>
  </property>
  <property fmtid="{D5CDD505-2E9C-101B-9397-08002B2CF9AE}" pid="38" name="_EditMenuTableStart">
    <vt:lpwstr>00568618.docx</vt:lpwstr>
  </property>
  <property fmtid="{D5CDD505-2E9C-101B-9397-08002B2CF9AE}" pid="39" name="_EditMenuTableEnd">
    <vt:lpwstr>916</vt:lpwstr>
  </property>
  <property fmtid="{D5CDD505-2E9C-101B-9397-08002B2CF9AE}" pid="40" name="LinkFilenameNoMenu">
    <vt:lpwstr>00568618.docx</vt:lpwstr>
  </property>
  <property fmtid="{D5CDD505-2E9C-101B-9397-08002B2CF9AE}" pid="41" name="LinkFilename">
    <vt:lpwstr>00568618.docx</vt:lpwstr>
  </property>
  <property fmtid="{D5CDD505-2E9C-101B-9397-08002B2CF9AE}" pid="42" name="DocIcon">
    <vt:lpwstr>docx</vt:lpwstr>
  </property>
  <property fmtid="{D5CDD505-2E9C-101B-9397-08002B2CF9AE}" pid="43" name="ServerUrl">
    <vt:lpwstr>/sites/VEADOT/hmeda/DocLib/DocLib automatically created by sharedocs 1/00568618.docx</vt:lpwstr>
  </property>
  <property fmtid="{D5CDD505-2E9C-101B-9397-08002B2CF9AE}" pid="44" name="EncodedAbsUrl">
    <vt:lpwstr>http://sd3portal/sites/VEADOT/hmeda/DocLib/DocLib%20automatically%20created%20by%20sharedocs%201/00568618.docx</vt:lpwstr>
  </property>
  <property fmtid="{D5CDD505-2E9C-101B-9397-08002B2CF9AE}" pid="45" name="BaseName">
    <vt:lpwstr>00568618</vt:lpwstr>
  </property>
  <property fmtid="{D5CDD505-2E9C-101B-9397-08002B2CF9AE}" pid="46" name="FileSizeDisplay">
    <vt:lpwstr>48449</vt:lpwstr>
  </property>
  <property fmtid="{D5CDD505-2E9C-101B-9397-08002B2CF9AE}" pid="47" name="MetaInfo">
    <vt:lpwstr>916;#_Level:SW|1
z:SW|#RowsetSchema
Order:SW|91600.0000000000
SDLastSigningDate:EW|
Last Modified:SW|916;#2018-02-11 07:32:01
vti_author:SR|LAN_KNESSET\\v_taktziv_b_lea
SelectTitle:SW|916
SelectFilename:SW|916
ParentVersionString:SW|916;#
MetaInfo:LW|916;</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916</vt:lpwstr>
  </property>
  <property fmtid="{D5CDD505-2E9C-101B-9397-08002B2CF9AE}" pid="51" name="SelectFilename">
    <vt:lpwstr>916</vt:lpwstr>
  </property>
  <property fmtid="{D5CDD505-2E9C-101B-9397-08002B2CF9AE}" pid="52" name="Edit">
    <vt:lpwstr>0</vt:lpwstr>
  </property>
  <property fmtid="{D5CDD505-2E9C-101B-9397-08002B2CF9AE}" pid="53" name="owshiddenversion">
    <vt:lpwstr>16</vt:lpwstr>
  </property>
  <property fmtid="{D5CDD505-2E9C-101B-9397-08002B2CF9AE}" pid="54" name="_UIVersion">
    <vt:lpwstr>512</vt:lpwstr>
  </property>
  <property fmtid="{D5CDD505-2E9C-101B-9397-08002B2CF9AE}" pid="55" name="Order">
    <vt:lpwstr>91600.0000000000</vt:lpwstr>
  </property>
  <property fmtid="{D5CDD505-2E9C-101B-9397-08002B2CF9AE}" pid="56" name="GUID">
    <vt:lpwstr>{5DD31972-A49A-4360-ADE5-FFF7D4659946}</vt:lpwstr>
  </property>
  <property fmtid="{D5CDD505-2E9C-101B-9397-08002B2CF9AE}" pid="57" name="WorkflowVersion">
    <vt:lpwstr>1</vt:lpwstr>
  </property>
  <property fmtid="{D5CDD505-2E9C-101B-9397-08002B2CF9AE}" pid="58" name="ParentVersionString">
    <vt:lpwstr>916;#</vt:lpwstr>
  </property>
  <property fmtid="{D5CDD505-2E9C-101B-9397-08002B2CF9AE}" pid="59" name="ParentLeafName">
    <vt:lpwstr>916;#</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916;#2018-02-11 08:35:07</vt:lpwstr>
  </property>
  <property fmtid="{D5CDD505-2E9C-101B-9397-08002B2CF9AE}" pid="65" name="Created Date">
    <vt:lpwstr>916;#2018-01-31 08:27:54</vt:lpwstr>
  </property>
  <property fmtid="{D5CDD505-2E9C-101B-9397-08002B2CF9AE}" pid="66" name="Created By">
    <vt:lpwstr>LAN_KNESSET\v_taktziv_b_lea</vt:lpwstr>
  </property>
  <property fmtid="{D5CDD505-2E9C-101B-9397-08002B2CF9AE}" pid="67" name="File Type">
    <vt:lpwstr>docx</vt:lpwstr>
  </property>
  <property fmtid="{D5CDD505-2E9C-101B-9397-08002B2CF9AE}" pid="68" name="File Size">
    <vt:lpwstr>916;#48449</vt:lpwstr>
  </property>
  <property fmtid="{D5CDD505-2E9C-101B-9397-08002B2CF9AE}" pid="69" name="Modified By">
    <vt:lpwstr>LAN_KNESSET\michalc</vt:lpwstr>
  </property>
  <property fmtid="{D5CDD505-2E9C-101B-9397-08002B2CF9AE}" pid="70" name="SanhedrinItemID">
    <vt:r8>2064331</vt:r8>
  </property>
  <property fmtid="{D5CDD505-2E9C-101B-9397-08002B2CF9AE}" pid="71" name="SanhedrinDocumentType">
    <vt:r8>91</vt:r8>
  </property>
</Properties>
</file>