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1B2" w:rsidRDefault="009521B2" w:rsidP="009521B2">
      <w:pPr>
        <w:jc w:val="center"/>
        <w:rPr>
          <w:color w:val="000080"/>
        </w:rPr>
      </w:pPr>
      <w:bookmarkStart w:id="0" w:name="OLE_LINK3"/>
      <w:bookmarkStart w:id="1" w:name="OLE_LINK4"/>
      <w:r>
        <w:rPr>
          <w:noProof/>
          <w:color w:val="000080"/>
        </w:rPr>
        <w:drawing>
          <wp:inline distT="0" distB="0" distL="0" distR="0" wp14:anchorId="204471B3" wp14:editId="204471B4">
            <wp:extent cx="476250" cy="590550"/>
            <wp:effectExtent l="0" t="0" r="0" b="0"/>
            <wp:docPr id="1" name="תמונה 1" descr="SEM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 cy="590550"/>
                    </a:xfrm>
                    <a:prstGeom prst="rect">
                      <a:avLst/>
                    </a:prstGeom>
                    <a:noFill/>
                    <a:ln>
                      <a:noFill/>
                    </a:ln>
                  </pic:spPr>
                </pic:pic>
              </a:graphicData>
            </a:graphic>
          </wp:inline>
        </w:drawing>
      </w:r>
    </w:p>
    <w:p w:rsidR="009521B2" w:rsidRDefault="009521B2" w:rsidP="009521B2">
      <w:pPr>
        <w:jc w:val="center"/>
        <w:rPr>
          <w:b/>
          <w:bCs/>
          <w:color w:val="000080"/>
        </w:rPr>
      </w:pPr>
      <w:r>
        <w:rPr>
          <w:rFonts w:hint="cs"/>
          <w:b/>
          <w:bCs/>
          <w:color w:val="000080"/>
          <w:rtl/>
        </w:rPr>
        <w:t>הכנסת</w:t>
      </w:r>
    </w:p>
    <w:bookmarkEnd w:id="0"/>
    <w:bookmarkEnd w:id="1"/>
    <w:p w:rsidR="009521B2" w:rsidRPr="002A68AE" w:rsidRDefault="009521B2" w:rsidP="009521B2">
      <w:pPr>
        <w:jc w:val="center"/>
        <w:rPr>
          <w:b/>
          <w:bCs/>
          <w:color w:val="000080"/>
        </w:rPr>
      </w:pPr>
      <w:r w:rsidRPr="002A68AE">
        <w:rPr>
          <w:rFonts w:hint="cs"/>
          <w:b/>
          <w:bCs/>
          <w:color w:val="000080"/>
          <w:rtl/>
        </w:rPr>
        <w:t>הלשכה המשפטית</w:t>
      </w:r>
      <w:r w:rsidRPr="005032B4">
        <w:rPr>
          <w:rFonts w:hint="cs"/>
          <w:rtl/>
        </w:rPr>
        <w:t xml:space="preserve"> </w:t>
      </w:r>
    </w:p>
    <w:p w:rsidR="009521B2" w:rsidRDefault="009521B2" w:rsidP="009521B2">
      <w:pPr>
        <w:jc w:val="right"/>
        <w:rPr>
          <w:sz w:val="18"/>
          <w:szCs w:val="18"/>
          <w:rtl/>
        </w:rPr>
      </w:pPr>
    </w:p>
    <w:p w:rsidR="009521B2" w:rsidRPr="006521B7" w:rsidRDefault="009521B2" w:rsidP="009521B2">
      <w:pPr>
        <w:jc w:val="right"/>
        <w:rPr>
          <w:b/>
          <w:bCs/>
          <w:color w:val="000080"/>
          <w:sz w:val="20"/>
          <w:szCs w:val="20"/>
        </w:rPr>
      </w:pPr>
      <w:r w:rsidRPr="006521B7">
        <w:rPr>
          <w:rFonts w:hint="cs"/>
          <w:b/>
          <w:bCs/>
          <w:color w:val="000080"/>
          <w:sz w:val="20"/>
          <w:szCs w:val="20"/>
          <w:rtl/>
        </w:rPr>
        <w:t>היועצת המשפטית לוועדת הכספים</w:t>
      </w:r>
    </w:p>
    <w:p w:rsidR="009521B2" w:rsidRPr="00131DA7" w:rsidRDefault="009521B2" w:rsidP="00131DA7">
      <w:pPr>
        <w:pStyle w:val="a3"/>
        <w:tabs>
          <w:tab w:val="left" w:pos="720"/>
        </w:tabs>
        <w:jc w:val="right"/>
        <w:rPr>
          <w:rtl/>
        </w:rPr>
      </w:pPr>
      <w:r w:rsidRPr="00131DA7">
        <w:rPr>
          <w:rFonts w:hint="eastAsia"/>
          <w:rtl/>
        </w:rPr>
        <w:t>‏</w:t>
      </w:r>
      <w:r w:rsidRPr="00131DA7">
        <w:rPr>
          <w:rtl/>
        </w:rPr>
        <w:t xml:space="preserve"> </w:t>
      </w:r>
      <w:r w:rsidR="00131DA7" w:rsidRPr="00131DA7">
        <w:rPr>
          <w:rFonts w:hint="cs"/>
          <w:rtl/>
        </w:rPr>
        <w:t>ט"ו</w:t>
      </w:r>
      <w:r w:rsidRPr="00131DA7">
        <w:rPr>
          <w:rtl/>
        </w:rPr>
        <w:t xml:space="preserve"> </w:t>
      </w:r>
      <w:r w:rsidRPr="00131DA7">
        <w:rPr>
          <w:rFonts w:hint="cs"/>
          <w:rtl/>
        </w:rPr>
        <w:t>ב</w:t>
      </w:r>
      <w:r w:rsidR="00783145">
        <w:rPr>
          <w:rFonts w:hint="cs"/>
          <w:rtl/>
        </w:rPr>
        <w:t>סי</w:t>
      </w:r>
      <w:r w:rsidR="00131DA7" w:rsidRPr="00131DA7">
        <w:rPr>
          <w:rFonts w:hint="cs"/>
          <w:rtl/>
        </w:rPr>
        <w:t>ון</w:t>
      </w:r>
      <w:r w:rsidRPr="00131DA7">
        <w:rPr>
          <w:rFonts w:hint="cs"/>
          <w:rtl/>
        </w:rPr>
        <w:t xml:space="preserve">, </w:t>
      </w:r>
      <w:proofErr w:type="spellStart"/>
      <w:r w:rsidRPr="00131DA7">
        <w:rPr>
          <w:rFonts w:hint="cs"/>
          <w:rtl/>
        </w:rPr>
        <w:t>ה</w:t>
      </w:r>
      <w:r w:rsidRPr="00131DA7">
        <w:rPr>
          <w:rtl/>
        </w:rPr>
        <w:t>תש</w:t>
      </w:r>
      <w:r w:rsidR="00131DA7" w:rsidRPr="00131DA7">
        <w:rPr>
          <w:rFonts w:hint="cs"/>
          <w:rtl/>
        </w:rPr>
        <w:t>ע"ה</w:t>
      </w:r>
      <w:proofErr w:type="spellEnd"/>
    </w:p>
    <w:p w:rsidR="009521B2" w:rsidRDefault="009521B2" w:rsidP="00131DA7">
      <w:pPr>
        <w:jc w:val="right"/>
        <w:rPr>
          <w:rtl/>
        </w:rPr>
      </w:pPr>
      <w:r w:rsidRPr="00131DA7">
        <w:rPr>
          <w:rFonts w:hint="eastAsia"/>
          <w:rtl/>
          <w:lang w:val="x-none"/>
        </w:rPr>
        <w:t>‏</w:t>
      </w:r>
      <w:r w:rsidR="00131DA7" w:rsidRPr="00131DA7">
        <w:rPr>
          <w:rFonts w:hint="cs"/>
          <w:rtl/>
          <w:lang w:val="x-none"/>
        </w:rPr>
        <w:t>02</w:t>
      </w:r>
      <w:r w:rsidRPr="00131DA7">
        <w:rPr>
          <w:rtl/>
          <w:lang w:val="x-none"/>
        </w:rPr>
        <w:t xml:space="preserve"> </w:t>
      </w:r>
      <w:r w:rsidRPr="00131DA7">
        <w:rPr>
          <w:rFonts w:hint="cs"/>
          <w:rtl/>
          <w:lang w:val="x-none"/>
        </w:rPr>
        <w:t>ב</w:t>
      </w:r>
      <w:r w:rsidR="00131DA7" w:rsidRPr="00131DA7">
        <w:rPr>
          <w:rFonts w:hint="cs"/>
          <w:rtl/>
          <w:lang w:val="x-none"/>
        </w:rPr>
        <w:t>יוני</w:t>
      </w:r>
      <w:r w:rsidRPr="00131DA7">
        <w:rPr>
          <w:rtl/>
          <w:lang w:val="x-none"/>
        </w:rPr>
        <w:t xml:space="preserve"> 201</w:t>
      </w:r>
      <w:r w:rsidR="00131DA7" w:rsidRPr="00131DA7">
        <w:rPr>
          <w:rFonts w:hint="cs"/>
          <w:rtl/>
          <w:lang w:val="x-none"/>
        </w:rPr>
        <w:t>5</w:t>
      </w:r>
    </w:p>
    <w:p w:rsidR="009521B2" w:rsidRDefault="009521B2" w:rsidP="009521B2">
      <w:pPr>
        <w:rPr>
          <w:rtl/>
        </w:rPr>
      </w:pPr>
    </w:p>
    <w:p w:rsidR="009521B2" w:rsidRDefault="009521B2" w:rsidP="009521B2">
      <w:pPr>
        <w:rPr>
          <w:rtl/>
        </w:rPr>
      </w:pPr>
      <w:r>
        <w:rPr>
          <w:rFonts w:hint="cs"/>
          <w:rtl/>
        </w:rPr>
        <w:t xml:space="preserve">לכבוד </w:t>
      </w:r>
    </w:p>
    <w:p w:rsidR="009521B2" w:rsidRDefault="009521B2" w:rsidP="009521B2">
      <w:pPr>
        <w:rPr>
          <w:u w:val="single"/>
          <w:rtl/>
        </w:rPr>
      </w:pPr>
    </w:p>
    <w:p w:rsidR="009521B2" w:rsidRDefault="009521B2" w:rsidP="009521B2">
      <w:pPr>
        <w:rPr>
          <w:u w:val="single"/>
          <w:rtl/>
        </w:rPr>
      </w:pPr>
      <w:r>
        <w:rPr>
          <w:rFonts w:hint="cs"/>
          <w:u w:val="single"/>
          <w:rtl/>
        </w:rPr>
        <w:t>חברי ועדת הכספים</w:t>
      </w:r>
    </w:p>
    <w:p w:rsidR="009521B2" w:rsidRDefault="009521B2" w:rsidP="009521B2">
      <w:pPr>
        <w:rPr>
          <w:rtl/>
        </w:rPr>
      </w:pPr>
    </w:p>
    <w:p w:rsidR="009521B2" w:rsidRDefault="009521B2" w:rsidP="009521B2">
      <w:pPr>
        <w:rPr>
          <w:rtl/>
        </w:rPr>
      </w:pPr>
      <w:proofErr w:type="spellStart"/>
      <w:r>
        <w:rPr>
          <w:rFonts w:hint="cs"/>
          <w:rtl/>
        </w:rPr>
        <w:t>נכבדיי</w:t>
      </w:r>
      <w:proofErr w:type="spellEnd"/>
      <w:r>
        <w:rPr>
          <w:rFonts w:hint="cs"/>
          <w:rtl/>
        </w:rPr>
        <w:t>,</w:t>
      </w:r>
    </w:p>
    <w:p w:rsidR="009521B2" w:rsidRDefault="009521B2" w:rsidP="009521B2">
      <w:pPr>
        <w:pStyle w:val="1"/>
        <w:spacing w:after="120" w:line="360" w:lineRule="auto"/>
        <w:jc w:val="left"/>
        <w:rPr>
          <w:sz w:val="24"/>
          <w:szCs w:val="24"/>
          <w:u w:val="none"/>
          <w:rtl/>
        </w:rPr>
      </w:pPr>
    </w:p>
    <w:p w:rsidR="009521B2" w:rsidRDefault="009521B2" w:rsidP="00776DD9">
      <w:pPr>
        <w:pStyle w:val="1"/>
        <w:spacing w:after="120" w:line="360" w:lineRule="auto"/>
        <w:rPr>
          <w:rStyle w:val="default"/>
          <w:rFonts w:cs="David"/>
          <w:sz w:val="24"/>
          <w:szCs w:val="24"/>
          <w:rtl/>
          <w:lang w:val="en-US"/>
        </w:rPr>
      </w:pPr>
      <w:r>
        <w:rPr>
          <w:rFonts w:hint="cs"/>
          <w:sz w:val="24"/>
          <w:szCs w:val="24"/>
          <w:u w:val="none"/>
          <w:rtl/>
        </w:rPr>
        <w:t xml:space="preserve">הנדון: </w:t>
      </w:r>
      <w:r w:rsidRPr="002C1B19">
        <w:rPr>
          <w:rFonts w:hint="cs"/>
          <w:sz w:val="24"/>
          <w:szCs w:val="24"/>
          <w:rtl/>
        </w:rPr>
        <w:t>מונופול הגז</w:t>
      </w:r>
      <w:r>
        <w:rPr>
          <w:rStyle w:val="default"/>
          <w:rFonts w:cs="David" w:hint="cs"/>
          <w:sz w:val="24"/>
          <w:szCs w:val="24"/>
          <w:rtl/>
          <w:lang w:val="en-US"/>
        </w:rPr>
        <w:t xml:space="preserve"> הטבעי</w:t>
      </w:r>
    </w:p>
    <w:p w:rsidR="00296066" w:rsidRDefault="002447F3" w:rsidP="00F638E4">
      <w:pPr>
        <w:spacing w:after="120" w:line="360" w:lineRule="auto"/>
        <w:jc w:val="both"/>
        <w:rPr>
          <w:rtl/>
        </w:rPr>
      </w:pPr>
      <w:r w:rsidRPr="002447F3">
        <w:rPr>
          <w:rFonts w:hint="cs"/>
          <w:rtl/>
        </w:rPr>
        <w:t xml:space="preserve">לקראת הדיון בוועדה לגבי </w:t>
      </w:r>
      <w:r w:rsidR="00BB3268">
        <w:rPr>
          <w:rFonts w:hint="cs"/>
          <w:rtl/>
        </w:rPr>
        <w:t xml:space="preserve">מספר </w:t>
      </w:r>
      <w:r w:rsidR="005801A1" w:rsidRPr="002447F3">
        <w:rPr>
          <w:rFonts w:hint="cs"/>
          <w:rtl/>
        </w:rPr>
        <w:t>הצע</w:t>
      </w:r>
      <w:r w:rsidR="00BB3268">
        <w:rPr>
          <w:rFonts w:hint="cs"/>
          <w:rtl/>
        </w:rPr>
        <w:t>ות</w:t>
      </w:r>
      <w:r w:rsidR="00213D55">
        <w:rPr>
          <w:rFonts w:hint="cs"/>
          <w:rtl/>
        </w:rPr>
        <w:t xml:space="preserve"> דחופ</w:t>
      </w:r>
      <w:r w:rsidR="00BB3268">
        <w:rPr>
          <w:rFonts w:hint="cs"/>
          <w:rtl/>
        </w:rPr>
        <w:t>ות</w:t>
      </w:r>
      <w:r w:rsidR="005801A1" w:rsidRPr="002447F3">
        <w:rPr>
          <w:rFonts w:hint="cs"/>
          <w:rtl/>
        </w:rPr>
        <w:t xml:space="preserve"> לסדר היום</w:t>
      </w:r>
      <w:r w:rsidR="006521B7">
        <w:rPr>
          <w:rStyle w:val="a9"/>
          <w:rtl/>
        </w:rPr>
        <w:footnoteReference w:id="1"/>
      </w:r>
      <w:r w:rsidR="002A1F45" w:rsidRPr="002447F3">
        <w:rPr>
          <w:rFonts w:hint="cs"/>
          <w:rtl/>
        </w:rPr>
        <w:t xml:space="preserve"> בנושא מונופול הגז</w:t>
      </w:r>
      <w:r w:rsidR="005801A1" w:rsidRPr="002447F3">
        <w:rPr>
          <w:rFonts w:hint="cs"/>
          <w:rtl/>
        </w:rPr>
        <w:t xml:space="preserve"> שנדונ</w:t>
      </w:r>
      <w:r w:rsidR="00BB3268">
        <w:rPr>
          <w:rFonts w:hint="cs"/>
          <w:rtl/>
        </w:rPr>
        <w:t>ו</w:t>
      </w:r>
      <w:r w:rsidR="00C67C7D">
        <w:rPr>
          <w:rFonts w:hint="cs"/>
          <w:rtl/>
        </w:rPr>
        <w:t xml:space="preserve"> במליאה ביום 13.5.15 </w:t>
      </w:r>
      <w:r w:rsidR="00DC1593">
        <w:rPr>
          <w:rFonts w:hint="cs"/>
          <w:rtl/>
        </w:rPr>
        <w:t xml:space="preserve">ושהדיון בהן הועבר </w:t>
      </w:r>
      <w:r w:rsidR="005801A1" w:rsidRPr="002447F3">
        <w:rPr>
          <w:rFonts w:hint="cs"/>
          <w:rtl/>
        </w:rPr>
        <w:t>לוועדת הכספים של הכנסת</w:t>
      </w:r>
      <w:r w:rsidR="00B154CE">
        <w:rPr>
          <w:rFonts w:hint="cs"/>
          <w:rtl/>
        </w:rPr>
        <w:t xml:space="preserve"> (לפי סעיף 53 לתקנון הכנסת)</w:t>
      </w:r>
      <w:r w:rsidR="0088096E">
        <w:rPr>
          <w:rStyle w:val="a9"/>
          <w:rtl/>
        </w:rPr>
        <w:footnoteReference w:id="2"/>
      </w:r>
      <w:r w:rsidR="006521B7">
        <w:rPr>
          <w:rFonts w:hint="cs"/>
          <w:rtl/>
        </w:rPr>
        <w:t>, להלן סקירה בנושא שבנדון:</w:t>
      </w:r>
      <w:r w:rsidR="00C0731E" w:rsidRPr="002447F3">
        <w:rPr>
          <w:rFonts w:hint="cs"/>
          <w:rtl/>
        </w:rPr>
        <w:t xml:space="preserve"> </w:t>
      </w:r>
    </w:p>
    <w:p w:rsidR="00E717EA" w:rsidRPr="00E717EA" w:rsidRDefault="00E717EA" w:rsidP="00E717EA">
      <w:pPr>
        <w:spacing w:after="120" w:line="360" w:lineRule="auto"/>
        <w:jc w:val="both"/>
      </w:pPr>
      <w:r w:rsidRPr="00E717EA">
        <w:rPr>
          <w:rtl/>
        </w:rPr>
        <w:t>בשנים האחרונות עובר המשק הישראלי שינויים משמעותיים בתחום האנרגיה. תוך שנים ספורות הפך הגז הטבעי למקור האנרגיה העיקרי והמועדף לייצור חשמל ולשימוש בתעשיות הגדולות. המעבר לשימוש בגז טבעי על פני מקורות אנרגיה אחרים, הניב למשק הישראלי בשנים 2004-2013 חסכון של כ-28 מיליארד ₪, וכן תרם להפחתה משמעותית בפליטת מזהמים בזכות צמצום השימוש בסולר,</w:t>
      </w:r>
      <w:r w:rsidRPr="00E717EA">
        <w:rPr>
          <w:rFonts w:hint="cs"/>
          <w:rtl/>
        </w:rPr>
        <w:t xml:space="preserve"> במזוט ובפחם.</w:t>
      </w:r>
      <w:r w:rsidRPr="00973ECB">
        <w:rPr>
          <w:rStyle w:val="a9"/>
          <w:rtl/>
        </w:rPr>
        <w:footnoteReference w:id="3"/>
      </w:r>
    </w:p>
    <w:p w:rsidR="00766327" w:rsidRPr="00C87722" w:rsidRDefault="00E717EA" w:rsidP="001E3323">
      <w:pPr>
        <w:spacing w:after="120" w:line="360" w:lineRule="auto"/>
        <w:ind w:left="340" w:hanging="340"/>
        <w:jc w:val="both"/>
        <w:textAlignment w:val="top"/>
        <w:rPr>
          <w:rFonts w:ascii="Arial" w:hAnsi="Arial"/>
          <w:b/>
          <w:bCs/>
          <w:u w:val="single"/>
        </w:rPr>
      </w:pPr>
      <w:r>
        <w:rPr>
          <w:rFonts w:ascii="Arial" w:hAnsi="Arial" w:hint="cs"/>
          <w:b/>
          <w:bCs/>
          <w:u w:val="single"/>
          <w:rtl/>
        </w:rPr>
        <w:t>א.</w:t>
      </w:r>
      <w:r w:rsidR="008353C4">
        <w:rPr>
          <w:rFonts w:ascii="Arial" w:hAnsi="Arial" w:hint="cs"/>
          <w:b/>
          <w:bCs/>
          <w:u w:val="single"/>
          <w:rtl/>
        </w:rPr>
        <w:t xml:space="preserve"> </w:t>
      </w:r>
      <w:r w:rsidR="00357068">
        <w:rPr>
          <w:rFonts w:ascii="Arial" w:hAnsi="Arial" w:hint="cs"/>
          <w:b/>
          <w:bCs/>
          <w:u w:val="single"/>
          <w:rtl/>
        </w:rPr>
        <w:t xml:space="preserve">מאגרי הגז הטבעי </w:t>
      </w:r>
      <w:r w:rsidR="00246647">
        <w:rPr>
          <w:rFonts w:ascii="Arial" w:hAnsi="Arial" w:hint="cs"/>
          <w:b/>
          <w:bCs/>
          <w:u w:val="single"/>
          <w:rtl/>
        </w:rPr>
        <w:t>שהתגלו מאז 2009:</w:t>
      </w:r>
    </w:p>
    <w:p w:rsidR="002B2CD6" w:rsidRDefault="00157CB5" w:rsidP="00063A00">
      <w:pPr>
        <w:pStyle w:val="a7"/>
        <w:numPr>
          <w:ilvl w:val="0"/>
          <w:numId w:val="39"/>
        </w:numPr>
        <w:spacing w:after="120" w:line="360" w:lineRule="auto"/>
        <w:ind w:left="357" w:hanging="357"/>
        <w:jc w:val="both"/>
      </w:pPr>
      <w:r w:rsidRPr="00FB2D09">
        <w:rPr>
          <w:rFonts w:ascii="Arial" w:hAnsi="Arial" w:hint="cs"/>
          <w:b/>
          <w:bCs/>
          <w:rtl/>
        </w:rPr>
        <w:t>תמר:</w:t>
      </w:r>
      <w:r w:rsidR="007139C7" w:rsidRPr="00FB2D09">
        <w:rPr>
          <w:rFonts w:ascii="Arial" w:hAnsi="Arial" w:hint="cs"/>
          <w:b/>
          <w:bCs/>
          <w:rtl/>
        </w:rPr>
        <w:t xml:space="preserve"> </w:t>
      </w:r>
      <w:r w:rsidR="007139C7" w:rsidRPr="00FB2D09">
        <w:rPr>
          <w:rFonts w:ascii="Arial" w:hAnsi="Arial" w:hint="cs"/>
          <w:rtl/>
        </w:rPr>
        <w:t xml:space="preserve">בשנת 2009 התגלו מאגרי גז טבעי בהיקפים גדולים בשדה תמר השוכן כ-90 ק"מ מערבית לחופי ישראל. המאגר מספק גז טבעי </w:t>
      </w:r>
      <w:r w:rsidR="005260DB" w:rsidRPr="00FB2D09">
        <w:rPr>
          <w:rFonts w:ascii="Arial" w:hAnsi="Arial" w:hint="cs"/>
          <w:rtl/>
        </w:rPr>
        <w:t>למשק החל מחודש אפריל 2013. מאגר תמר הוא המקור הראשי לאספקת גז טבעי למשק בשנת 2014 והוא צפוי לשמש כמקור האספקה העיקרי של גז טבעי בעשור הקרוב.</w:t>
      </w:r>
      <w:r w:rsidR="002A03C9" w:rsidRPr="00FB2D09">
        <w:rPr>
          <w:rFonts w:hint="cs"/>
          <w:b/>
          <w:bCs/>
          <w:rtl/>
        </w:rPr>
        <w:t xml:space="preserve"> </w:t>
      </w:r>
      <w:r w:rsidR="002A03C9" w:rsidRPr="00FB2D09">
        <w:rPr>
          <w:rFonts w:ascii="Arial" w:hAnsi="Arial" w:hint="cs"/>
          <w:b/>
          <w:bCs/>
          <w:rtl/>
        </w:rPr>
        <w:t>במאגר מחזיקות:</w:t>
      </w:r>
      <w:r w:rsidR="002A03C9" w:rsidRPr="00FB2D09">
        <w:rPr>
          <w:rFonts w:ascii="Arial" w:hAnsi="Arial" w:hint="cs"/>
          <w:rtl/>
        </w:rPr>
        <w:t xml:space="preserve"> נובל </w:t>
      </w:r>
      <w:proofErr w:type="spellStart"/>
      <w:r w:rsidR="002A03C9" w:rsidRPr="00FB2D09">
        <w:rPr>
          <w:rFonts w:ascii="Arial" w:hAnsi="Arial" w:hint="cs"/>
          <w:rtl/>
        </w:rPr>
        <w:t>אנרג'י</w:t>
      </w:r>
      <w:proofErr w:type="spellEnd"/>
      <w:r w:rsidR="002A03C9" w:rsidRPr="00FB2D09">
        <w:rPr>
          <w:rFonts w:ascii="Arial" w:hAnsi="Arial" w:hint="cs"/>
          <w:rtl/>
        </w:rPr>
        <w:t xml:space="preserve"> </w:t>
      </w:r>
      <w:r w:rsidR="002A03C9" w:rsidRPr="00FB2D09">
        <w:rPr>
          <w:rFonts w:ascii="Arial" w:hAnsi="Arial"/>
          <w:rtl/>
        </w:rPr>
        <w:t>–</w:t>
      </w:r>
      <w:r w:rsidR="002A03C9" w:rsidRPr="00FB2D09">
        <w:rPr>
          <w:rFonts w:ascii="Arial" w:hAnsi="Arial" w:hint="cs"/>
          <w:rtl/>
        </w:rPr>
        <w:t xml:space="preserve"> 36%, </w:t>
      </w:r>
      <w:proofErr w:type="spellStart"/>
      <w:r w:rsidR="002A03C9" w:rsidRPr="00FB2D09">
        <w:rPr>
          <w:rFonts w:ascii="Arial" w:hAnsi="Arial" w:hint="cs"/>
          <w:rtl/>
        </w:rPr>
        <w:t>ישראמקו</w:t>
      </w:r>
      <w:proofErr w:type="spellEnd"/>
      <w:r w:rsidR="002A03C9" w:rsidRPr="00FB2D09">
        <w:rPr>
          <w:rFonts w:ascii="Arial" w:hAnsi="Arial" w:hint="cs"/>
          <w:rtl/>
        </w:rPr>
        <w:t xml:space="preserve"> – 28.75%, דלק קידוחים – 15.625%, אבנר – 15.625% </w:t>
      </w:r>
      <w:r w:rsidR="00FD397A" w:rsidRPr="002B2CD6">
        <w:rPr>
          <w:rFonts w:hint="cs"/>
          <w:rtl/>
        </w:rPr>
        <w:t>ודור – 4%</w:t>
      </w:r>
      <w:r w:rsidR="00FD397A" w:rsidRPr="00157CB5">
        <w:rPr>
          <w:rStyle w:val="a9"/>
          <w:rtl/>
        </w:rPr>
        <w:footnoteReference w:id="4"/>
      </w:r>
      <w:r w:rsidR="00E451F8" w:rsidRPr="002B2CD6">
        <w:rPr>
          <w:rFonts w:hint="cs"/>
          <w:rtl/>
        </w:rPr>
        <w:t>.</w:t>
      </w:r>
    </w:p>
    <w:p w:rsidR="00246647" w:rsidRPr="002B2CD6" w:rsidRDefault="00157CB5" w:rsidP="00063A00">
      <w:pPr>
        <w:pStyle w:val="a7"/>
        <w:numPr>
          <w:ilvl w:val="0"/>
          <w:numId w:val="39"/>
        </w:numPr>
        <w:spacing w:after="120" w:line="360" w:lineRule="auto"/>
        <w:ind w:left="340" w:hanging="340"/>
        <w:jc w:val="both"/>
      </w:pPr>
      <w:r w:rsidRPr="00FB2D09">
        <w:rPr>
          <w:rFonts w:ascii="Arial" w:hAnsi="Arial" w:hint="cs"/>
          <w:b/>
          <w:bCs/>
          <w:rtl/>
        </w:rPr>
        <w:t>לוויתן:</w:t>
      </w:r>
      <w:r w:rsidR="00246647" w:rsidRPr="00FB2D09">
        <w:rPr>
          <w:rFonts w:ascii="Arial" w:hAnsi="Arial" w:hint="cs"/>
          <w:b/>
          <w:bCs/>
          <w:rtl/>
        </w:rPr>
        <w:t xml:space="preserve"> </w:t>
      </w:r>
      <w:r w:rsidR="00246647" w:rsidRPr="00FB2D09">
        <w:rPr>
          <w:rFonts w:ascii="Arial" w:hAnsi="Arial"/>
          <w:rtl/>
        </w:rPr>
        <w:t>בשנת 2010 התגלה מאגר גז טבעי בקנה מידה עולמי במים הכלכליים של ישראל. במר</w:t>
      </w:r>
      <w:r w:rsidR="001D6851" w:rsidRPr="00FB2D09">
        <w:rPr>
          <w:rFonts w:ascii="Arial" w:hAnsi="Arial" w:hint="cs"/>
          <w:rtl/>
        </w:rPr>
        <w:t>ץ</w:t>
      </w:r>
      <w:r w:rsidR="00246647" w:rsidRPr="00FB2D09">
        <w:rPr>
          <w:rFonts w:ascii="Arial" w:hAnsi="Arial"/>
          <w:rtl/>
        </w:rPr>
        <w:t xml:space="preserve"> 2014 העניק הממונה על ענייני הנפט חזקה</w:t>
      </w:r>
      <w:r w:rsidR="009B2458" w:rsidRPr="007C72F1">
        <w:rPr>
          <w:rStyle w:val="a9"/>
          <w:rFonts w:ascii="Arial" w:hAnsi="Arial"/>
          <w:rtl/>
        </w:rPr>
        <w:footnoteReference w:id="5"/>
      </w:r>
      <w:r w:rsidR="001838DA" w:rsidRPr="00FB2D09">
        <w:rPr>
          <w:rFonts w:ascii="Arial" w:hAnsi="Arial" w:hint="cs"/>
          <w:rtl/>
        </w:rPr>
        <w:t xml:space="preserve"> </w:t>
      </w:r>
      <w:r w:rsidR="00246647" w:rsidRPr="00FB2D09">
        <w:rPr>
          <w:rFonts w:ascii="Arial" w:hAnsi="Arial"/>
          <w:rtl/>
        </w:rPr>
        <w:t>להפקת גז טבעי ממאגר זה, שפיתוחו צפוי להסתיים במהלך שנת 2018. גז שיופק ממאגר לוויתן צפוי לשמש, הן לאספקת הביקוש המקומי לגז טבעי במשק הישראלי והן לייצוא</w:t>
      </w:r>
      <w:r w:rsidR="00246647" w:rsidRPr="00FB2D09">
        <w:rPr>
          <w:rFonts w:ascii="Arial" w:hAnsi="Arial" w:hint="cs"/>
          <w:rtl/>
        </w:rPr>
        <w:t>.</w:t>
      </w:r>
      <w:r w:rsidR="00246647" w:rsidRPr="00FB2D09">
        <w:rPr>
          <w:rFonts w:ascii="Arial" w:hAnsi="Arial" w:hint="cs"/>
          <w:b/>
          <w:bCs/>
          <w:rtl/>
        </w:rPr>
        <w:t xml:space="preserve"> במאגר מחזיקות:</w:t>
      </w:r>
      <w:r w:rsidR="00246647" w:rsidRPr="00FB2D09">
        <w:rPr>
          <w:rFonts w:ascii="Arial" w:hAnsi="Arial" w:hint="cs"/>
          <w:rtl/>
        </w:rPr>
        <w:t xml:space="preserve"> נובל </w:t>
      </w:r>
      <w:proofErr w:type="spellStart"/>
      <w:r w:rsidR="00246647" w:rsidRPr="00FB2D09">
        <w:rPr>
          <w:rFonts w:ascii="Arial" w:hAnsi="Arial" w:hint="cs"/>
          <w:rtl/>
        </w:rPr>
        <w:t>אנרג'י</w:t>
      </w:r>
      <w:proofErr w:type="spellEnd"/>
      <w:r w:rsidR="00246647" w:rsidRPr="00FB2D09">
        <w:rPr>
          <w:rFonts w:ascii="Arial" w:hAnsi="Arial" w:hint="cs"/>
          <w:rtl/>
        </w:rPr>
        <w:t xml:space="preserve"> </w:t>
      </w:r>
      <w:r w:rsidR="00246647" w:rsidRPr="00FB2D09">
        <w:rPr>
          <w:rFonts w:ascii="Arial" w:hAnsi="Arial"/>
          <w:rtl/>
        </w:rPr>
        <w:t>–</w:t>
      </w:r>
      <w:r w:rsidR="00246647" w:rsidRPr="00FB2D09">
        <w:rPr>
          <w:rFonts w:ascii="Arial" w:hAnsi="Arial" w:hint="cs"/>
          <w:rtl/>
        </w:rPr>
        <w:t xml:space="preserve"> 39.7% דלק קידוחים </w:t>
      </w:r>
      <w:r w:rsidR="00246647" w:rsidRPr="00FB2D09">
        <w:rPr>
          <w:rFonts w:ascii="Arial" w:hAnsi="Arial"/>
          <w:rtl/>
        </w:rPr>
        <w:t>–</w:t>
      </w:r>
      <w:r w:rsidR="00246647" w:rsidRPr="00FB2D09">
        <w:rPr>
          <w:rFonts w:ascii="Arial" w:hAnsi="Arial" w:hint="cs"/>
          <w:rtl/>
        </w:rPr>
        <w:t xml:space="preserve"> 22.7% אבנר </w:t>
      </w:r>
      <w:r w:rsidR="00246647" w:rsidRPr="00FB2D09">
        <w:rPr>
          <w:rFonts w:ascii="Arial" w:hAnsi="Arial"/>
          <w:rtl/>
        </w:rPr>
        <w:t>–</w:t>
      </w:r>
      <w:r w:rsidR="00246647" w:rsidRPr="00FB2D09">
        <w:rPr>
          <w:rFonts w:ascii="Arial" w:hAnsi="Arial" w:hint="cs"/>
          <w:rtl/>
        </w:rPr>
        <w:t xml:space="preserve"> 22.7% רציו </w:t>
      </w:r>
      <w:r w:rsidR="00246647" w:rsidRPr="00FB2D09">
        <w:rPr>
          <w:rFonts w:ascii="Arial" w:hAnsi="Arial"/>
          <w:rtl/>
        </w:rPr>
        <w:t>–</w:t>
      </w:r>
      <w:r w:rsidR="00246647" w:rsidRPr="00FB2D09">
        <w:rPr>
          <w:rFonts w:ascii="Arial" w:hAnsi="Arial" w:hint="cs"/>
          <w:rtl/>
        </w:rPr>
        <w:t xml:space="preserve"> 15.0%.</w:t>
      </w:r>
    </w:p>
    <w:p w:rsidR="00FB2D09" w:rsidRPr="00FB2D09" w:rsidRDefault="00157CB5" w:rsidP="00063A00">
      <w:pPr>
        <w:pStyle w:val="a7"/>
        <w:numPr>
          <w:ilvl w:val="0"/>
          <w:numId w:val="39"/>
        </w:numPr>
        <w:spacing w:after="120" w:line="360" w:lineRule="auto"/>
        <w:ind w:left="340" w:hanging="340"/>
        <w:jc w:val="both"/>
        <w:rPr>
          <w:rFonts w:ascii="Arial" w:hAnsi="Arial"/>
          <w:b/>
          <w:bCs/>
          <w:u w:val="single"/>
        </w:rPr>
      </w:pPr>
      <w:r w:rsidRPr="00FB2D09">
        <w:rPr>
          <w:rFonts w:ascii="Arial" w:hAnsi="Arial" w:hint="cs"/>
          <w:b/>
          <w:bCs/>
          <w:rtl/>
        </w:rPr>
        <w:t>כריש ותנין:</w:t>
      </w:r>
      <w:r w:rsidR="00246647" w:rsidRPr="00FB2D09">
        <w:rPr>
          <w:rFonts w:ascii="Arial" w:hAnsi="Arial" w:hint="cs"/>
          <w:b/>
          <w:bCs/>
          <w:rtl/>
        </w:rPr>
        <w:t xml:space="preserve"> </w:t>
      </w:r>
      <w:r w:rsidR="00246647" w:rsidRPr="00FB2D09">
        <w:rPr>
          <w:rFonts w:ascii="Arial" w:hAnsi="Arial"/>
          <w:rtl/>
        </w:rPr>
        <w:t xml:space="preserve">המאגרים "תנין" ו"כריש" התגלו בשנים 2012 ו-2013, בהתאמה, צפון-מערבית לחופי ישראל. </w:t>
      </w:r>
    </w:p>
    <w:p w:rsidR="00246647" w:rsidRPr="00FB2D09" w:rsidRDefault="00246647" w:rsidP="00063A00">
      <w:pPr>
        <w:pStyle w:val="a7"/>
        <w:numPr>
          <w:ilvl w:val="0"/>
          <w:numId w:val="39"/>
        </w:numPr>
        <w:spacing w:after="120" w:line="360" w:lineRule="auto"/>
        <w:ind w:left="340" w:hanging="340"/>
        <w:jc w:val="both"/>
        <w:rPr>
          <w:rFonts w:ascii="Arial" w:hAnsi="Arial"/>
          <w:b/>
          <w:bCs/>
          <w:u w:val="single"/>
        </w:rPr>
      </w:pPr>
      <w:r w:rsidRPr="00FB2D09">
        <w:rPr>
          <w:rFonts w:ascii="Arial" w:hAnsi="Arial"/>
          <w:rtl/>
        </w:rPr>
        <w:t>מאגרי גז טבעי נוספים שהתגלו במים הכלכליים של ישראל בשנים האחרונות, אך טרם פותחו, הם</w:t>
      </w:r>
      <w:r w:rsidRPr="00FB2D09">
        <w:rPr>
          <w:rFonts w:ascii="Arial" w:hAnsi="Arial" w:hint="cs"/>
          <w:rtl/>
        </w:rPr>
        <w:t xml:space="preserve">: </w:t>
      </w:r>
      <w:r w:rsidRPr="00FB2D09">
        <w:rPr>
          <w:rFonts w:ascii="Arial" w:hAnsi="Arial"/>
          <w:rtl/>
        </w:rPr>
        <w:t>"שמשון", "דלית" וכן מאגר "דולפין</w:t>
      </w:r>
      <w:r w:rsidRPr="00FB2D09">
        <w:rPr>
          <w:rFonts w:ascii="Arial" w:hAnsi="Arial" w:hint="cs"/>
          <w:rtl/>
        </w:rPr>
        <w:t>".</w:t>
      </w:r>
    </w:p>
    <w:p w:rsidR="00A02248" w:rsidRDefault="00E717EA" w:rsidP="001E3323">
      <w:pPr>
        <w:spacing w:after="120" w:line="360" w:lineRule="auto"/>
        <w:ind w:left="340" w:hanging="340"/>
        <w:jc w:val="both"/>
        <w:textAlignment w:val="top"/>
        <w:rPr>
          <w:rFonts w:ascii="Arial" w:hAnsi="Arial"/>
          <w:b/>
          <w:bCs/>
          <w:u w:val="single"/>
          <w:rtl/>
        </w:rPr>
      </w:pPr>
      <w:r>
        <w:rPr>
          <w:rFonts w:ascii="Arial" w:hAnsi="Arial" w:hint="cs"/>
          <w:b/>
          <w:bCs/>
          <w:u w:val="single"/>
          <w:rtl/>
        </w:rPr>
        <w:t>ב.</w:t>
      </w:r>
      <w:r w:rsidR="002B2CD6">
        <w:rPr>
          <w:rFonts w:ascii="Arial" w:hAnsi="Arial" w:hint="cs"/>
          <w:b/>
          <w:bCs/>
          <w:u w:val="single"/>
          <w:rtl/>
        </w:rPr>
        <w:t xml:space="preserve"> </w:t>
      </w:r>
      <w:r w:rsidR="00246647" w:rsidRPr="00246647">
        <w:rPr>
          <w:rFonts w:ascii="Arial" w:hAnsi="Arial" w:hint="cs"/>
          <w:b/>
          <w:bCs/>
          <w:u w:val="single"/>
          <w:rtl/>
        </w:rPr>
        <w:t>מאגרים נוספים</w:t>
      </w:r>
      <w:r>
        <w:rPr>
          <w:rFonts w:ascii="Arial" w:hAnsi="Arial" w:hint="cs"/>
          <w:b/>
          <w:bCs/>
          <w:u w:val="single"/>
          <w:rtl/>
        </w:rPr>
        <w:t>:</w:t>
      </w:r>
    </w:p>
    <w:p w:rsidR="00766327" w:rsidRPr="00A02248" w:rsidRDefault="00766327" w:rsidP="00063A00">
      <w:pPr>
        <w:pStyle w:val="a7"/>
        <w:numPr>
          <w:ilvl w:val="0"/>
          <w:numId w:val="39"/>
        </w:numPr>
        <w:spacing w:after="120" w:line="360" w:lineRule="auto"/>
        <w:ind w:left="357" w:hanging="357"/>
        <w:jc w:val="both"/>
      </w:pPr>
      <w:r w:rsidRPr="0000616C">
        <w:rPr>
          <w:rFonts w:ascii="Arial" w:hAnsi="Arial" w:hint="cs"/>
          <w:b/>
          <w:bCs/>
          <w:rtl/>
        </w:rPr>
        <w:t>המקשר הימי</w:t>
      </w:r>
      <w:r w:rsidRPr="0000616C">
        <w:rPr>
          <w:rFonts w:ascii="Arial" w:hAnsi="Arial" w:hint="cs"/>
          <w:rtl/>
        </w:rPr>
        <w:t xml:space="preserve"> </w:t>
      </w:r>
      <w:r w:rsidR="00357068" w:rsidRPr="0000616C">
        <w:rPr>
          <w:rFonts w:ascii="Arial" w:hAnsi="Arial" w:hint="eastAsia"/>
          <w:rtl/>
        </w:rPr>
        <w:t>–</w:t>
      </w:r>
      <w:r w:rsidRPr="0000616C">
        <w:rPr>
          <w:rFonts w:ascii="Arial" w:hAnsi="Arial" w:hint="cs"/>
          <w:rtl/>
        </w:rPr>
        <w:t xml:space="preserve"> המקשר הימי שהוקם בתחילת 2013 מול חופי חדרה, משמש כגיבוי למאגר תמר. המקשר הימי מאפשר להימנע מצריכת סולר או מזוט בעת מח</w:t>
      </w:r>
      <w:r w:rsidR="006D415A" w:rsidRPr="0000616C">
        <w:rPr>
          <w:rFonts w:ascii="Arial" w:hAnsi="Arial" w:hint="cs"/>
          <w:rtl/>
        </w:rPr>
        <w:t>ס</w:t>
      </w:r>
      <w:r w:rsidRPr="0000616C">
        <w:rPr>
          <w:rFonts w:ascii="Arial" w:hAnsi="Arial" w:hint="cs"/>
          <w:rtl/>
        </w:rPr>
        <w:t xml:space="preserve">ור בגז </w:t>
      </w:r>
      <w:r w:rsidR="00A02248" w:rsidRPr="00A02248">
        <w:rPr>
          <w:rFonts w:hint="cs"/>
          <w:rtl/>
        </w:rPr>
        <w:t>טבעי.</w:t>
      </w:r>
      <w:r w:rsidR="00A02248" w:rsidRPr="00A02248">
        <w:rPr>
          <w:rStyle w:val="a9"/>
          <w:rtl/>
        </w:rPr>
        <w:footnoteReference w:id="6"/>
      </w:r>
    </w:p>
    <w:p w:rsidR="00766327" w:rsidRPr="008A2D7F" w:rsidRDefault="00766327" w:rsidP="00063A00">
      <w:pPr>
        <w:pStyle w:val="a7"/>
        <w:numPr>
          <w:ilvl w:val="0"/>
          <w:numId w:val="39"/>
        </w:numPr>
        <w:spacing w:after="120" w:line="360" w:lineRule="auto"/>
        <w:ind w:left="357" w:hanging="357"/>
        <w:jc w:val="both"/>
      </w:pPr>
      <w:r w:rsidRPr="0000616C">
        <w:rPr>
          <w:rFonts w:ascii="Arial" w:hAnsi="Arial" w:hint="cs"/>
          <w:b/>
          <w:bCs/>
          <w:rtl/>
        </w:rPr>
        <w:t xml:space="preserve">ים תטיס – </w:t>
      </w:r>
      <w:r w:rsidR="003E4945" w:rsidRPr="0000616C">
        <w:rPr>
          <w:rFonts w:ascii="Arial" w:hAnsi="Arial" w:hint="cs"/>
          <w:rtl/>
        </w:rPr>
        <w:t>ב</w:t>
      </w:r>
      <w:r w:rsidRPr="0000616C">
        <w:rPr>
          <w:rFonts w:ascii="Arial" w:hAnsi="Arial" w:hint="cs"/>
          <w:rtl/>
        </w:rPr>
        <w:t xml:space="preserve">אפריל 2012, הפך מאגר ים </w:t>
      </w:r>
      <w:proofErr w:type="spellStart"/>
      <w:r w:rsidRPr="0000616C">
        <w:rPr>
          <w:rFonts w:ascii="Arial" w:hAnsi="Arial" w:hint="cs"/>
          <w:rtl/>
        </w:rPr>
        <w:t>לתטיס</w:t>
      </w:r>
      <w:proofErr w:type="spellEnd"/>
      <w:r w:rsidRPr="0000616C">
        <w:rPr>
          <w:rFonts w:ascii="Arial" w:hAnsi="Arial" w:hint="cs"/>
          <w:rtl/>
        </w:rPr>
        <w:t xml:space="preserve"> לספק גז טבעי יחיד במשק הישראלי וסיפק כ-98% מסך אספקת הגז הטבעי באותה השנה. במהלך 2013, ועם חיבור מאגר תמר, ירדה הכמות המסופקת </w:t>
      </w:r>
      <w:r w:rsidR="00FB6490" w:rsidRPr="0000616C">
        <w:rPr>
          <w:rFonts w:ascii="Arial" w:hAnsi="Arial" w:hint="cs"/>
          <w:rtl/>
        </w:rPr>
        <w:t>ל</w:t>
      </w:r>
      <w:r w:rsidRPr="0000616C">
        <w:rPr>
          <w:rFonts w:ascii="Arial" w:hAnsi="Arial" w:hint="cs"/>
          <w:rtl/>
        </w:rPr>
        <w:t xml:space="preserve">כ-13% בלבד מסך צריכת הגז הטבעי במשק לשנת 2013. עקב תהליכי התכלות המאגר, באוגוסט 2013, הופסקה כליל הזרמת הגז הטבעי מים </w:t>
      </w:r>
      <w:r w:rsidR="008A2D7F" w:rsidRPr="003D0E51">
        <w:rPr>
          <w:rFonts w:hint="cs"/>
          <w:rtl/>
        </w:rPr>
        <w:t>תטיס</w:t>
      </w:r>
      <w:r w:rsidR="008A2D7F">
        <w:rPr>
          <w:rStyle w:val="a9"/>
          <w:rtl/>
        </w:rPr>
        <w:footnoteReference w:id="7"/>
      </w:r>
      <w:r w:rsidR="00572AFB">
        <w:rPr>
          <w:rFonts w:hint="cs"/>
          <w:rtl/>
        </w:rPr>
        <w:t>.</w:t>
      </w:r>
    </w:p>
    <w:p w:rsidR="0006408D" w:rsidRPr="00305910" w:rsidRDefault="00E717EA" w:rsidP="007E134F">
      <w:pPr>
        <w:spacing w:after="120" w:line="360" w:lineRule="auto"/>
        <w:jc w:val="both"/>
        <w:textAlignment w:val="top"/>
        <w:rPr>
          <w:b/>
          <w:bCs/>
          <w:snapToGrid w:val="0"/>
          <w:u w:val="single"/>
          <w:rtl/>
        </w:rPr>
      </w:pPr>
      <w:r>
        <w:rPr>
          <w:rFonts w:hint="cs"/>
          <w:b/>
          <w:bCs/>
          <w:snapToGrid w:val="0"/>
          <w:u w:val="single"/>
          <w:rtl/>
        </w:rPr>
        <w:t>ג.</w:t>
      </w:r>
      <w:r w:rsidR="00BB3A15">
        <w:rPr>
          <w:rFonts w:hint="cs"/>
          <w:b/>
          <w:bCs/>
          <w:snapToGrid w:val="0"/>
          <w:u w:val="single"/>
          <w:rtl/>
        </w:rPr>
        <w:t xml:space="preserve"> </w:t>
      </w:r>
      <w:r w:rsidR="0006408D" w:rsidRPr="00305910">
        <w:rPr>
          <w:rFonts w:hint="cs"/>
          <w:b/>
          <w:bCs/>
          <w:snapToGrid w:val="0"/>
          <w:u w:val="single"/>
          <w:rtl/>
        </w:rPr>
        <w:t>התפתחויות</w:t>
      </w:r>
      <w:r w:rsidR="007E134F">
        <w:rPr>
          <w:rFonts w:hint="cs"/>
          <w:b/>
          <w:bCs/>
          <w:snapToGrid w:val="0"/>
          <w:u w:val="single"/>
          <w:rtl/>
        </w:rPr>
        <w:t xml:space="preserve"> </w:t>
      </w:r>
      <w:r w:rsidR="0006408D" w:rsidRPr="00305910">
        <w:rPr>
          <w:rFonts w:hint="cs"/>
          <w:b/>
          <w:bCs/>
          <w:snapToGrid w:val="0"/>
          <w:u w:val="single"/>
          <w:rtl/>
        </w:rPr>
        <w:t>מרכזיות בנוגע למונופול הגז הטבעי</w:t>
      </w:r>
      <w:r w:rsidR="00600709">
        <w:rPr>
          <w:rFonts w:hint="cs"/>
          <w:b/>
          <w:bCs/>
          <w:snapToGrid w:val="0"/>
          <w:u w:val="single"/>
          <w:rtl/>
        </w:rPr>
        <w:t xml:space="preserve"> בשנים האחרונות</w:t>
      </w:r>
    </w:p>
    <w:p w:rsidR="00A829FE" w:rsidRPr="00A829FE" w:rsidRDefault="00572AFB" w:rsidP="00063A00">
      <w:pPr>
        <w:pStyle w:val="p000"/>
        <w:numPr>
          <w:ilvl w:val="0"/>
          <w:numId w:val="39"/>
        </w:numPr>
        <w:tabs>
          <w:tab w:val="left" w:pos="624"/>
          <w:tab w:val="left" w:pos="1021"/>
          <w:tab w:val="left" w:pos="1474"/>
          <w:tab w:val="left" w:pos="1928"/>
          <w:tab w:val="left" w:pos="2381"/>
          <w:tab w:val="right" w:leader="dot" w:pos="6259"/>
          <w:tab w:val="left" w:pos="8306"/>
        </w:tabs>
        <w:bidi/>
        <w:spacing w:before="0" w:beforeAutospacing="0" w:after="120" w:afterAutospacing="0" w:line="360" w:lineRule="auto"/>
        <w:ind w:left="357" w:hanging="357"/>
        <w:jc w:val="both"/>
        <w:rPr>
          <w:b/>
          <w:bCs/>
          <w:u w:val="single"/>
        </w:rPr>
      </w:pPr>
      <w:r>
        <w:rPr>
          <w:rFonts w:hint="cs"/>
          <w:b/>
          <w:bCs/>
          <w:rtl/>
        </w:rPr>
        <w:t>באוגוסט 2012</w:t>
      </w:r>
      <w:r w:rsidR="0006408D" w:rsidRPr="00C35756">
        <w:rPr>
          <w:rFonts w:hint="cs"/>
          <w:b/>
          <w:bCs/>
          <w:rtl/>
        </w:rPr>
        <w:t xml:space="preserve"> </w:t>
      </w:r>
      <w:r>
        <w:rPr>
          <w:rFonts w:hint="cs"/>
          <w:rtl/>
        </w:rPr>
        <w:t>פורסמו המלצות הוועדה הבין-</w:t>
      </w:r>
      <w:r w:rsidR="0006408D" w:rsidRPr="00C35756">
        <w:rPr>
          <w:rFonts w:hint="cs"/>
          <w:rtl/>
        </w:rPr>
        <w:t>משרדית לבחינת מדיניות הממשלה בנושא משק הגז הטבעי בישראל (</w:t>
      </w:r>
      <w:r w:rsidR="00D47CD0" w:rsidRPr="00C35756">
        <w:rPr>
          <w:rFonts w:hint="cs"/>
          <w:rtl/>
        </w:rPr>
        <w:t xml:space="preserve">להלן: </w:t>
      </w:r>
      <w:r w:rsidR="0006408D" w:rsidRPr="00C35756">
        <w:rPr>
          <w:rFonts w:hint="cs"/>
          <w:rtl/>
        </w:rPr>
        <w:t xml:space="preserve">"ועדת צמח"). </w:t>
      </w:r>
      <w:r w:rsidR="00E717EA" w:rsidRPr="00A829FE">
        <w:rPr>
          <w:rFonts w:hint="cs"/>
          <w:rtl/>
        </w:rPr>
        <w:t>ועדת צמח קיבלה שורת המלצות. להלן</w:t>
      </w:r>
      <w:r w:rsidR="00FC5201" w:rsidRPr="00A829FE">
        <w:rPr>
          <w:rFonts w:hint="cs"/>
          <w:rtl/>
        </w:rPr>
        <w:t xml:space="preserve"> התי</w:t>
      </w:r>
      <w:r w:rsidR="00E717EA" w:rsidRPr="00A829FE">
        <w:rPr>
          <w:rFonts w:hint="cs"/>
          <w:rtl/>
        </w:rPr>
        <w:t xml:space="preserve">יחסות לשלוש </w:t>
      </w:r>
      <w:proofErr w:type="spellStart"/>
      <w:r w:rsidR="00E717EA" w:rsidRPr="00A829FE">
        <w:rPr>
          <w:rFonts w:hint="cs"/>
          <w:rtl/>
        </w:rPr>
        <w:t>מביניהן</w:t>
      </w:r>
      <w:proofErr w:type="spellEnd"/>
      <w:r w:rsidR="00A829FE">
        <w:rPr>
          <w:rFonts w:hint="cs"/>
          <w:rtl/>
        </w:rPr>
        <w:t>.</w:t>
      </w:r>
    </w:p>
    <w:p w:rsidR="00A50D52" w:rsidRPr="00A829FE" w:rsidRDefault="00A829FE" w:rsidP="00063A00">
      <w:pPr>
        <w:pStyle w:val="p000"/>
        <w:numPr>
          <w:ilvl w:val="0"/>
          <w:numId w:val="39"/>
        </w:numPr>
        <w:tabs>
          <w:tab w:val="left" w:pos="624"/>
          <w:tab w:val="left" w:pos="1021"/>
          <w:tab w:val="left" w:pos="1474"/>
          <w:tab w:val="left" w:pos="1928"/>
          <w:tab w:val="left" w:pos="2381"/>
          <w:tab w:val="right" w:leader="dot" w:pos="6259"/>
          <w:tab w:val="left" w:pos="8306"/>
        </w:tabs>
        <w:bidi/>
        <w:spacing w:before="0" w:beforeAutospacing="0" w:after="120" w:afterAutospacing="0" w:line="360" w:lineRule="auto"/>
        <w:ind w:left="357" w:hanging="357"/>
        <w:jc w:val="both"/>
        <w:rPr>
          <w:b/>
          <w:bCs/>
          <w:u w:val="single"/>
        </w:rPr>
      </w:pPr>
      <w:r w:rsidRPr="00A829FE">
        <w:rPr>
          <w:rFonts w:hint="cs"/>
          <w:rtl/>
        </w:rPr>
        <w:t>ההמלצה</w:t>
      </w:r>
      <w:r>
        <w:rPr>
          <w:rFonts w:hint="cs"/>
          <w:b/>
          <w:bCs/>
          <w:rtl/>
        </w:rPr>
        <w:t xml:space="preserve"> </w:t>
      </w:r>
      <w:r w:rsidR="003078DF">
        <w:rPr>
          <w:rFonts w:hint="cs"/>
          <w:rtl/>
        </w:rPr>
        <w:t>האחת עניינה ה</w:t>
      </w:r>
      <w:r w:rsidR="00F06DD1" w:rsidRPr="00A829FE">
        <w:rPr>
          <w:rFonts w:hint="cs"/>
          <w:b/>
          <w:bCs/>
          <w:rtl/>
        </w:rPr>
        <w:t>ייצוא</w:t>
      </w:r>
      <w:r w:rsidR="00F06DD1" w:rsidRPr="00A829FE">
        <w:rPr>
          <w:rFonts w:hint="cs"/>
          <w:rtl/>
        </w:rPr>
        <w:t xml:space="preserve"> ולפיה </w:t>
      </w:r>
      <w:r w:rsidR="0006408D" w:rsidRPr="00A829FE">
        <w:rPr>
          <w:rFonts w:hint="cs"/>
          <w:rtl/>
        </w:rPr>
        <w:t>מאגר יהיה מחויב באספקת שיעור מסוים מהגז הטבעי למשק הישראלי</w:t>
      </w:r>
      <w:r>
        <w:rPr>
          <w:rFonts w:hint="cs"/>
          <w:rtl/>
        </w:rPr>
        <w:t>. השיעור ייקבע</w:t>
      </w:r>
      <w:r w:rsidR="0006408D" w:rsidRPr="00A829FE">
        <w:rPr>
          <w:rFonts w:hint="cs"/>
          <w:rtl/>
        </w:rPr>
        <w:t xml:space="preserve"> על ידי הממונה על הנפט (</w:t>
      </w:r>
      <w:r w:rsidR="0006408D" w:rsidRPr="005649BF">
        <w:rPr>
          <w:rFonts w:hint="cs"/>
          <w:rtl/>
        </w:rPr>
        <w:t xml:space="preserve">במשרד </w:t>
      </w:r>
      <w:r w:rsidR="005649BF">
        <w:rPr>
          <w:rFonts w:hint="cs"/>
          <w:rtl/>
        </w:rPr>
        <w:t>התשתיות הלאומיות, האנרגיה והמים</w:t>
      </w:r>
      <w:r>
        <w:rPr>
          <w:rFonts w:hint="cs"/>
          <w:rtl/>
        </w:rPr>
        <w:t>) ויעמוד</w:t>
      </w:r>
      <w:r w:rsidR="00EC1DB3" w:rsidRPr="00A829FE">
        <w:rPr>
          <w:rFonts w:hint="cs"/>
          <w:rtl/>
        </w:rPr>
        <w:t xml:space="preserve"> 0%-50%</w:t>
      </w:r>
      <w:r>
        <w:rPr>
          <w:rFonts w:hint="cs"/>
          <w:rtl/>
        </w:rPr>
        <w:t>, בהתאם לגודל המאגר</w:t>
      </w:r>
      <w:r w:rsidR="00FC5201">
        <w:rPr>
          <w:rStyle w:val="a9"/>
          <w:rtl/>
        </w:rPr>
        <w:footnoteReference w:id="8"/>
      </w:r>
      <w:r w:rsidR="00EC1DB3" w:rsidRPr="00A829FE">
        <w:rPr>
          <w:rFonts w:hint="cs"/>
          <w:rtl/>
        </w:rPr>
        <w:t xml:space="preserve">). </w:t>
      </w:r>
    </w:p>
    <w:p w:rsidR="00EF33DE" w:rsidRDefault="003078DF" w:rsidP="00063A00">
      <w:pPr>
        <w:pStyle w:val="p000"/>
        <w:numPr>
          <w:ilvl w:val="0"/>
          <w:numId w:val="39"/>
        </w:numPr>
        <w:tabs>
          <w:tab w:val="left" w:pos="624"/>
          <w:tab w:val="left" w:pos="1021"/>
          <w:tab w:val="left" w:pos="1474"/>
          <w:tab w:val="left" w:pos="1928"/>
          <w:tab w:val="left" w:pos="2381"/>
          <w:tab w:val="right" w:leader="dot" w:pos="6259"/>
          <w:tab w:val="left" w:pos="8306"/>
        </w:tabs>
        <w:bidi/>
        <w:spacing w:before="0" w:beforeAutospacing="0" w:after="120" w:afterAutospacing="0" w:line="360" w:lineRule="auto"/>
        <w:ind w:left="357" w:hanging="357"/>
        <w:jc w:val="both"/>
      </w:pPr>
      <w:r>
        <w:rPr>
          <w:rFonts w:hint="cs"/>
          <w:rtl/>
        </w:rPr>
        <w:t xml:space="preserve">ההמלצה השנייה </w:t>
      </w:r>
      <w:r w:rsidR="00EF33DE">
        <w:rPr>
          <w:rFonts w:hint="cs"/>
          <w:rtl/>
        </w:rPr>
        <w:t xml:space="preserve"> </w:t>
      </w:r>
      <w:r>
        <w:rPr>
          <w:rFonts w:hint="cs"/>
          <w:rtl/>
        </w:rPr>
        <w:t xml:space="preserve">עניינה </w:t>
      </w:r>
      <w:r w:rsidR="00EF33DE" w:rsidRPr="003078DF">
        <w:rPr>
          <w:rFonts w:hint="cs"/>
          <w:b/>
          <w:bCs/>
          <w:rtl/>
        </w:rPr>
        <w:t>שיתוף פעולה בין הספקים לעניין יצוא הגז</w:t>
      </w:r>
      <w:r>
        <w:rPr>
          <w:rFonts w:hint="cs"/>
          <w:b/>
          <w:bCs/>
          <w:rtl/>
        </w:rPr>
        <w:t>.</w:t>
      </w:r>
      <w:r w:rsidR="00EF33DE">
        <w:rPr>
          <w:rFonts w:hint="cs"/>
          <w:rtl/>
        </w:rPr>
        <w:t xml:space="preserve"> הוועדה סברה ששיתוף פעולה בהשקעה, בהקמה ובהפעלה משותפת של תשתיות ומתקנים המיועדים לייצוא גז טבעי הוא רצוי ולעתים אף הכרחי.</w:t>
      </w:r>
    </w:p>
    <w:p w:rsidR="001838DA" w:rsidRDefault="00EF33DE" w:rsidP="00063A00">
      <w:pPr>
        <w:pStyle w:val="p000"/>
        <w:numPr>
          <w:ilvl w:val="0"/>
          <w:numId w:val="39"/>
        </w:numPr>
        <w:tabs>
          <w:tab w:val="left" w:pos="624"/>
          <w:tab w:val="left" w:pos="1021"/>
          <w:tab w:val="left" w:pos="1474"/>
          <w:tab w:val="left" w:pos="1928"/>
          <w:tab w:val="left" w:pos="2381"/>
          <w:tab w:val="right" w:leader="dot" w:pos="6259"/>
          <w:tab w:val="left" w:pos="8306"/>
        </w:tabs>
        <w:bidi/>
        <w:spacing w:before="0" w:beforeAutospacing="0" w:after="120" w:afterAutospacing="0" w:line="360" w:lineRule="auto"/>
        <w:ind w:left="357" w:hanging="357"/>
        <w:jc w:val="both"/>
      </w:pPr>
      <w:r>
        <w:rPr>
          <w:rFonts w:hint="cs"/>
          <w:rtl/>
        </w:rPr>
        <w:t>ה</w:t>
      </w:r>
      <w:r w:rsidR="003078DF">
        <w:rPr>
          <w:rFonts w:hint="cs"/>
          <w:rtl/>
        </w:rPr>
        <w:t xml:space="preserve">המלצה השלישית עניינה </w:t>
      </w:r>
      <w:r w:rsidR="003078DF" w:rsidRPr="003078DF">
        <w:rPr>
          <w:rFonts w:hint="cs"/>
          <w:b/>
          <w:bCs/>
          <w:rtl/>
        </w:rPr>
        <w:t>ה</w:t>
      </w:r>
      <w:r w:rsidRPr="003078DF">
        <w:rPr>
          <w:rFonts w:hint="cs"/>
          <w:b/>
          <w:bCs/>
          <w:rtl/>
        </w:rPr>
        <w:t>תחרות</w:t>
      </w:r>
      <w:r>
        <w:rPr>
          <w:rFonts w:hint="cs"/>
          <w:rtl/>
        </w:rPr>
        <w:t xml:space="preserve"> – הוועדה המליצה שהגורמים האמונים על התחרות במשק ישקלו הוראות רגולטוריות למכר בנפרד במשק הגז הטבעי תוך תשומת לב לניסיון הבינלאומי ולהשפעות של המהלך על משק הגז הטבעי. ועדת צמח סברה שתחרות בין ספקים עצמאיים ללא אינטרסים משותפים עדיפה על מכר בנפרד, אך היא ציינה שגם מכר בנפרד עדיף על מכירה משותפת של השותפים בשדה, כפי שהדבר מתבצע כיום.</w:t>
      </w:r>
    </w:p>
    <w:p w:rsidR="00767B22" w:rsidRPr="001838DA" w:rsidRDefault="0068570E" w:rsidP="00063A00">
      <w:pPr>
        <w:pStyle w:val="p000"/>
        <w:numPr>
          <w:ilvl w:val="0"/>
          <w:numId w:val="39"/>
        </w:numPr>
        <w:tabs>
          <w:tab w:val="left" w:pos="624"/>
          <w:tab w:val="left" w:pos="1021"/>
          <w:tab w:val="left" w:pos="1474"/>
          <w:tab w:val="left" w:pos="1928"/>
          <w:tab w:val="left" w:pos="2381"/>
          <w:tab w:val="right" w:leader="dot" w:pos="6259"/>
          <w:tab w:val="left" w:pos="8306"/>
        </w:tabs>
        <w:bidi/>
        <w:spacing w:before="0" w:beforeAutospacing="0" w:after="120" w:afterAutospacing="0" w:line="360" w:lineRule="auto"/>
        <w:ind w:left="340" w:hanging="340"/>
        <w:jc w:val="both"/>
      </w:pPr>
      <w:r w:rsidRPr="001838DA">
        <w:rPr>
          <w:rFonts w:hint="cs"/>
          <w:rtl/>
        </w:rPr>
        <w:t>הוועדה סברה שהמלצותיה יביאו לכך</w:t>
      </w:r>
      <w:r w:rsidRPr="001838DA">
        <w:rPr>
          <w:rFonts w:hint="cs"/>
          <w:b/>
          <w:bCs/>
          <w:rtl/>
        </w:rPr>
        <w:t xml:space="preserve"> </w:t>
      </w:r>
      <w:r w:rsidRPr="001838DA">
        <w:rPr>
          <w:rFonts w:hint="cs"/>
          <w:rtl/>
        </w:rPr>
        <w:t>שתהיה</w:t>
      </w:r>
      <w:r w:rsidRPr="001838DA">
        <w:rPr>
          <w:rFonts w:hint="cs"/>
          <w:b/>
          <w:bCs/>
          <w:rtl/>
        </w:rPr>
        <w:t xml:space="preserve"> </w:t>
      </w:r>
      <w:r w:rsidR="004E78B4" w:rsidRPr="001838DA">
        <w:rPr>
          <w:rFonts w:hint="cs"/>
          <w:rtl/>
        </w:rPr>
        <w:t xml:space="preserve">עדיפות מוחלטת לאספקת גז טבעי </w:t>
      </w:r>
      <w:r w:rsidR="00D9561D" w:rsidRPr="001838DA">
        <w:rPr>
          <w:rFonts w:hint="cs"/>
          <w:rtl/>
        </w:rPr>
        <w:t>ל</w:t>
      </w:r>
      <w:r w:rsidR="004E78B4" w:rsidRPr="001838DA">
        <w:rPr>
          <w:rFonts w:hint="cs"/>
          <w:rtl/>
        </w:rPr>
        <w:t xml:space="preserve">משק </w:t>
      </w:r>
      <w:r w:rsidR="00462486" w:rsidRPr="001838DA">
        <w:rPr>
          <w:rFonts w:hint="cs"/>
          <w:rtl/>
        </w:rPr>
        <w:t>הישראלי.</w:t>
      </w:r>
      <w:r w:rsidR="00DD3018" w:rsidRPr="001838DA">
        <w:rPr>
          <w:rFonts w:hint="cs"/>
          <w:rtl/>
        </w:rPr>
        <w:t xml:space="preserve"> </w:t>
      </w:r>
      <w:r w:rsidR="00462486" w:rsidRPr="001838DA">
        <w:rPr>
          <w:rFonts w:hint="cs"/>
          <w:rtl/>
        </w:rPr>
        <w:t>אף על פי כן, בביקורת על המלצותיה נטען כי ההחלטה על הייצוא לא מבוססת על עובדות מוחלטות שכן</w:t>
      </w:r>
      <w:r w:rsidR="00BA3C90" w:rsidRPr="001838DA">
        <w:rPr>
          <w:rFonts w:hint="cs"/>
          <w:rtl/>
        </w:rPr>
        <w:t xml:space="preserve"> </w:t>
      </w:r>
      <w:r w:rsidR="005C0C6E" w:rsidRPr="001838DA">
        <w:rPr>
          <w:rFonts w:hint="cs"/>
          <w:rtl/>
        </w:rPr>
        <w:t xml:space="preserve">לא ידועה </w:t>
      </w:r>
      <w:r w:rsidR="00BA3C90" w:rsidRPr="001838DA">
        <w:rPr>
          <w:rFonts w:hint="cs"/>
          <w:rtl/>
        </w:rPr>
        <w:t>כ</w:t>
      </w:r>
      <w:r w:rsidR="005C0C6E" w:rsidRPr="001838DA">
        <w:rPr>
          <w:rFonts w:hint="cs"/>
          <w:rtl/>
        </w:rPr>
        <w:t>מות הגז הכוללת שבידי ישראל</w:t>
      </w:r>
      <w:r w:rsidR="00462486" w:rsidRPr="001838DA">
        <w:rPr>
          <w:rFonts w:hint="cs"/>
          <w:rtl/>
        </w:rPr>
        <w:t>, ו</w:t>
      </w:r>
      <w:r w:rsidR="005C0C6E" w:rsidRPr="001838DA">
        <w:rPr>
          <w:rFonts w:hint="cs"/>
          <w:rtl/>
        </w:rPr>
        <w:t xml:space="preserve">אין מידע מתי יהיו פריצות דרך טכנולוגיות </w:t>
      </w:r>
      <w:r w:rsidR="00462486" w:rsidRPr="001838DA">
        <w:rPr>
          <w:rFonts w:hint="cs"/>
          <w:rtl/>
        </w:rPr>
        <w:t xml:space="preserve">לגבי תחליפים </w:t>
      </w:r>
      <w:r w:rsidR="00BA3C90" w:rsidRPr="001838DA">
        <w:rPr>
          <w:rFonts w:hint="cs"/>
          <w:rtl/>
        </w:rPr>
        <w:t>לגז</w:t>
      </w:r>
      <w:r w:rsidR="00462486">
        <w:rPr>
          <w:rStyle w:val="a9"/>
          <w:rtl/>
        </w:rPr>
        <w:footnoteReference w:id="9"/>
      </w:r>
      <w:r w:rsidR="003078DF" w:rsidRPr="001838DA">
        <w:rPr>
          <w:rFonts w:hint="cs"/>
          <w:rtl/>
        </w:rPr>
        <w:t>.</w:t>
      </w:r>
      <w:r w:rsidR="00BA3C90" w:rsidRPr="001838DA">
        <w:rPr>
          <w:rFonts w:hint="cs"/>
          <w:rtl/>
        </w:rPr>
        <w:t xml:space="preserve"> </w:t>
      </w:r>
    </w:p>
    <w:p w:rsidR="0006408D" w:rsidRPr="00767B22" w:rsidRDefault="001838DA" w:rsidP="00063A00">
      <w:pPr>
        <w:pStyle w:val="a7"/>
        <w:numPr>
          <w:ilvl w:val="0"/>
          <w:numId w:val="39"/>
        </w:numPr>
        <w:spacing w:after="120" w:line="360" w:lineRule="auto"/>
        <w:ind w:left="340" w:hanging="340"/>
        <w:jc w:val="both"/>
      </w:pPr>
      <w:r w:rsidRPr="0000616C">
        <w:rPr>
          <w:rFonts w:hint="cs"/>
          <w:b/>
          <w:bCs/>
          <w:rtl/>
        </w:rPr>
        <w:t xml:space="preserve">ביוני 2013 </w:t>
      </w:r>
      <w:r w:rsidR="001245A9" w:rsidRPr="00767B22">
        <w:rPr>
          <w:rFonts w:hint="cs"/>
          <w:rtl/>
        </w:rPr>
        <w:t>ה</w:t>
      </w:r>
      <w:r w:rsidR="0006408D" w:rsidRPr="00767B22">
        <w:rPr>
          <w:rFonts w:hint="cs"/>
          <w:rtl/>
        </w:rPr>
        <w:t>ממשלה</w:t>
      </w:r>
      <w:r w:rsidR="001245A9" w:rsidRPr="00767B22">
        <w:rPr>
          <w:rFonts w:hint="cs"/>
          <w:rtl/>
        </w:rPr>
        <w:t xml:space="preserve"> אימצה את עיקרי המלצות ועדת צמח</w:t>
      </w:r>
      <w:r w:rsidR="0006408D" w:rsidRPr="00767B22">
        <w:rPr>
          <w:rFonts w:hint="cs"/>
          <w:rtl/>
        </w:rPr>
        <w:t>.</w:t>
      </w:r>
      <w:r w:rsidR="0006408D">
        <w:rPr>
          <w:rStyle w:val="a9"/>
          <w:rtl/>
        </w:rPr>
        <w:footnoteReference w:id="10"/>
      </w:r>
    </w:p>
    <w:p w:rsidR="0086084F" w:rsidRPr="0000616C" w:rsidRDefault="001838DA" w:rsidP="00063A00">
      <w:pPr>
        <w:pStyle w:val="a7"/>
        <w:numPr>
          <w:ilvl w:val="0"/>
          <w:numId w:val="39"/>
        </w:numPr>
        <w:spacing w:after="120" w:line="360" w:lineRule="auto"/>
        <w:ind w:left="340" w:hanging="340"/>
        <w:jc w:val="both"/>
        <w:rPr>
          <w:b/>
          <w:bCs/>
          <w:i/>
          <w:iCs/>
          <w:sz w:val="22"/>
          <w:szCs w:val="22"/>
        </w:rPr>
      </w:pPr>
      <w:r w:rsidRPr="0000616C">
        <w:rPr>
          <w:rFonts w:hint="cs"/>
          <w:b/>
          <w:bCs/>
          <w:rtl/>
        </w:rPr>
        <w:t>בנובמבר 2012</w:t>
      </w:r>
      <w:r w:rsidR="0006408D" w:rsidRPr="0000616C">
        <w:rPr>
          <w:rFonts w:hint="cs"/>
          <w:b/>
          <w:bCs/>
          <w:rtl/>
        </w:rPr>
        <w:t xml:space="preserve"> </w:t>
      </w:r>
      <w:r w:rsidR="0006408D" w:rsidRPr="00CF77E4">
        <w:rPr>
          <w:rFonts w:hint="cs"/>
          <w:rtl/>
        </w:rPr>
        <w:t xml:space="preserve">הכריז הממונה על הרשות להגבלים עסקיים על </w:t>
      </w:r>
      <w:r w:rsidR="00325E90" w:rsidRPr="0000616C">
        <w:rPr>
          <w:rFonts w:hint="cs"/>
          <w:b/>
          <w:bCs/>
          <w:u w:val="single"/>
          <w:rtl/>
        </w:rPr>
        <w:t>מונופולין</w:t>
      </w:r>
      <w:r w:rsidR="00325E90" w:rsidRPr="0000616C">
        <w:rPr>
          <w:rFonts w:hint="cs"/>
          <w:b/>
          <w:bCs/>
          <w:rtl/>
        </w:rPr>
        <w:t xml:space="preserve"> </w:t>
      </w:r>
      <w:r w:rsidR="00325E90">
        <w:rPr>
          <w:rFonts w:hint="cs"/>
          <w:rtl/>
        </w:rPr>
        <w:t xml:space="preserve">של </w:t>
      </w:r>
      <w:r w:rsidR="0006408D" w:rsidRPr="00CF77E4">
        <w:rPr>
          <w:rFonts w:hint="cs"/>
          <w:rtl/>
        </w:rPr>
        <w:t xml:space="preserve">דלק קידוחים יחד עם אבנר חיפושי נפט וגז, נובל </w:t>
      </w:r>
      <w:proofErr w:type="spellStart"/>
      <w:r w:rsidR="0006408D" w:rsidRPr="00CF77E4">
        <w:rPr>
          <w:rFonts w:hint="cs"/>
          <w:rtl/>
        </w:rPr>
        <w:t>אנרג'י</w:t>
      </w:r>
      <w:proofErr w:type="spellEnd"/>
      <w:r w:rsidR="0006408D" w:rsidRPr="00CF77E4">
        <w:rPr>
          <w:rFonts w:hint="cs"/>
          <w:rtl/>
        </w:rPr>
        <w:t xml:space="preserve">, </w:t>
      </w:r>
      <w:proofErr w:type="spellStart"/>
      <w:r w:rsidR="0006408D" w:rsidRPr="00CF77E4">
        <w:rPr>
          <w:rFonts w:hint="cs"/>
          <w:rtl/>
        </w:rPr>
        <w:t>ישראמקו</w:t>
      </w:r>
      <w:proofErr w:type="spellEnd"/>
      <w:r w:rsidR="0006408D" w:rsidRPr="00CF77E4">
        <w:rPr>
          <w:rFonts w:hint="cs"/>
          <w:rtl/>
        </w:rPr>
        <w:t xml:space="preserve"> נגב 2 ודור חיפושי גז</w:t>
      </w:r>
      <w:r w:rsidR="0006408D" w:rsidRPr="00CF77E4">
        <w:rPr>
          <w:rtl/>
        </w:rPr>
        <w:t>–</w:t>
      </w:r>
      <w:r w:rsidR="0006408D" w:rsidRPr="00CF77E4">
        <w:rPr>
          <w:rFonts w:hint="cs"/>
          <w:rtl/>
        </w:rPr>
        <w:t xml:space="preserve">באספקת גז טבעי לישראל החל מהמחצית </w:t>
      </w:r>
      <w:proofErr w:type="spellStart"/>
      <w:r w:rsidR="0006408D" w:rsidRPr="00CF77E4">
        <w:rPr>
          <w:rFonts w:hint="cs"/>
          <w:rtl/>
        </w:rPr>
        <w:t>השניה</w:t>
      </w:r>
      <w:proofErr w:type="spellEnd"/>
      <w:r w:rsidR="0006408D" w:rsidRPr="00CF77E4">
        <w:rPr>
          <w:rFonts w:hint="cs"/>
          <w:rtl/>
        </w:rPr>
        <w:t xml:space="preserve"> של 2013</w:t>
      </w:r>
      <w:r w:rsidR="0006408D">
        <w:rPr>
          <w:rFonts w:hint="cs"/>
          <w:rtl/>
        </w:rPr>
        <w:t>,</w:t>
      </w:r>
      <w:r w:rsidR="0006408D" w:rsidRPr="00CF77E4">
        <w:rPr>
          <w:rFonts w:hint="cs"/>
          <w:rtl/>
        </w:rPr>
        <w:t xml:space="preserve"> לפי סעיף 26(א) לחוק ההגבלים העסקיים, </w:t>
      </w:r>
      <w:proofErr w:type="spellStart"/>
      <w:r w:rsidR="0006408D" w:rsidRPr="00CF77E4">
        <w:rPr>
          <w:rFonts w:hint="cs"/>
          <w:rtl/>
        </w:rPr>
        <w:t>התשמ"ח</w:t>
      </w:r>
      <w:proofErr w:type="spellEnd"/>
      <w:r w:rsidR="0006408D" w:rsidRPr="00CF77E4">
        <w:rPr>
          <w:rFonts w:hint="cs"/>
          <w:rtl/>
        </w:rPr>
        <w:t>–1988</w:t>
      </w:r>
      <w:r w:rsidR="003078DF">
        <w:rPr>
          <w:rFonts w:hint="cs"/>
          <w:rtl/>
        </w:rPr>
        <w:t xml:space="preserve"> (להלן: "ההכרזה"</w:t>
      </w:r>
      <w:r w:rsidR="009A768A">
        <w:rPr>
          <w:rFonts w:hint="cs"/>
          <w:rtl/>
        </w:rPr>
        <w:t xml:space="preserve"> ו"חוק ההגבלים" בהתאמה</w:t>
      </w:r>
      <w:r w:rsidR="003078DF">
        <w:rPr>
          <w:rFonts w:hint="cs"/>
          <w:rtl/>
        </w:rPr>
        <w:t>)</w:t>
      </w:r>
      <w:r w:rsidR="0006408D" w:rsidRPr="00FE2287">
        <w:rPr>
          <w:rStyle w:val="a9"/>
          <w:sz w:val="22"/>
          <w:szCs w:val="22"/>
        </w:rPr>
        <w:footnoteReference w:id="11"/>
      </w:r>
      <w:r w:rsidR="003078DF">
        <w:rPr>
          <w:rFonts w:hint="cs"/>
          <w:rtl/>
        </w:rPr>
        <w:t>.</w:t>
      </w:r>
      <w:r w:rsidR="00147FDC">
        <w:rPr>
          <w:rFonts w:hint="cs"/>
          <w:rtl/>
        </w:rPr>
        <w:t xml:space="preserve"> </w:t>
      </w:r>
    </w:p>
    <w:p w:rsidR="0095052F" w:rsidRDefault="0086084F" w:rsidP="00063A00">
      <w:pPr>
        <w:pStyle w:val="a7"/>
        <w:numPr>
          <w:ilvl w:val="0"/>
          <w:numId w:val="39"/>
        </w:numPr>
        <w:spacing w:after="120" w:line="360" w:lineRule="auto"/>
        <w:ind w:left="340" w:hanging="340"/>
        <w:jc w:val="both"/>
      </w:pPr>
      <w:r w:rsidRPr="0000616C">
        <w:rPr>
          <w:rFonts w:hint="cs"/>
          <w:u w:val="single"/>
          <w:rtl/>
        </w:rPr>
        <w:t xml:space="preserve">מונופולין </w:t>
      </w:r>
      <w:r w:rsidR="00325E90" w:rsidRPr="0000616C">
        <w:rPr>
          <w:rFonts w:hint="cs"/>
          <w:u w:val="single"/>
          <w:rtl/>
        </w:rPr>
        <w:t>לפי חוק ההגבלים</w:t>
      </w:r>
      <w:r w:rsidR="00325E90">
        <w:rPr>
          <w:rFonts w:hint="cs"/>
          <w:rtl/>
        </w:rPr>
        <w:t xml:space="preserve"> הוא </w:t>
      </w:r>
      <w:r w:rsidRPr="0086084F">
        <w:rPr>
          <w:rFonts w:hint="cs"/>
          <w:rtl/>
        </w:rPr>
        <w:t>ריכוז של יותר ממחצית מכלל אספקת נכסים או מכלל רכיש</w:t>
      </w:r>
      <w:r w:rsidRPr="0086084F">
        <w:rPr>
          <w:rtl/>
        </w:rPr>
        <w:t>תם</w:t>
      </w:r>
      <w:r w:rsidRPr="0086084F">
        <w:rPr>
          <w:rFonts w:hint="cs"/>
          <w:rtl/>
        </w:rPr>
        <w:t>, או של יותר ממחצית מכלל מתן שירותים, או מכלל רכישתם, בידיו של אדם אחד (סעיף 26(א)</w:t>
      </w:r>
      <w:r w:rsidR="009A768A">
        <w:rPr>
          <w:rFonts w:hint="cs"/>
          <w:rtl/>
        </w:rPr>
        <w:t xml:space="preserve"> לחוק ההגבלים</w:t>
      </w:r>
      <w:r w:rsidRPr="0086084F">
        <w:rPr>
          <w:rFonts w:hint="cs"/>
          <w:rtl/>
        </w:rPr>
        <w:t>)</w:t>
      </w:r>
      <w:r w:rsidR="006D1B0F">
        <w:rPr>
          <w:rFonts w:hint="cs"/>
          <w:rtl/>
        </w:rPr>
        <w:t>.</w:t>
      </w:r>
    </w:p>
    <w:p w:rsidR="0095052F" w:rsidRPr="001A3A00" w:rsidRDefault="0095052F" w:rsidP="00063A00">
      <w:pPr>
        <w:pStyle w:val="a7"/>
        <w:numPr>
          <w:ilvl w:val="0"/>
          <w:numId w:val="39"/>
        </w:numPr>
        <w:spacing w:after="120" w:line="360" w:lineRule="auto"/>
        <w:ind w:left="340" w:hanging="340"/>
        <w:jc w:val="both"/>
      </w:pPr>
      <w:r w:rsidRPr="0095052F">
        <w:rPr>
          <w:rFonts w:hint="cs"/>
          <w:rtl/>
        </w:rPr>
        <w:t>הממונה על ההגבלים העסקיים</w:t>
      </w:r>
      <w:r w:rsidR="001838DA">
        <w:rPr>
          <w:rFonts w:hint="cs"/>
          <w:rtl/>
        </w:rPr>
        <w:t xml:space="preserve"> מצא כי</w:t>
      </w:r>
      <w:r w:rsidRPr="0095052F">
        <w:rPr>
          <w:rFonts w:hint="cs"/>
          <w:rtl/>
        </w:rPr>
        <w:t xml:space="preserve"> יש לראות במחזיקות במאגר תמר כחבר בני אדם לצורך ההכרזה עליהן כבעל מונופולין, וזאת מכיוון שכל פעילות ההפקה והפיתוח וכן </w:t>
      </w:r>
      <w:r w:rsidRPr="001A3A00">
        <w:rPr>
          <w:rFonts w:hint="cs"/>
          <w:rtl/>
        </w:rPr>
        <w:t>מכירת הגז הטבעי מן המאגר נעשית במשותף על ידי כל המחזיקות, החתו</w:t>
      </w:r>
      <w:r w:rsidR="001A3A00" w:rsidRPr="001A3A00">
        <w:rPr>
          <w:rFonts w:hint="cs"/>
          <w:rtl/>
        </w:rPr>
        <w:t>מות כולן יחד על הסכמי מכירת הגז</w:t>
      </w:r>
      <w:r w:rsidRPr="001A3A00">
        <w:rPr>
          <w:rStyle w:val="a9"/>
          <w:rtl/>
        </w:rPr>
        <w:footnoteReference w:id="12"/>
      </w:r>
      <w:r w:rsidR="001A3A00" w:rsidRPr="001A3A00">
        <w:rPr>
          <w:rFonts w:hint="cs"/>
          <w:rtl/>
        </w:rPr>
        <w:t>.</w:t>
      </w:r>
      <w:r w:rsidRPr="001A3A00">
        <w:rPr>
          <w:rFonts w:hint="cs"/>
          <w:rtl/>
        </w:rPr>
        <w:t xml:space="preserve"> </w:t>
      </w:r>
    </w:p>
    <w:p w:rsidR="0095052F" w:rsidRPr="001A3A00" w:rsidRDefault="001838DA" w:rsidP="00063A00">
      <w:pPr>
        <w:pStyle w:val="a7"/>
        <w:numPr>
          <w:ilvl w:val="0"/>
          <w:numId w:val="39"/>
        </w:numPr>
        <w:spacing w:after="120" w:line="360" w:lineRule="auto"/>
        <w:ind w:left="340" w:hanging="340"/>
        <w:jc w:val="both"/>
      </w:pPr>
      <w:r>
        <w:rPr>
          <w:rFonts w:hint="cs"/>
          <w:rtl/>
        </w:rPr>
        <w:t xml:space="preserve">כמו כן סבר </w:t>
      </w:r>
      <w:r w:rsidR="0095052F" w:rsidRPr="001A3A00">
        <w:rPr>
          <w:rFonts w:hint="cs"/>
          <w:rtl/>
        </w:rPr>
        <w:t>הממונה, בחינת הפעילות המשותפת של המחזיקות במאגר מעלה כי כל אחת מהן היא מונופול לחוד, ולא רק יחד, וזאת ממספר סיבות</w:t>
      </w:r>
      <w:r w:rsidR="001A3A00" w:rsidRPr="001A3A00">
        <w:rPr>
          <w:rFonts w:hint="cs"/>
          <w:rtl/>
        </w:rPr>
        <w:t xml:space="preserve"> שפורטו בהכרזתו</w:t>
      </w:r>
      <w:r w:rsidR="0095052F" w:rsidRPr="001A3A00">
        <w:rPr>
          <w:rStyle w:val="a9"/>
          <w:rtl/>
        </w:rPr>
        <w:footnoteReference w:id="13"/>
      </w:r>
      <w:r w:rsidR="001A3A00" w:rsidRPr="001A3A00">
        <w:rPr>
          <w:rFonts w:hint="cs"/>
          <w:rtl/>
        </w:rPr>
        <w:t>.</w:t>
      </w:r>
    </w:p>
    <w:p w:rsidR="001A3A00" w:rsidRDefault="00B3064F" w:rsidP="00063A00">
      <w:pPr>
        <w:pStyle w:val="a7"/>
        <w:numPr>
          <w:ilvl w:val="0"/>
          <w:numId w:val="39"/>
        </w:numPr>
        <w:spacing w:after="120" w:line="360" w:lineRule="auto"/>
        <w:ind w:left="340" w:hanging="340"/>
        <w:jc w:val="both"/>
      </w:pPr>
      <w:r w:rsidRPr="0000616C">
        <w:rPr>
          <w:rFonts w:hint="cs"/>
          <w:b/>
          <w:bCs/>
          <w:rtl/>
        </w:rPr>
        <w:t xml:space="preserve">המשמעויות </w:t>
      </w:r>
      <w:r w:rsidR="001838DA" w:rsidRPr="0000616C">
        <w:rPr>
          <w:rFonts w:hint="cs"/>
          <w:b/>
          <w:bCs/>
          <w:rtl/>
        </w:rPr>
        <w:t xml:space="preserve">של </w:t>
      </w:r>
      <w:r w:rsidRPr="0000616C">
        <w:rPr>
          <w:rFonts w:hint="cs"/>
          <w:b/>
          <w:bCs/>
          <w:rtl/>
        </w:rPr>
        <w:t>הכרזה על מונופול</w:t>
      </w:r>
      <w:r>
        <w:rPr>
          <w:rFonts w:hint="cs"/>
          <w:rtl/>
        </w:rPr>
        <w:t xml:space="preserve">: </w:t>
      </w:r>
    </w:p>
    <w:p w:rsidR="001A3A00" w:rsidRDefault="00060385" w:rsidP="00060385">
      <w:pPr>
        <w:pStyle w:val="a7"/>
        <w:spacing w:after="120" w:line="360" w:lineRule="auto"/>
        <w:ind w:left="340"/>
        <w:jc w:val="both"/>
        <w:rPr>
          <w:rtl/>
        </w:rPr>
      </w:pPr>
      <w:r>
        <w:rPr>
          <w:rFonts w:hint="cs"/>
          <w:rtl/>
        </w:rPr>
        <w:t xml:space="preserve">א. </w:t>
      </w:r>
      <w:r w:rsidR="00B3064F" w:rsidRPr="00B3064F">
        <w:rPr>
          <w:rFonts w:hint="cs"/>
          <w:rtl/>
        </w:rPr>
        <w:t xml:space="preserve">אסור לבעל המונופול לנצל את מעמדו לרעה בשוק באופן העלול להפחית את התחרות בעסקים </w:t>
      </w:r>
      <w:r w:rsidR="001A3A00">
        <w:rPr>
          <w:rFonts w:hint="cs"/>
          <w:rtl/>
        </w:rPr>
        <w:t>או לפגוע בציבור (סעיף 29א לחוק)</w:t>
      </w:r>
      <w:r w:rsidR="00B3064F" w:rsidRPr="00122D1F">
        <w:rPr>
          <w:rStyle w:val="a9"/>
          <w:sz w:val="22"/>
          <w:szCs w:val="22"/>
        </w:rPr>
        <w:footnoteReference w:id="14"/>
      </w:r>
      <w:r w:rsidR="009A768A">
        <w:rPr>
          <w:rFonts w:hint="cs"/>
          <w:rtl/>
        </w:rPr>
        <w:t>;</w:t>
      </w:r>
    </w:p>
    <w:p w:rsidR="001A3A00" w:rsidRDefault="00060385" w:rsidP="00060385">
      <w:pPr>
        <w:pStyle w:val="a7"/>
        <w:spacing w:after="120" w:line="360" w:lineRule="auto"/>
        <w:ind w:left="340"/>
        <w:jc w:val="both"/>
        <w:rPr>
          <w:rtl/>
        </w:rPr>
      </w:pPr>
      <w:r>
        <w:rPr>
          <w:rFonts w:hint="cs"/>
          <w:rtl/>
        </w:rPr>
        <w:t xml:space="preserve">ב. </w:t>
      </w:r>
      <w:r w:rsidR="00B3064F" w:rsidRPr="00B3064F">
        <w:rPr>
          <w:rFonts w:hint="cs"/>
          <w:rtl/>
        </w:rPr>
        <w:t>במצב שבו נפגעת התחרות בעסקים או בציבור הממונה רשאי לתת הוראות שעל בעל המונופול לנקוט כדי ל</w:t>
      </w:r>
      <w:r w:rsidR="001A3A00">
        <w:rPr>
          <w:rFonts w:hint="cs"/>
          <w:rtl/>
        </w:rPr>
        <w:t>מנוע את הפגיעה (סעיף 30 לחוק)</w:t>
      </w:r>
      <w:r w:rsidR="00B3064F">
        <w:rPr>
          <w:rStyle w:val="a9"/>
          <w:rtl/>
        </w:rPr>
        <w:footnoteReference w:id="15"/>
      </w:r>
      <w:r w:rsidR="009A768A">
        <w:rPr>
          <w:rFonts w:hint="cs"/>
          <w:rtl/>
        </w:rPr>
        <w:t>;</w:t>
      </w:r>
    </w:p>
    <w:p w:rsidR="0086084F" w:rsidRPr="00B3064F" w:rsidRDefault="00060385" w:rsidP="00060385">
      <w:pPr>
        <w:pStyle w:val="a7"/>
        <w:spacing w:after="120" w:line="360" w:lineRule="auto"/>
        <w:ind w:left="340"/>
        <w:jc w:val="both"/>
        <w:rPr>
          <w:rtl/>
        </w:rPr>
      </w:pPr>
      <w:r>
        <w:rPr>
          <w:rFonts w:hint="cs"/>
          <w:rtl/>
        </w:rPr>
        <w:t xml:space="preserve">ג. </w:t>
      </w:r>
      <w:r w:rsidR="00B3064F" w:rsidRPr="00B3064F">
        <w:rPr>
          <w:rFonts w:hint="cs"/>
          <w:rtl/>
        </w:rPr>
        <w:t xml:space="preserve">בית הדין </w:t>
      </w:r>
      <w:r w:rsidR="009A768A">
        <w:rPr>
          <w:rFonts w:hint="cs"/>
          <w:rtl/>
        </w:rPr>
        <w:t xml:space="preserve">להגבלים עסקיים </w:t>
      </w:r>
      <w:r w:rsidR="00B3064F" w:rsidRPr="00B3064F">
        <w:rPr>
          <w:rFonts w:hint="cs"/>
          <w:rtl/>
        </w:rPr>
        <w:t>רשאי, בעקבות פנייה של הממונה, להורות לבעל מונופולין למכור נכס שבידו או לצוות על ה</w:t>
      </w:r>
      <w:r w:rsidR="001A3A00">
        <w:rPr>
          <w:rFonts w:hint="cs"/>
          <w:rtl/>
        </w:rPr>
        <w:t>פרדת המונופולין (סעיף 30א לחוק)</w:t>
      </w:r>
      <w:r w:rsidR="00B3064F" w:rsidRPr="00A3164C">
        <w:rPr>
          <w:rStyle w:val="a9"/>
          <w:sz w:val="20"/>
          <w:szCs w:val="20"/>
        </w:rPr>
        <w:footnoteReference w:id="16"/>
      </w:r>
      <w:r w:rsidR="001A3A00">
        <w:rPr>
          <w:rFonts w:hint="cs"/>
          <w:rtl/>
        </w:rPr>
        <w:t>.</w:t>
      </w:r>
    </w:p>
    <w:p w:rsidR="0006408D" w:rsidRPr="0000616C" w:rsidRDefault="0006408D" w:rsidP="00063A00">
      <w:pPr>
        <w:pStyle w:val="a7"/>
        <w:numPr>
          <w:ilvl w:val="0"/>
          <w:numId w:val="39"/>
        </w:numPr>
        <w:spacing w:after="120" w:line="360" w:lineRule="auto"/>
        <w:ind w:left="340" w:hanging="340"/>
        <w:jc w:val="both"/>
        <w:rPr>
          <w:i/>
          <w:iCs/>
          <w:sz w:val="22"/>
          <w:szCs w:val="22"/>
        </w:rPr>
      </w:pPr>
      <w:r w:rsidRPr="0000616C">
        <w:rPr>
          <w:rFonts w:hint="cs"/>
          <w:b/>
          <w:bCs/>
          <w:rtl/>
        </w:rPr>
        <w:t>באוקטובר 2013</w:t>
      </w:r>
      <w:r>
        <w:rPr>
          <w:rFonts w:hint="cs"/>
          <w:rtl/>
        </w:rPr>
        <w:t xml:space="preserve"> </w:t>
      </w:r>
      <w:r w:rsidRPr="00A653D7">
        <w:rPr>
          <w:rFonts w:hint="cs"/>
          <w:rtl/>
        </w:rPr>
        <w:t xml:space="preserve">פרסם </w:t>
      </w:r>
      <w:r w:rsidRPr="0000616C">
        <w:rPr>
          <w:rFonts w:hint="cs"/>
          <w:b/>
          <w:bCs/>
          <w:rtl/>
        </w:rPr>
        <w:t>מבקר המדינה דוח בנושא</w:t>
      </w:r>
      <w:r w:rsidRPr="0000616C">
        <w:rPr>
          <w:rFonts w:ascii="Calibri" w:eastAsia="Calibri" w:hAnsi="Calibri" w:hint="cs"/>
          <w:b/>
          <w:bCs/>
          <w:rtl/>
        </w:rPr>
        <w:t xml:space="preserve"> </w:t>
      </w:r>
      <w:r w:rsidRPr="0000616C">
        <w:rPr>
          <w:rFonts w:ascii="Calibri" w:eastAsia="Calibri" w:hAnsi="Calibri"/>
          <w:b/>
          <w:bCs/>
          <w:rtl/>
        </w:rPr>
        <w:t>הבטחת אספקת גז טבע</w:t>
      </w:r>
      <w:r w:rsidRPr="0000616C">
        <w:rPr>
          <w:rFonts w:ascii="Calibri" w:eastAsia="Calibri" w:hAnsi="Calibri" w:hint="cs"/>
          <w:b/>
          <w:bCs/>
          <w:rtl/>
        </w:rPr>
        <w:t>י</w:t>
      </w:r>
      <w:r w:rsidRPr="0000616C">
        <w:rPr>
          <w:rFonts w:ascii="Calibri" w:eastAsia="Calibri" w:hAnsi="Calibri" w:hint="cs"/>
          <w:rtl/>
        </w:rPr>
        <w:t>. בין המלצותיו:</w:t>
      </w:r>
    </w:p>
    <w:p w:rsidR="0006408D" w:rsidRPr="00A3164C" w:rsidRDefault="0006408D" w:rsidP="00063A00">
      <w:pPr>
        <w:pStyle w:val="3"/>
        <w:shd w:val="clear" w:color="auto" w:fill="FFFFFF"/>
        <w:spacing w:before="0" w:after="120" w:line="360" w:lineRule="auto"/>
        <w:ind w:left="340"/>
        <w:jc w:val="both"/>
        <w:rPr>
          <w:rFonts w:ascii="Arial" w:hAnsi="Arial"/>
          <w:b w:val="0"/>
          <w:bCs w:val="0"/>
          <w:sz w:val="22"/>
          <w:szCs w:val="22"/>
          <w:highlight w:val="green"/>
          <w:rtl/>
        </w:rPr>
      </w:pPr>
      <w:r w:rsidRPr="002A3302">
        <w:rPr>
          <w:rFonts w:ascii="Calibri" w:eastAsia="Calibri" w:hAnsi="Calibri" w:hint="cs"/>
          <w:b w:val="0"/>
          <w:bCs w:val="0"/>
          <w:i/>
          <w:iCs/>
          <w:sz w:val="22"/>
          <w:szCs w:val="22"/>
          <w:rtl/>
        </w:rPr>
        <w:t>"</w:t>
      </w:r>
      <w:r w:rsidR="00A653D7" w:rsidRPr="002A3302">
        <w:rPr>
          <w:rFonts w:ascii="Calibri" w:eastAsia="Calibri" w:hAnsi="Calibri" w:hint="cs"/>
          <w:b w:val="0"/>
          <w:bCs w:val="0"/>
          <w:i/>
          <w:iCs/>
          <w:sz w:val="22"/>
          <w:szCs w:val="22"/>
          <w:rtl/>
        </w:rPr>
        <w:t>כ</w:t>
      </w:r>
      <w:r w:rsidRPr="002A3302">
        <w:rPr>
          <w:rFonts w:ascii="Calibri" w:eastAsia="Calibri" w:hAnsi="Calibri"/>
          <w:b w:val="0"/>
          <w:bCs w:val="0"/>
          <w:i/>
          <w:iCs/>
          <w:sz w:val="22"/>
          <w:szCs w:val="22"/>
          <w:rtl/>
        </w:rPr>
        <w:t xml:space="preserve">די להבטיח אספקה סדירה של גז למשק, על הממשלה לפעול </w:t>
      </w:r>
      <w:r w:rsidR="00D9251F">
        <w:rPr>
          <w:rFonts w:ascii="Calibri" w:eastAsia="Calibri" w:hAnsi="Calibri"/>
          <w:b w:val="0"/>
          <w:bCs w:val="0"/>
          <w:i/>
          <w:iCs/>
          <w:sz w:val="22"/>
          <w:szCs w:val="22"/>
          <w:rtl/>
        </w:rPr>
        <w:t>בנחישות לגיוון מקורות אספקת הגז</w:t>
      </w:r>
      <w:r w:rsidR="00D9251F">
        <w:rPr>
          <w:rFonts w:ascii="Calibri" w:eastAsia="Calibri" w:hAnsi="Calibri" w:hint="cs"/>
          <w:b w:val="0"/>
          <w:bCs w:val="0"/>
          <w:i/>
          <w:iCs/>
          <w:sz w:val="22"/>
          <w:szCs w:val="22"/>
          <w:rtl/>
        </w:rPr>
        <w:t xml:space="preserve"> </w:t>
      </w:r>
      <w:r w:rsidRPr="002A3302">
        <w:rPr>
          <w:rFonts w:ascii="Calibri" w:eastAsia="Calibri" w:hAnsi="Calibri"/>
          <w:b w:val="0"/>
          <w:bCs w:val="0"/>
          <w:i/>
          <w:iCs/>
          <w:sz w:val="22"/>
          <w:szCs w:val="22"/>
          <w:rtl/>
        </w:rPr>
        <w:t>והאנרגיה בכלל, להגברת התחרות בין הספקים ולהמשך הקמת תשתיות מתאימות. אם ספק גז ינצל לרעה את כוחו המונופוליסטי - עליה להפעיל את הסמכויות הקבועות בחוק ואף לבחון התערבות בקביעת מחיר הגז. על הממשלה לבחון דרכים נוספות על אלה הקיימות לעידוד צרכנים לשימוש בגז טבעי כגון הגברת המודעות הציבורית לנושא וחיזוק ההסדרה הקשורה לשימוש בג</w:t>
      </w:r>
      <w:r w:rsidRPr="002A3302">
        <w:rPr>
          <w:rFonts w:ascii="Calibri" w:eastAsia="Calibri" w:hAnsi="Calibri" w:hint="cs"/>
          <w:b w:val="0"/>
          <w:bCs w:val="0"/>
          <w:i/>
          <w:iCs/>
          <w:sz w:val="22"/>
          <w:szCs w:val="22"/>
          <w:rtl/>
        </w:rPr>
        <w:t>ז</w:t>
      </w:r>
      <w:r w:rsidRPr="002A3302">
        <w:rPr>
          <w:rFonts w:ascii="Calibri" w:eastAsia="Calibri" w:hAnsi="Calibri" w:hint="cs"/>
          <w:b w:val="0"/>
          <w:bCs w:val="0"/>
          <w:sz w:val="22"/>
          <w:szCs w:val="22"/>
          <w:rtl/>
        </w:rPr>
        <w:t>"</w:t>
      </w:r>
      <w:r w:rsidRPr="00A3164C">
        <w:rPr>
          <w:rStyle w:val="a9"/>
          <w:rFonts w:asciiTheme="majorBidi" w:eastAsia="Calibri" w:hAnsiTheme="majorBidi"/>
          <w:b w:val="0"/>
          <w:bCs w:val="0"/>
          <w:i/>
          <w:iCs/>
          <w:sz w:val="20"/>
          <w:szCs w:val="20"/>
        </w:rPr>
        <w:footnoteReference w:id="17"/>
      </w:r>
      <w:r w:rsidR="00A3164C" w:rsidRPr="00A3164C">
        <w:rPr>
          <w:rFonts w:asciiTheme="majorBidi" w:hAnsiTheme="majorBidi" w:hint="cs"/>
          <w:b w:val="0"/>
          <w:bCs w:val="0"/>
          <w:color w:val="2D69A6"/>
          <w:sz w:val="20"/>
          <w:szCs w:val="20"/>
          <w:rtl/>
        </w:rPr>
        <w:t>.</w:t>
      </w:r>
    </w:p>
    <w:p w:rsidR="00A653D7" w:rsidRDefault="00F64E58" w:rsidP="00063A00">
      <w:pPr>
        <w:pStyle w:val="a7"/>
        <w:numPr>
          <w:ilvl w:val="0"/>
          <w:numId w:val="39"/>
        </w:numPr>
        <w:spacing w:after="120" w:line="360" w:lineRule="auto"/>
        <w:ind w:left="340" w:hanging="340"/>
        <w:jc w:val="both"/>
      </w:pPr>
      <w:r>
        <w:rPr>
          <w:rFonts w:hint="cs"/>
          <w:b/>
          <w:bCs/>
          <w:rtl/>
        </w:rPr>
        <w:t>במרץ 2013</w:t>
      </w:r>
      <w:r w:rsidR="0006408D" w:rsidRPr="0000616C">
        <w:rPr>
          <w:rFonts w:hint="cs"/>
          <w:b/>
          <w:bCs/>
          <w:rtl/>
        </w:rPr>
        <w:t xml:space="preserve"> </w:t>
      </w:r>
      <w:r w:rsidR="0006408D">
        <w:rPr>
          <w:rFonts w:hint="cs"/>
          <w:rtl/>
        </w:rPr>
        <w:t xml:space="preserve">פרסם הממונה על הגבלים עסקיים הודעה על כוונה להגיש </w:t>
      </w:r>
      <w:r w:rsidR="0006408D" w:rsidRPr="0000616C">
        <w:rPr>
          <w:rFonts w:hint="cs"/>
          <w:b/>
          <w:bCs/>
          <w:u w:val="single"/>
          <w:rtl/>
        </w:rPr>
        <w:t>צו מוסכם</w:t>
      </w:r>
      <w:r w:rsidR="0006408D">
        <w:rPr>
          <w:rFonts w:hint="cs"/>
          <w:rtl/>
        </w:rPr>
        <w:t xml:space="preserve"> לאישור בית המשפט על רקע כניסתן של דלק ונובל </w:t>
      </w:r>
      <w:proofErr w:type="spellStart"/>
      <w:r w:rsidR="0006408D">
        <w:rPr>
          <w:rFonts w:hint="cs"/>
          <w:rtl/>
        </w:rPr>
        <w:t>ללוויתן</w:t>
      </w:r>
      <w:proofErr w:type="spellEnd"/>
      <w:r w:rsidR="0006408D">
        <w:rPr>
          <w:rFonts w:hint="cs"/>
          <w:rtl/>
        </w:rPr>
        <w:t xml:space="preserve"> במקביל לאחזקתן במאגר הגז הטבעי 'תמר' ובנכסי גז אחרים. </w:t>
      </w:r>
    </w:p>
    <w:p w:rsidR="006637DA" w:rsidRPr="006637DA" w:rsidRDefault="003979B1" w:rsidP="00063A00">
      <w:pPr>
        <w:pStyle w:val="a7"/>
        <w:numPr>
          <w:ilvl w:val="0"/>
          <w:numId w:val="39"/>
        </w:numPr>
        <w:spacing w:after="120" w:line="360" w:lineRule="auto"/>
        <w:ind w:left="340" w:hanging="340"/>
        <w:jc w:val="both"/>
      </w:pPr>
      <w:r w:rsidRPr="0000616C">
        <w:rPr>
          <w:rFonts w:hint="cs"/>
          <w:u w:val="single"/>
          <w:rtl/>
        </w:rPr>
        <w:t>צו מוסכם</w:t>
      </w:r>
      <w:r>
        <w:rPr>
          <w:rFonts w:hint="cs"/>
          <w:rtl/>
        </w:rPr>
        <w:t xml:space="preserve"> מוגדר ב</w:t>
      </w:r>
      <w:r w:rsidRPr="001B397A">
        <w:rPr>
          <w:rFonts w:hint="cs"/>
          <w:rtl/>
        </w:rPr>
        <w:t>סעיף 50ב לחוק ההגבלים העסקיים</w:t>
      </w:r>
      <w:r>
        <w:rPr>
          <w:rFonts w:hint="cs"/>
          <w:rtl/>
        </w:rPr>
        <w:t>. לפי החוק</w:t>
      </w:r>
      <w:r w:rsidR="006637DA" w:rsidRPr="001B397A">
        <w:rPr>
          <w:rFonts w:hint="cs"/>
          <w:rtl/>
        </w:rPr>
        <w:t>, בית הדין</w:t>
      </w:r>
      <w:r>
        <w:rPr>
          <w:rFonts w:hint="cs"/>
          <w:rtl/>
        </w:rPr>
        <w:t xml:space="preserve"> </w:t>
      </w:r>
      <w:r w:rsidR="009A768A">
        <w:rPr>
          <w:rFonts w:hint="cs"/>
          <w:rtl/>
        </w:rPr>
        <w:t xml:space="preserve">להגבלים </w:t>
      </w:r>
      <w:r>
        <w:rPr>
          <w:rFonts w:hint="cs"/>
          <w:rtl/>
        </w:rPr>
        <w:t>רשאי</w:t>
      </w:r>
      <w:r w:rsidR="006637DA" w:rsidRPr="001B397A">
        <w:rPr>
          <w:rFonts w:hint="cs"/>
          <w:rtl/>
        </w:rPr>
        <w:t>, לפי בקשת הממונה, לתת</w:t>
      </w:r>
      <w:r>
        <w:rPr>
          <w:rFonts w:hint="cs"/>
          <w:rtl/>
        </w:rPr>
        <w:t xml:space="preserve"> תוקף של צו</w:t>
      </w:r>
      <w:r w:rsidR="006637DA" w:rsidRPr="001B397A">
        <w:rPr>
          <w:rFonts w:hint="cs"/>
          <w:rtl/>
        </w:rPr>
        <w:t xml:space="preserve"> </w:t>
      </w:r>
      <w:r w:rsidR="006637DA" w:rsidRPr="001A3A00">
        <w:rPr>
          <w:rFonts w:hint="cs"/>
          <w:rtl/>
        </w:rPr>
        <w:t>להסכמה בין הממונה לבין אדם אחר</w:t>
      </w:r>
      <w:r w:rsidR="006D1B0F" w:rsidRPr="001A3A00">
        <w:rPr>
          <w:rFonts w:hint="cs"/>
          <w:rtl/>
        </w:rPr>
        <w:t xml:space="preserve">, </w:t>
      </w:r>
      <w:r w:rsidRPr="001A3A00">
        <w:rPr>
          <w:rFonts w:hint="cs"/>
          <w:rtl/>
        </w:rPr>
        <w:t>למרות קיומם של</w:t>
      </w:r>
      <w:r w:rsidR="006637DA" w:rsidRPr="001A3A00">
        <w:rPr>
          <w:rFonts w:hint="cs"/>
          <w:rtl/>
        </w:rPr>
        <w:t xml:space="preserve"> הליכים הכוללים בין היתר הכרזה על מונופולין או קביעה של הסדר כי הוא הסדר כובל</w:t>
      </w:r>
      <w:r w:rsidR="006637DA" w:rsidRPr="0000616C">
        <w:rPr>
          <w:rFonts w:hint="cs"/>
          <w:u w:val="single"/>
          <w:rtl/>
        </w:rPr>
        <w:t>. צ</w:t>
      </w:r>
      <w:r w:rsidR="006637DA" w:rsidRPr="001B397A">
        <w:rPr>
          <w:rFonts w:hint="cs"/>
          <w:rtl/>
        </w:rPr>
        <w:t>ו מוסכם</w:t>
      </w:r>
      <w:r w:rsidR="006637DA">
        <w:rPr>
          <w:rStyle w:val="a9"/>
          <w:rtl/>
        </w:rPr>
        <w:footnoteReference w:id="18"/>
      </w:r>
      <w:r>
        <w:rPr>
          <w:rFonts w:hint="cs"/>
          <w:rtl/>
        </w:rPr>
        <w:t>,</w:t>
      </w:r>
      <w:r w:rsidR="006637DA" w:rsidRPr="001B397A">
        <w:rPr>
          <w:rFonts w:hint="cs"/>
          <w:rtl/>
        </w:rPr>
        <w:t xml:space="preserve"> כאמור יכול, בין היתר, שיהיה בלא הודאה בחבות בנוגע לתקופה שקדמה למועד נתינתו. </w:t>
      </w:r>
    </w:p>
    <w:p w:rsidR="00860C25" w:rsidRPr="00860C25" w:rsidRDefault="006D1B0F" w:rsidP="00063A00">
      <w:pPr>
        <w:pStyle w:val="a7"/>
        <w:numPr>
          <w:ilvl w:val="0"/>
          <w:numId w:val="39"/>
        </w:numPr>
        <w:spacing w:after="120" w:line="360" w:lineRule="auto"/>
        <w:ind w:left="340" w:hanging="340"/>
        <w:jc w:val="both"/>
      </w:pPr>
      <w:r>
        <w:rPr>
          <w:rFonts w:hint="cs"/>
          <w:rtl/>
        </w:rPr>
        <w:t xml:space="preserve">טיוטת </w:t>
      </w:r>
      <w:r w:rsidR="0006408D">
        <w:rPr>
          <w:rFonts w:hint="cs"/>
          <w:rtl/>
        </w:rPr>
        <w:t>הצו</w:t>
      </w:r>
      <w:r w:rsidR="003979B1">
        <w:rPr>
          <w:rFonts w:hint="cs"/>
          <w:rtl/>
        </w:rPr>
        <w:t xml:space="preserve"> המוסכם</w:t>
      </w:r>
      <w:r w:rsidR="0006408D">
        <w:rPr>
          <w:rFonts w:hint="cs"/>
          <w:rtl/>
        </w:rPr>
        <w:t xml:space="preserve"> קבע</w:t>
      </w:r>
      <w:r>
        <w:rPr>
          <w:rFonts w:hint="cs"/>
          <w:rtl/>
        </w:rPr>
        <w:t>ה</w:t>
      </w:r>
      <w:r w:rsidR="0006408D">
        <w:rPr>
          <w:rFonts w:hint="cs"/>
          <w:rtl/>
        </w:rPr>
        <w:t xml:space="preserve">, בין היתר, כי </w:t>
      </w:r>
      <w:r w:rsidR="0006408D" w:rsidRPr="000A409F">
        <w:rPr>
          <w:rFonts w:hint="cs"/>
          <w:rtl/>
        </w:rPr>
        <w:t>דלק ונובל</w:t>
      </w:r>
      <w:r w:rsidR="0006408D">
        <w:rPr>
          <w:rFonts w:hint="cs"/>
          <w:rtl/>
        </w:rPr>
        <w:t xml:space="preserve"> יחויבו</w:t>
      </w:r>
      <w:r w:rsidR="0006408D" w:rsidRPr="000A409F">
        <w:rPr>
          <w:rFonts w:hint="cs"/>
          <w:rtl/>
        </w:rPr>
        <w:t xml:space="preserve"> למכור לצד שלישי שאינו קשור למי מהן את מאגרי הגז הטבעי "כריש" ו"</w:t>
      </w:r>
      <w:r w:rsidR="0008032D">
        <w:rPr>
          <w:rFonts w:hint="cs"/>
          <w:rtl/>
        </w:rPr>
        <w:t xml:space="preserve">תנין", כולל זכויות הנפט במאגרים. </w:t>
      </w:r>
      <w:r w:rsidR="0006408D" w:rsidRPr="000A409F">
        <w:rPr>
          <w:rFonts w:hint="cs"/>
          <w:rtl/>
        </w:rPr>
        <w:t xml:space="preserve">כמו כן, </w:t>
      </w:r>
      <w:r w:rsidR="0008032D">
        <w:rPr>
          <w:rFonts w:hint="cs"/>
          <w:rtl/>
        </w:rPr>
        <w:t>הוצע ל</w:t>
      </w:r>
      <w:r w:rsidR="0006408D">
        <w:rPr>
          <w:rFonts w:hint="cs"/>
          <w:rtl/>
        </w:rPr>
        <w:t>חייב</w:t>
      </w:r>
      <w:r w:rsidR="0008032D">
        <w:rPr>
          <w:rFonts w:hint="cs"/>
          <w:rtl/>
        </w:rPr>
        <w:t xml:space="preserve"> את דלק ונובל</w:t>
      </w:r>
      <w:r w:rsidR="0006408D" w:rsidRPr="000A409F">
        <w:rPr>
          <w:rFonts w:hint="cs"/>
          <w:rtl/>
        </w:rPr>
        <w:t xml:space="preserve"> להעניק לקונה של המאגרים אופציה לקבלת גז טבעי במחיר מופחת מלווייתן בכמות כוללת </w:t>
      </w:r>
      <w:r w:rsidR="0006408D">
        <w:rPr>
          <w:rFonts w:hint="cs"/>
          <w:rtl/>
        </w:rPr>
        <w:t xml:space="preserve">שפורטה </w:t>
      </w:r>
      <w:r>
        <w:rPr>
          <w:rFonts w:hint="cs"/>
          <w:rtl/>
        </w:rPr>
        <w:t>בטיוטת הצו.</w:t>
      </w:r>
      <w:r w:rsidR="008F4FF6">
        <w:rPr>
          <w:rFonts w:hint="cs"/>
          <w:rtl/>
        </w:rPr>
        <w:t xml:space="preserve"> </w:t>
      </w:r>
    </w:p>
    <w:p w:rsidR="00466493" w:rsidRDefault="0006408D" w:rsidP="00063A00">
      <w:pPr>
        <w:pStyle w:val="a7"/>
        <w:numPr>
          <w:ilvl w:val="0"/>
          <w:numId w:val="39"/>
        </w:numPr>
        <w:spacing w:after="120" w:line="360" w:lineRule="auto"/>
        <w:ind w:left="340" w:hanging="340"/>
        <w:jc w:val="both"/>
      </w:pPr>
      <w:r w:rsidRPr="0000616C">
        <w:rPr>
          <w:rFonts w:hint="cs"/>
          <w:b/>
          <w:bCs/>
          <w:rtl/>
        </w:rPr>
        <w:t xml:space="preserve">בדצמבר 2014 </w:t>
      </w:r>
      <w:r w:rsidRPr="002876E5">
        <w:rPr>
          <w:rFonts w:hint="cs"/>
          <w:rtl/>
        </w:rPr>
        <w:t xml:space="preserve">פרסמה רשות ההגבלים העסקיים הודעה על החלטת הממונה </w:t>
      </w:r>
      <w:r w:rsidRPr="0000616C">
        <w:rPr>
          <w:rFonts w:hint="cs"/>
          <w:u w:val="single"/>
          <w:rtl/>
        </w:rPr>
        <w:t>שלא</w:t>
      </w:r>
      <w:r w:rsidRPr="002876E5">
        <w:rPr>
          <w:rFonts w:hint="cs"/>
          <w:rtl/>
        </w:rPr>
        <w:t xml:space="preserve"> להגיש את הצו המוסכם לאישור בית הדין</w:t>
      </w:r>
      <w:r w:rsidR="0042041C">
        <w:rPr>
          <w:rFonts w:hint="cs"/>
          <w:rtl/>
        </w:rPr>
        <w:t xml:space="preserve"> </w:t>
      </w:r>
      <w:r w:rsidR="009A768A">
        <w:rPr>
          <w:rFonts w:hint="cs"/>
          <w:rtl/>
        </w:rPr>
        <w:t xml:space="preserve">להגבלים </w:t>
      </w:r>
      <w:r w:rsidR="00FA5989">
        <w:rPr>
          <w:rFonts w:hint="cs"/>
          <w:rtl/>
        </w:rPr>
        <w:t xml:space="preserve">וזאת </w:t>
      </w:r>
      <w:r w:rsidR="0042041C">
        <w:rPr>
          <w:rFonts w:hint="cs"/>
          <w:rtl/>
        </w:rPr>
        <w:t xml:space="preserve">בעקבות הערות ציבור שקיבלה </w:t>
      </w:r>
      <w:r w:rsidR="00FA5989">
        <w:rPr>
          <w:rFonts w:hint="cs"/>
          <w:rtl/>
        </w:rPr>
        <w:t>ששכנעו</w:t>
      </w:r>
      <w:r w:rsidR="0042041C">
        <w:rPr>
          <w:rFonts w:hint="cs"/>
          <w:rtl/>
        </w:rPr>
        <w:t xml:space="preserve"> את הממונה שהצו המוסכם לא ייצור תחרות </w:t>
      </w:r>
      <w:proofErr w:type="spellStart"/>
      <w:r w:rsidR="0042041C">
        <w:rPr>
          <w:rFonts w:hint="cs"/>
          <w:rtl/>
        </w:rPr>
        <w:t>אמ</w:t>
      </w:r>
      <w:r w:rsidR="00FA5989">
        <w:rPr>
          <w:rFonts w:hint="cs"/>
          <w:rtl/>
        </w:rPr>
        <w:t>י</w:t>
      </w:r>
      <w:r w:rsidR="0042041C">
        <w:rPr>
          <w:rFonts w:hint="cs"/>
          <w:rtl/>
        </w:rPr>
        <w:t>תית</w:t>
      </w:r>
      <w:proofErr w:type="spellEnd"/>
      <w:r w:rsidR="0042041C">
        <w:rPr>
          <w:rFonts w:hint="cs"/>
          <w:rtl/>
        </w:rPr>
        <w:t xml:space="preserve">. כמו כן, הודיעה הרשות </w:t>
      </w:r>
      <w:r w:rsidRPr="002876E5">
        <w:rPr>
          <w:rFonts w:hint="cs"/>
          <w:rtl/>
        </w:rPr>
        <w:t xml:space="preserve">שהיא </w:t>
      </w:r>
      <w:r w:rsidRPr="0000616C">
        <w:rPr>
          <w:rFonts w:hint="cs"/>
          <w:b/>
          <w:bCs/>
          <w:rtl/>
        </w:rPr>
        <w:t xml:space="preserve">שוקלת מחדש </w:t>
      </w:r>
      <w:r w:rsidR="00FA5989" w:rsidRPr="0000616C">
        <w:rPr>
          <w:rFonts w:hint="cs"/>
          <w:b/>
          <w:bCs/>
          <w:rtl/>
        </w:rPr>
        <w:t xml:space="preserve">לקבוע הסדר כובל </w:t>
      </w:r>
      <w:r w:rsidR="00FA5989">
        <w:rPr>
          <w:rFonts w:hint="cs"/>
          <w:rtl/>
        </w:rPr>
        <w:t xml:space="preserve">על כניסת דלק ונובל </w:t>
      </w:r>
      <w:proofErr w:type="spellStart"/>
      <w:r w:rsidR="00FA5989">
        <w:rPr>
          <w:rFonts w:hint="cs"/>
          <w:rtl/>
        </w:rPr>
        <w:t>ללוויתן</w:t>
      </w:r>
      <w:proofErr w:type="spellEnd"/>
      <w:r w:rsidR="00FA5989">
        <w:rPr>
          <w:rFonts w:hint="cs"/>
          <w:rtl/>
        </w:rPr>
        <w:t>.</w:t>
      </w:r>
    </w:p>
    <w:p w:rsidR="00466493" w:rsidRPr="00E0724E" w:rsidRDefault="00466493" w:rsidP="00063A00">
      <w:pPr>
        <w:pStyle w:val="a7"/>
        <w:numPr>
          <w:ilvl w:val="0"/>
          <w:numId w:val="39"/>
        </w:numPr>
        <w:spacing w:after="120" w:line="360" w:lineRule="auto"/>
        <w:ind w:left="340" w:hanging="340"/>
        <w:jc w:val="both"/>
        <w:rPr>
          <w:rtl/>
        </w:rPr>
      </w:pPr>
      <w:r w:rsidRPr="0000616C">
        <w:rPr>
          <w:rFonts w:hint="cs"/>
          <w:u w:val="single"/>
          <w:rtl/>
        </w:rPr>
        <w:t>הסדר כובל</w:t>
      </w:r>
      <w:r w:rsidR="00A57268">
        <w:rPr>
          <w:rFonts w:hint="cs"/>
          <w:rtl/>
        </w:rPr>
        <w:t xml:space="preserve"> (סעיף 2 לחוק ההגבלים)</w:t>
      </w:r>
      <w:r w:rsidRPr="00466493">
        <w:rPr>
          <w:rFonts w:hint="cs"/>
          <w:rtl/>
        </w:rPr>
        <w:t xml:space="preserve"> הוא הסדר בין בני אדם או חברות שמביא לפגיעה בתחרות לאו דווקא על ידי הצדדים להסדר</w:t>
      </w:r>
      <w:r w:rsidR="00E0724E">
        <w:rPr>
          <w:rStyle w:val="a9"/>
          <w:rtl/>
        </w:rPr>
        <w:footnoteReference w:id="19"/>
      </w:r>
      <w:r w:rsidR="00A57268">
        <w:rPr>
          <w:rFonts w:hint="cs"/>
          <w:rtl/>
        </w:rPr>
        <w:t xml:space="preserve">. </w:t>
      </w:r>
      <w:r w:rsidRPr="00E0724E">
        <w:rPr>
          <w:rFonts w:hint="cs"/>
          <w:rtl/>
        </w:rPr>
        <w:t xml:space="preserve">החוק אוסר על אדם </w:t>
      </w:r>
      <w:r w:rsidR="00E0724E">
        <w:rPr>
          <w:rFonts w:hint="cs"/>
          <w:rtl/>
        </w:rPr>
        <w:t xml:space="preserve">או חברה </w:t>
      </w:r>
      <w:r w:rsidRPr="00E0724E">
        <w:rPr>
          <w:rFonts w:hint="cs"/>
          <w:rtl/>
        </w:rPr>
        <w:t xml:space="preserve">להיות צד להסדר כובל, אלא אם כן קיבל </w:t>
      </w:r>
      <w:r w:rsidR="00A57268" w:rsidRPr="00E0724E">
        <w:rPr>
          <w:rFonts w:hint="cs"/>
          <w:rtl/>
        </w:rPr>
        <w:t>לכך מבית הדין אישור</w:t>
      </w:r>
      <w:r w:rsidRPr="00E0724E">
        <w:rPr>
          <w:rFonts w:hint="cs"/>
          <w:rtl/>
        </w:rPr>
        <w:t xml:space="preserve">. סעיף 43(א) לחוק ההגבלים העסקיים, מסמיך את הממונה לקבוע, בין היתר, אם הסדר או הסדר שצדדים מבקשים להגיע אליו, הינו הסדר כובל, וכן אם בעל מונופולין ניצל לרעה את מעמדו בשוק. </w:t>
      </w:r>
    </w:p>
    <w:p w:rsidR="0006408D" w:rsidRPr="0000616C" w:rsidRDefault="00F64E58" w:rsidP="00063A00">
      <w:pPr>
        <w:pStyle w:val="a7"/>
        <w:numPr>
          <w:ilvl w:val="0"/>
          <w:numId w:val="39"/>
        </w:numPr>
        <w:spacing w:after="120" w:line="360" w:lineRule="auto"/>
        <w:ind w:left="357" w:hanging="357"/>
        <w:jc w:val="both"/>
        <w:rPr>
          <w:b/>
          <w:bCs/>
          <w:rtl/>
        </w:rPr>
      </w:pPr>
      <w:r>
        <w:rPr>
          <w:rFonts w:hint="cs"/>
          <w:b/>
          <w:bCs/>
          <w:rtl/>
        </w:rPr>
        <w:t>בדצמבר 2014</w:t>
      </w:r>
      <w:r w:rsidR="0006408D" w:rsidRPr="0000616C">
        <w:rPr>
          <w:rFonts w:hint="cs"/>
          <w:b/>
          <w:bCs/>
          <w:rtl/>
        </w:rPr>
        <w:t xml:space="preserve"> </w:t>
      </w:r>
      <w:r w:rsidR="0006408D">
        <w:rPr>
          <w:rFonts w:hint="cs"/>
          <w:rtl/>
        </w:rPr>
        <w:t xml:space="preserve">פרסם המשנה ליועץ המשפטי לממשלה (כלכלי-פיסקלי) נייר </w:t>
      </w:r>
      <w:r w:rsidR="00AC5D41">
        <w:rPr>
          <w:rFonts w:hint="cs"/>
          <w:rtl/>
        </w:rPr>
        <w:t>עמדה שבו פרט</w:t>
      </w:r>
      <w:r w:rsidR="0006408D">
        <w:rPr>
          <w:rFonts w:hint="cs"/>
          <w:rtl/>
        </w:rPr>
        <w:t xml:space="preserve"> המשנה את המאפיינים המיוחדים של הסדרת תחום הגז הטבעי ואת הבעיות הנובעות מייחודיות התחום כאמור ו</w:t>
      </w:r>
      <w:r w:rsidR="00AC5D41">
        <w:rPr>
          <w:rFonts w:hint="cs"/>
          <w:rtl/>
        </w:rPr>
        <w:t>הציע</w:t>
      </w:r>
      <w:r w:rsidR="0006408D">
        <w:rPr>
          <w:rFonts w:hint="cs"/>
          <w:rtl/>
        </w:rPr>
        <w:t xml:space="preserve"> כפתרון </w:t>
      </w:r>
      <w:r w:rsidR="0006408D" w:rsidRPr="00A57268">
        <w:rPr>
          <w:rFonts w:hint="cs"/>
          <w:rtl/>
        </w:rPr>
        <w:t xml:space="preserve">הקמה של צוות משימה של פקידים בכירים, הכוללים את השחקנים העיקריים מבין משרדי הממשלה, שתכליתו תהיה כפולה </w:t>
      </w:r>
      <w:r w:rsidR="0006408D" w:rsidRPr="00A57268">
        <w:rPr>
          <w:rtl/>
        </w:rPr>
        <w:t>–</w:t>
      </w:r>
      <w:r w:rsidR="0006408D" w:rsidRPr="00A57268">
        <w:rPr>
          <w:rFonts w:hint="cs"/>
          <w:rtl/>
        </w:rPr>
        <w:t xml:space="preserve"> גיבוש המלצות למדיניות ממשלה ברורה בסוגיות היסוד של הענף וכן תיאום והסרת חסמים ביישום המדיניות. </w:t>
      </w:r>
      <w:r w:rsidR="0006408D">
        <w:rPr>
          <w:rFonts w:hint="cs"/>
          <w:rtl/>
        </w:rPr>
        <w:t xml:space="preserve">עוד </w:t>
      </w:r>
      <w:r w:rsidR="00AC5D41">
        <w:rPr>
          <w:rFonts w:hint="cs"/>
          <w:rtl/>
        </w:rPr>
        <w:t>הציע</w:t>
      </w:r>
      <w:r w:rsidR="0006408D">
        <w:rPr>
          <w:rFonts w:hint="cs"/>
          <w:rtl/>
        </w:rPr>
        <w:t xml:space="preserve"> המשנה כי במקרה של מחלוקת שלא ניתנת לגישור יכריע יושב ראש הצוות, וכי במקרה של טעות מהותית לדעת מי מחברי הצוות, יועלה הנושא לדיון מהיר </w:t>
      </w:r>
      <w:r w:rsidR="0006408D" w:rsidRPr="00A57268">
        <w:rPr>
          <w:rFonts w:hint="cs"/>
          <w:rtl/>
        </w:rPr>
        <w:t>בוועדת שרים חדשה וייעודית לענייני הגז הטבעי. ועדת השרים תקבל הכרעה מהירה וכל המשרדים יפעלו בהתאם לה.</w:t>
      </w:r>
    </w:p>
    <w:p w:rsidR="0006408D" w:rsidRPr="00A57268" w:rsidRDefault="00F64E58" w:rsidP="00063A00">
      <w:pPr>
        <w:pStyle w:val="a7"/>
        <w:numPr>
          <w:ilvl w:val="0"/>
          <w:numId w:val="39"/>
        </w:numPr>
        <w:spacing w:after="120" w:line="360" w:lineRule="auto"/>
        <w:ind w:left="357" w:hanging="357"/>
        <w:jc w:val="both"/>
        <w:rPr>
          <w:rtl/>
        </w:rPr>
      </w:pPr>
      <w:r>
        <w:rPr>
          <w:rFonts w:hint="cs"/>
          <w:b/>
          <w:bCs/>
          <w:rtl/>
        </w:rPr>
        <w:t xml:space="preserve">בפברואר 2015 </w:t>
      </w:r>
      <w:r w:rsidR="0006408D" w:rsidRPr="002876E5">
        <w:rPr>
          <w:rFonts w:hint="cs"/>
          <w:rtl/>
        </w:rPr>
        <w:t xml:space="preserve">הממונה על ההגבלים העסקיים פרסם הודעה על דחיית פרסום הקביעה לגבי </w:t>
      </w:r>
      <w:r w:rsidR="0006408D" w:rsidRPr="00A57268">
        <w:rPr>
          <w:rFonts w:hint="cs"/>
          <w:rtl/>
        </w:rPr>
        <w:t>סוגיית ההסדר הכובל</w:t>
      </w:r>
      <w:r w:rsidR="0006408D" w:rsidRPr="00A57268">
        <w:rPr>
          <w:rtl/>
        </w:rPr>
        <w:t xml:space="preserve"> למשך חודשיים, לאור התגייסות משרדי הממשלה ונכונות הצדדים לחתור לפתרון הבעיה התחרותית על בסיס המתווה הממשלתי.</w:t>
      </w:r>
      <w:r w:rsidR="00A57268" w:rsidRPr="00A57268">
        <w:rPr>
          <w:rFonts w:hint="cs"/>
          <w:rtl/>
        </w:rPr>
        <w:t xml:space="preserve"> הוא ציין ש</w:t>
      </w:r>
      <w:r w:rsidR="0006408D" w:rsidRPr="00A57268">
        <w:rPr>
          <w:rtl/>
        </w:rPr>
        <w:t>צוותי העבודה המשותפים ימשיכו בזמן זה לעבוד על מתווה מוסכם לפתרון המשבר</w:t>
      </w:r>
      <w:r w:rsidR="00A57268" w:rsidRPr="00A57268">
        <w:rPr>
          <w:rFonts w:hint="cs"/>
          <w:rtl/>
        </w:rPr>
        <w:t>.</w:t>
      </w:r>
    </w:p>
    <w:p w:rsidR="0006408D" w:rsidRPr="008F25A8" w:rsidRDefault="003B5947" w:rsidP="00063A00">
      <w:pPr>
        <w:pStyle w:val="a7"/>
        <w:numPr>
          <w:ilvl w:val="0"/>
          <w:numId w:val="39"/>
        </w:numPr>
        <w:spacing w:after="120" w:line="360" w:lineRule="auto"/>
        <w:ind w:left="357" w:hanging="357"/>
        <w:jc w:val="both"/>
        <w:rPr>
          <w:rtl/>
        </w:rPr>
      </w:pPr>
      <w:r w:rsidRPr="0000616C">
        <w:rPr>
          <w:rFonts w:hint="cs"/>
          <w:b/>
          <w:bCs/>
          <w:rtl/>
        </w:rPr>
        <w:t xml:space="preserve">לפי פרסומים בתקשורת, </w:t>
      </w:r>
      <w:r w:rsidR="00F64E58">
        <w:rPr>
          <w:rFonts w:hint="cs"/>
          <w:b/>
          <w:bCs/>
          <w:rtl/>
        </w:rPr>
        <w:t xml:space="preserve">בפברואר 2015 </w:t>
      </w:r>
      <w:r w:rsidR="0006408D" w:rsidRPr="002876E5">
        <w:rPr>
          <w:rFonts w:hint="cs"/>
          <w:rtl/>
        </w:rPr>
        <w:t>הציגה</w:t>
      </w:r>
      <w:r w:rsidR="001B4A94">
        <w:rPr>
          <w:rFonts w:hint="cs"/>
          <w:rtl/>
        </w:rPr>
        <w:t xml:space="preserve"> הממשלה</w:t>
      </w:r>
      <w:r w:rsidR="0006408D" w:rsidRPr="002876E5">
        <w:rPr>
          <w:rFonts w:hint="cs"/>
          <w:rtl/>
        </w:rPr>
        <w:t xml:space="preserve"> לחברות הגז מתווה להסדרת משק הגז. עיקרי המתווה היו פיקוח על מחירי הגז, תחרות בין השותפות במאגר לוויתן לבין </w:t>
      </w:r>
      <w:r w:rsidR="0006408D" w:rsidRPr="004B50F3">
        <w:rPr>
          <w:rFonts w:hint="cs"/>
          <w:rtl/>
        </w:rPr>
        <w:t xml:space="preserve">עצמן (שיווק בנפרד), דילול אחזקות של דלק ונובל בתמר, ומכירת מאגרי הגז כריש ולוויתן. </w:t>
      </w:r>
      <w:r w:rsidR="007A4925">
        <w:rPr>
          <w:rFonts w:hint="cs"/>
          <w:rtl/>
        </w:rPr>
        <w:t xml:space="preserve">יוער כי </w:t>
      </w:r>
      <w:r w:rsidR="008F25A8" w:rsidRPr="008F25A8">
        <w:rPr>
          <w:rFonts w:hint="cs"/>
          <w:rtl/>
        </w:rPr>
        <w:t xml:space="preserve">ניסינו להשיג חומרים רשמיים בנושא </w:t>
      </w:r>
      <w:r w:rsidR="007A4925">
        <w:rPr>
          <w:rFonts w:hint="cs"/>
          <w:rtl/>
        </w:rPr>
        <w:t>המתווה אך ללא הצלחה</w:t>
      </w:r>
      <w:r w:rsidR="008F25A8" w:rsidRPr="008F25A8">
        <w:rPr>
          <w:rFonts w:hint="cs"/>
          <w:rtl/>
        </w:rPr>
        <w:t>, ולכן לא הרחבנו בעניין פרטי המתווה האמור.</w:t>
      </w:r>
    </w:p>
    <w:p w:rsidR="00C776B7" w:rsidRPr="008D0264" w:rsidRDefault="00F64E58" w:rsidP="00063A00">
      <w:pPr>
        <w:pStyle w:val="a7"/>
        <w:numPr>
          <w:ilvl w:val="0"/>
          <w:numId w:val="39"/>
        </w:numPr>
        <w:spacing w:after="120" w:line="360" w:lineRule="auto"/>
        <w:ind w:left="357" w:hanging="357"/>
        <w:jc w:val="both"/>
      </w:pPr>
      <w:r>
        <w:rPr>
          <w:rFonts w:hint="cs"/>
          <w:b/>
          <w:bCs/>
          <w:rtl/>
        </w:rPr>
        <w:t>לפי פרסומים בתקשורת, במאי 2015</w:t>
      </w:r>
      <w:r w:rsidR="00C776B7" w:rsidRPr="0000616C">
        <w:rPr>
          <w:rFonts w:hint="cs"/>
          <w:b/>
          <w:bCs/>
          <w:rtl/>
        </w:rPr>
        <w:t xml:space="preserve"> </w:t>
      </w:r>
      <w:r w:rsidR="00C776B7" w:rsidRPr="004B50F3">
        <w:rPr>
          <w:rFonts w:hint="cs"/>
          <w:rtl/>
        </w:rPr>
        <w:t xml:space="preserve">צוות משא ומתן הממשלתי </w:t>
      </w:r>
      <w:r w:rsidR="00C5215E">
        <w:rPr>
          <w:rFonts w:hint="cs"/>
          <w:rtl/>
        </w:rPr>
        <w:t>נפגש</w:t>
      </w:r>
      <w:r w:rsidR="00C776B7" w:rsidRPr="004B50F3">
        <w:rPr>
          <w:rFonts w:hint="cs"/>
          <w:rtl/>
        </w:rPr>
        <w:t xml:space="preserve"> עם דלק ונובל </w:t>
      </w:r>
      <w:proofErr w:type="spellStart"/>
      <w:r w:rsidR="00C776B7" w:rsidRPr="004B50F3">
        <w:rPr>
          <w:rFonts w:hint="cs"/>
          <w:rtl/>
        </w:rPr>
        <w:t>אנרג'י</w:t>
      </w:r>
      <w:proofErr w:type="spellEnd"/>
      <w:r w:rsidR="00C776B7" w:rsidRPr="004B50F3">
        <w:rPr>
          <w:rFonts w:hint="cs"/>
          <w:rtl/>
        </w:rPr>
        <w:t xml:space="preserve"> ו</w:t>
      </w:r>
      <w:r w:rsidR="00C5215E">
        <w:rPr>
          <w:rFonts w:hint="cs"/>
          <w:rtl/>
        </w:rPr>
        <w:t>הציג</w:t>
      </w:r>
      <w:r w:rsidR="00C776B7" w:rsidRPr="004B50F3">
        <w:rPr>
          <w:rFonts w:hint="cs"/>
          <w:rtl/>
        </w:rPr>
        <w:t xml:space="preserve"> בפניהן מתווה פירוק חלופי לזה שהוצג בפניהן </w:t>
      </w:r>
      <w:r w:rsidR="00C776B7" w:rsidRPr="008D0264">
        <w:rPr>
          <w:rFonts w:hint="cs"/>
          <w:rtl/>
        </w:rPr>
        <w:t>בפברואר</w:t>
      </w:r>
      <w:r w:rsidR="007A4925">
        <w:rPr>
          <w:rFonts w:hint="cs"/>
          <w:rtl/>
        </w:rPr>
        <w:t>.</w:t>
      </w:r>
      <w:r w:rsidR="00A76FEF">
        <w:rPr>
          <w:rFonts w:hint="cs"/>
          <w:rtl/>
        </w:rPr>
        <w:t xml:space="preserve"> אף לגבי המתווה החלופי לא הצלחנו להשיג חומר רשמי.</w:t>
      </w:r>
    </w:p>
    <w:p w:rsidR="00F64E58" w:rsidRDefault="00F64E58" w:rsidP="00F64E58">
      <w:pPr>
        <w:pStyle w:val="a7"/>
        <w:numPr>
          <w:ilvl w:val="0"/>
          <w:numId w:val="39"/>
        </w:numPr>
        <w:spacing w:after="120" w:line="360" w:lineRule="auto"/>
        <w:ind w:left="357" w:hanging="357"/>
        <w:jc w:val="both"/>
      </w:pPr>
      <w:r>
        <w:rPr>
          <w:rFonts w:hint="cs"/>
          <w:b/>
          <w:bCs/>
          <w:rtl/>
        </w:rPr>
        <w:t>בסוף מאי 2015</w:t>
      </w:r>
      <w:r w:rsidR="0006408D" w:rsidRPr="00F70D70">
        <w:rPr>
          <w:rFonts w:hint="cs"/>
          <w:rtl/>
        </w:rPr>
        <w:t xml:space="preserve"> </w:t>
      </w:r>
      <w:r w:rsidR="0006408D">
        <w:rPr>
          <w:rFonts w:hint="cs"/>
          <w:rtl/>
        </w:rPr>
        <w:t>ה</w:t>
      </w:r>
      <w:r w:rsidR="0006408D" w:rsidRPr="00F70D70">
        <w:rPr>
          <w:rFonts w:hint="cs"/>
          <w:rtl/>
        </w:rPr>
        <w:t>ודיע הממונה על ההגבלים העסקיים, פרופ' דיויד גילה,</w:t>
      </w:r>
      <w:r w:rsidR="0006408D">
        <w:rPr>
          <w:rFonts w:hint="cs"/>
          <w:rtl/>
        </w:rPr>
        <w:t xml:space="preserve"> על פרישה מתפקידו כממונה. בהודעתו הוא מפרט את הסיבות לפרישתו, כשבין היתר</w:t>
      </w:r>
      <w:r w:rsidR="00A76FEF">
        <w:rPr>
          <w:rFonts w:hint="cs"/>
          <w:rtl/>
        </w:rPr>
        <w:t>,</w:t>
      </w:r>
      <w:r w:rsidR="0006408D">
        <w:rPr>
          <w:rFonts w:hint="cs"/>
          <w:rtl/>
        </w:rPr>
        <w:t xml:space="preserve"> הוא מזכיר את התנגדותו למתווה שהתגבש לאחרונה, וזאת משום שהוא משוכנע שמתווה ז</w:t>
      </w:r>
      <w:r w:rsidR="00310953">
        <w:rPr>
          <w:rFonts w:hint="cs"/>
          <w:rtl/>
        </w:rPr>
        <w:t>ה לא יביא לתחרות בשוק הגז הטבעי.</w:t>
      </w:r>
    </w:p>
    <w:p w:rsidR="00F64E58" w:rsidRDefault="00F64E58" w:rsidP="00F64E58">
      <w:pPr>
        <w:pStyle w:val="a7"/>
        <w:spacing w:after="120" w:line="360" w:lineRule="auto"/>
        <w:ind w:left="357"/>
        <w:jc w:val="both"/>
      </w:pPr>
    </w:p>
    <w:p w:rsidR="00F64E58" w:rsidRDefault="00F64E58" w:rsidP="00F64E58">
      <w:pPr>
        <w:spacing w:after="120" w:line="360" w:lineRule="auto"/>
        <w:jc w:val="both"/>
      </w:pPr>
      <w:r w:rsidRPr="00F64E58">
        <w:rPr>
          <w:rFonts w:hint="cs"/>
          <w:b/>
          <w:bCs/>
          <w:u w:val="single"/>
          <w:rtl/>
        </w:rPr>
        <w:t>ד. הערות לדיון</w:t>
      </w:r>
    </w:p>
    <w:p w:rsidR="005F69E8" w:rsidRPr="00C749BD" w:rsidRDefault="00AC1482" w:rsidP="00F7781A">
      <w:pPr>
        <w:pStyle w:val="a7"/>
        <w:numPr>
          <w:ilvl w:val="0"/>
          <w:numId w:val="39"/>
        </w:numPr>
        <w:spacing w:after="120" w:line="360" w:lineRule="auto"/>
        <w:ind w:left="357" w:hanging="357"/>
        <w:jc w:val="both"/>
      </w:pPr>
      <w:r w:rsidRPr="00A76FEF">
        <w:rPr>
          <w:rFonts w:hint="cs"/>
          <w:rtl/>
        </w:rPr>
        <w:t>בחודש האחרון, פורסם בתקשורת</w:t>
      </w:r>
      <w:r w:rsidR="00EA5731" w:rsidRPr="00A76FEF">
        <w:rPr>
          <w:rFonts w:hint="cs"/>
          <w:rtl/>
        </w:rPr>
        <w:t xml:space="preserve"> כי הממשלה הציגה לחברות הגז מתווה </w:t>
      </w:r>
      <w:r w:rsidRPr="00A76FEF">
        <w:rPr>
          <w:rFonts w:hint="cs"/>
          <w:rtl/>
        </w:rPr>
        <w:t xml:space="preserve">חלופי למתווה </w:t>
      </w:r>
      <w:r w:rsidR="00EA5731" w:rsidRPr="00A76FEF">
        <w:rPr>
          <w:rFonts w:hint="cs"/>
          <w:rtl/>
        </w:rPr>
        <w:t xml:space="preserve">להסדרת משק הגז </w:t>
      </w:r>
      <w:r w:rsidRPr="00A76FEF">
        <w:rPr>
          <w:rFonts w:hint="cs"/>
          <w:rtl/>
        </w:rPr>
        <w:t>שהוצג לחברות הגז ב</w:t>
      </w:r>
      <w:r w:rsidR="00EA5731" w:rsidRPr="00A76FEF">
        <w:rPr>
          <w:rFonts w:hint="cs"/>
          <w:rtl/>
        </w:rPr>
        <w:t>פברואר</w:t>
      </w:r>
      <w:r w:rsidRPr="00A76FEF">
        <w:rPr>
          <w:rFonts w:hint="cs"/>
          <w:rtl/>
        </w:rPr>
        <w:t xml:space="preserve">. </w:t>
      </w:r>
      <w:r w:rsidR="00F7781A">
        <w:rPr>
          <w:rFonts w:hint="cs"/>
          <w:rtl/>
        </w:rPr>
        <w:t>לא הצלחנו לקבל</w:t>
      </w:r>
      <w:r w:rsidR="00EA5731" w:rsidRPr="00A76FEF">
        <w:rPr>
          <w:rFonts w:hint="cs"/>
          <w:rtl/>
        </w:rPr>
        <w:t xml:space="preserve"> </w:t>
      </w:r>
      <w:r w:rsidR="00F7781A">
        <w:rPr>
          <w:rFonts w:hint="cs"/>
          <w:rtl/>
        </w:rPr>
        <w:t xml:space="preserve">או </w:t>
      </w:r>
      <w:r w:rsidR="00EA5731" w:rsidRPr="00A76FEF">
        <w:rPr>
          <w:rFonts w:hint="cs"/>
          <w:rtl/>
        </w:rPr>
        <w:t>למצ</w:t>
      </w:r>
      <w:r w:rsidR="0056647B" w:rsidRPr="00A76FEF">
        <w:rPr>
          <w:rFonts w:hint="cs"/>
          <w:rtl/>
        </w:rPr>
        <w:t>וא מידע רשמי על צוות המשא ומתן</w:t>
      </w:r>
      <w:r w:rsidRPr="00A76FEF">
        <w:rPr>
          <w:rFonts w:hint="cs"/>
          <w:rtl/>
        </w:rPr>
        <w:t xml:space="preserve"> הממשלתי</w:t>
      </w:r>
      <w:r w:rsidR="0056647B" w:rsidRPr="00A76FEF">
        <w:rPr>
          <w:rFonts w:hint="cs"/>
          <w:rtl/>
        </w:rPr>
        <w:t>, על הישיבות שקיים ועל הפגישות ש</w:t>
      </w:r>
      <w:r w:rsidR="00C23472" w:rsidRPr="00A76FEF">
        <w:rPr>
          <w:rFonts w:hint="cs"/>
          <w:rtl/>
        </w:rPr>
        <w:t>ל הצוות עם חברות הגז</w:t>
      </w:r>
      <w:r w:rsidR="00B35633" w:rsidRPr="00A76FEF">
        <w:rPr>
          <w:rStyle w:val="a9"/>
          <w:rtl/>
        </w:rPr>
        <w:footnoteReference w:id="20"/>
      </w:r>
      <w:r w:rsidR="00F7781A">
        <w:rPr>
          <w:rFonts w:hint="cs"/>
          <w:rtl/>
        </w:rPr>
        <w:t>.</w:t>
      </w:r>
      <w:r w:rsidR="00C23472" w:rsidRPr="00F64E58">
        <w:rPr>
          <w:rFonts w:hint="cs"/>
          <w:b/>
          <w:bCs/>
          <w:rtl/>
        </w:rPr>
        <w:t xml:space="preserve"> </w:t>
      </w:r>
      <w:r w:rsidR="00F7781A">
        <w:rPr>
          <w:rFonts w:hint="cs"/>
          <w:rtl/>
        </w:rPr>
        <w:t>מוצע ש</w:t>
      </w:r>
      <w:r w:rsidR="004B43E0" w:rsidRPr="00A76FEF">
        <w:rPr>
          <w:rFonts w:hint="cs"/>
          <w:rtl/>
        </w:rPr>
        <w:t>נציגי הממשלה יפרטו בעניין זה ויציגו את המתווה בפני הוועדה. כמו כן, מוצע לברר עימם האם קיימים פרוטוקולים או חומר נוסף שניתן להעביר לחברי הוועדה.</w:t>
      </w:r>
      <w:r w:rsidR="00F811C5" w:rsidRPr="00A76FEF">
        <w:rPr>
          <w:rFonts w:hint="cs"/>
          <w:rtl/>
        </w:rPr>
        <w:t xml:space="preserve"> </w:t>
      </w:r>
      <w:r w:rsidR="00F7781A">
        <w:rPr>
          <w:rFonts w:hint="cs"/>
          <w:rtl/>
        </w:rPr>
        <w:t>כמו כן</w:t>
      </w:r>
      <w:r w:rsidR="00F811C5" w:rsidRPr="00A76FEF">
        <w:rPr>
          <w:rFonts w:hint="cs"/>
          <w:rtl/>
        </w:rPr>
        <w:t>, מוצע לברר עם נציגי הממשלה והרגולטורים מדוע הממשלה חזרה בה מהמתווה של פברואר.</w:t>
      </w:r>
    </w:p>
    <w:p w:rsidR="00F811C5" w:rsidRPr="00176251" w:rsidRDefault="00E15BF0" w:rsidP="00F64E58">
      <w:pPr>
        <w:pStyle w:val="a7"/>
        <w:numPr>
          <w:ilvl w:val="0"/>
          <w:numId w:val="39"/>
        </w:numPr>
        <w:spacing w:after="120" w:line="360" w:lineRule="auto"/>
        <w:ind w:left="357" w:hanging="357"/>
        <w:jc w:val="both"/>
      </w:pPr>
      <w:r>
        <w:rPr>
          <w:rFonts w:hint="cs"/>
          <w:rtl/>
        </w:rPr>
        <w:t xml:space="preserve">יש לברר עם נציגי הממשלה </w:t>
      </w:r>
      <w:r w:rsidR="00F811C5" w:rsidRPr="00176251">
        <w:rPr>
          <w:rFonts w:hint="cs"/>
          <w:rtl/>
        </w:rPr>
        <w:t xml:space="preserve">מה </w:t>
      </w:r>
      <w:r>
        <w:rPr>
          <w:rFonts w:hint="cs"/>
          <w:rtl/>
        </w:rPr>
        <w:t>תהיה המשמעות אם המדינה לא תגיע להסדר</w:t>
      </w:r>
      <w:r w:rsidR="00F811C5" w:rsidRPr="00176251">
        <w:rPr>
          <w:rFonts w:hint="cs"/>
          <w:rtl/>
        </w:rPr>
        <w:t xml:space="preserve"> </w:t>
      </w:r>
      <w:r>
        <w:rPr>
          <w:rFonts w:hint="cs"/>
          <w:rtl/>
        </w:rPr>
        <w:t>מול חברות הגז? לכמה זמן עוד</w:t>
      </w:r>
      <w:r w:rsidR="00F811C5" w:rsidRPr="00176251">
        <w:rPr>
          <w:rFonts w:hint="cs"/>
          <w:rtl/>
        </w:rPr>
        <w:t xml:space="preserve"> אמור להספיק הגז בתמר? מה המשמעות </w:t>
      </w:r>
      <w:r>
        <w:rPr>
          <w:rFonts w:hint="cs"/>
          <w:rtl/>
        </w:rPr>
        <w:t>של אי הגעה להסדר כאמור לעניין פיתוח לוויתן.</w:t>
      </w:r>
    </w:p>
    <w:p w:rsidR="002B2CD6" w:rsidRDefault="00E15BF0" w:rsidP="00F64E58">
      <w:pPr>
        <w:pStyle w:val="a7"/>
        <w:numPr>
          <w:ilvl w:val="0"/>
          <w:numId w:val="39"/>
        </w:numPr>
        <w:spacing w:after="120" w:line="360" w:lineRule="auto"/>
        <w:ind w:left="357" w:hanging="357"/>
        <w:jc w:val="both"/>
      </w:pPr>
      <w:r>
        <w:rPr>
          <w:rFonts w:hint="cs"/>
          <w:rtl/>
        </w:rPr>
        <w:t xml:space="preserve">מוצע לברר עם נציגי הממשלה </w:t>
      </w:r>
      <w:r w:rsidR="00F811C5" w:rsidRPr="00176251">
        <w:rPr>
          <w:rFonts w:hint="cs"/>
          <w:rtl/>
        </w:rPr>
        <w:t xml:space="preserve">האם קיימים מפעילים אחרים מלבד נובל </w:t>
      </w:r>
      <w:proofErr w:type="spellStart"/>
      <w:r w:rsidR="00F811C5" w:rsidRPr="00176251">
        <w:rPr>
          <w:rFonts w:hint="cs"/>
          <w:rtl/>
        </w:rPr>
        <w:t>אנרג'י</w:t>
      </w:r>
      <w:proofErr w:type="spellEnd"/>
      <w:r w:rsidR="00F811C5" w:rsidRPr="00176251">
        <w:rPr>
          <w:rFonts w:hint="cs"/>
          <w:rtl/>
        </w:rPr>
        <w:t xml:space="preserve"> שיוכלו </w:t>
      </w:r>
      <w:r>
        <w:rPr>
          <w:rFonts w:hint="cs"/>
          <w:rtl/>
        </w:rPr>
        <w:t>ושמעוני</w:t>
      </w:r>
      <w:r w:rsidR="00F7781A">
        <w:rPr>
          <w:rFonts w:hint="cs"/>
          <w:rtl/>
        </w:rPr>
        <w:t>י</w:t>
      </w:r>
      <w:r>
        <w:rPr>
          <w:rFonts w:hint="cs"/>
          <w:rtl/>
        </w:rPr>
        <w:t xml:space="preserve">נים </w:t>
      </w:r>
      <w:r w:rsidR="00F811C5" w:rsidRPr="00176251">
        <w:rPr>
          <w:rFonts w:hint="cs"/>
          <w:rtl/>
        </w:rPr>
        <w:t xml:space="preserve">להפעיל את המאגרים? (או שבכל מקרה נובל </w:t>
      </w:r>
      <w:proofErr w:type="spellStart"/>
      <w:r w:rsidR="00F811C5" w:rsidRPr="00176251">
        <w:rPr>
          <w:rFonts w:hint="cs"/>
          <w:rtl/>
        </w:rPr>
        <w:t>אנרג'י</w:t>
      </w:r>
      <w:proofErr w:type="spellEnd"/>
      <w:r w:rsidR="00F811C5" w:rsidRPr="00176251">
        <w:rPr>
          <w:rFonts w:hint="cs"/>
          <w:rtl/>
        </w:rPr>
        <w:t xml:space="preserve"> תהיה המפעילה גם אם הבעלות לא תהיה ביד</w:t>
      </w:r>
      <w:r>
        <w:rPr>
          <w:rFonts w:hint="cs"/>
          <w:rtl/>
        </w:rPr>
        <w:t>יה</w:t>
      </w:r>
      <w:r w:rsidR="00F811C5" w:rsidRPr="00176251">
        <w:rPr>
          <w:rFonts w:hint="cs"/>
          <w:rtl/>
        </w:rPr>
        <w:t>)</w:t>
      </w:r>
      <w:r>
        <w:rPr>
          <w:rFonts w:hint="cs"/>
          <w:rtl/>
        </w:rPr>
        <w:t>.</w:t>
      </w:r>
    </w:p>
    <w:p w:rsidR="008D0264" w:rsidRPr="002B2CD6" w:rsidRDefault="008D0264" w:rsidP="00F64E58">
      <w:pPr>
        <w:pStyle w:val="a7"/>
        <w:numPr>
          <w:ilvl w:val="0"/>
          <w:numId w:val="39"/>
        </w:numPr>
        <w:spacing w:after="120" w:line="360" w:lineRule="auto"/>
        <w:ind w:left="357" w:hanging="357"/>
        <w:jc w:val="both"/>
      </w:pPr>
      <w:r w:rsidRPr="002B2CD6">
        <w:rPr>
          <w:rFonts w:hint="cs"/>
          <w:rtl/>
        </w:rPr>
        <w:t>סעיף 52 לחוק ההגבלים העסקיים מסמיך את שר הכלכלה, לאחר התייעצות עם ועדת הכלכלה של הכנסת, לפטור הגבל עסקי מהוראות חוק ההגבלים העסקיים, אם הוא סבור שהדבר דרוש מטעמים של מדיניות חוץ או בטחון מדינה. ממועד חקיקת חוק ההגבלים העסקיים בשנת 1988 ועד היום לא נעשה שימוש בסעיף זה.</w:t>
      </w:r>
      <w:r w:rsidR="000B2A8D" w:rsidRPr="00E15BF0">
        <w:rPr>
          <w:rFonts w:hint="cs"/>
          <w:rtl/>
        </w:rPr>
        <w:t xml:space="preserve"> </w:t>
      </w:r>
      <w:r w:rsidR="00E15BF0" w:rsidRPr="002B2CD6">
        <w:rPr>
          <w:rFonts w:hint="cs"/>
          <w:rtl/>
        </w:rPr>
        <w:t>מוצע לברר בדיון</w:t>
      </w:r>
      <w:r w:rsidR="00BE6457" w:rsidRPr="002B2CD6">
        <w:rPr>
          <w:rFonts w:hint="cs"/>
          <w:rtl/>
        </w:rPr>
        <w:t xml:space="preserve"> בוועדה </w:t>
      </w:r>
      <w:r w:rsidR="000B2A8D" w:rsidRPr="002B2CD6">
        <w:rPr>
          <w:rFonts w:hint="cs"/>
          <w:rtl/>
        </w:rPr>
        <w:t>האם בכוונת הממשלה להשתמש בסעיף זה</w:t>
      </w:r>
      <w:r w:rsidR="00E15BF0" w:rsidRPr="002B2CD6">
        <w:rPr>
          <w:rFonts w:hint="cs"/>
          <w:rtl/>
        </w:rPr>
        <w:t xml:space="preserve"> על מנת להסדיר את משק הגז הטבעי.</w:t>
      </w:r>
    </w:p>
    <w:p w:rsidR="00E15BF0" w:rsidRDefault="00E15BF0" w:rsidP="00E15BF0">
      <w:pPr>
        <w:spacing w:after="120" w:line="360" w:lineRule="auto"/>
        <w:jc w:val="both"/>
        <w:rPr>
          <w:rtl/>
        </w:rPr>
      </w:pPr>
    </w:p>
    <w:p w:rsidR="00E15BF0" w:rsidRDefault="00E15BF0" w:rsidP="00E15BF0">
      <w:pPr>
        <w:spacing w:after="120" w:line="360" w:lineRule="auto"/>
        <w:ind w:left="6480"/>
        <w:jc w:val="center"/>
        <w:rPr>
          <w:rtl/>
        </w:rPr>
      </w:pPr>
    </w:p>
    <w:p w:rsidR="00E15BF0" w:rsidRDefault="00E15BF0" w:rsidP="00E15BF0">
      <w:pPr>
        <w:spacing w:after="120" w:line="360" w:lineRule="auto"/>
        <w:ind w:left="6480"/>
        <w:jc w:val="center"/>
        <w:rPr>
          <w:rtl/>
        </w:rPr>
      </w:pPr>
      <w:r>
        <w:rPr>
          <w:rFonts w:hint="cs"/>
          <w:rtl/>
        </w:rPr>
        <w:t>בכבוד רב,</w:t>
      </w:r>
    </w:p>
    <w:p w:rsidR="00E15BF0" w:rsidRPr="00E15BF0" w:rsidRDefault="00E15BF0" w:rsidP="00E15BF0">
      <w:pPr>
        <w:spacing w:after="120" w:line="360" w:lineRule="auto"/>
        <w:ind w:left="6480"/>
        <w:jc w:val="center"/>
      </w:pPr>
      <w:r>
        <w:rPr>
          <w:rFonts w:hint="cs"/>
          <w:rtl/>
        </w:rPr>
        <w:t>שגית אפיק</w:t>
      </w:r>
    </w:p>
    <w:p w:rsidR="003A65F9" w:rsidRPr="003A65F9" w:rsidRDefault="003A65F9" w:rsidP="003A65F9">
      <w:pPr>
        <w:spacing w:after="120" w:line="360" w:lineRule="auto"/>
        <w:jc w:val="both"/>
        <w:rPr>
          <w:highlight w:val="yellow"/>
          <w:rtl/>
        </w:rPr>
      </w:pPr>
    </w:p>
    <w:sectPr w:rsidR="003A65F9" w:rsidRPr="003A65F9" w:rsidSect="005B70D5">
      <w:headerReference w:type="even" r:id="rId13"/>
      <w:headerReference w:type="default" r:id="rId14"/>
      <w:footerReference w:type="even" r:id="rId15"/>
      <w:footerReference w:type="default" r:id="rId16"/>
      <w:headerReference w:type="first" r:id="rId17"/>
      <w:footerReference w:type="first" r:id="rId1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3199" w:rsidRDefault="00323199" w:rsidP="00B3472D">
      <w:r>
        <w:separator/>
      </w:r>
    </w:p>
  </w:endnote>
  <w:endnote w:type="continuationSeparator" w:id="0">
    <w:p w:rsidR="00323199" w:rsidRDefault="00323199" w:rsidP="00B34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E58" w:rsidRDefault="00F64E58">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tl/>
      </w:rPr>
      <w:id w:val="-322054930"/>
      <w:docPartObj>
        <w:docPartGallery w:val="Page Numbers (Bottom of Page)"/>
        <w:docPartUnique/>
      </w:docPartObj>
    </w:sdtPr>
    <w:sdtEndPr>
      <w:rPr>
        <w:cs/>
      </w:rPr>
    </w:sdtEndPr>
    <w:sdtContent>
      <w:p w:rsidR="00A10E6C" w:rsidRPr="00A10E6C" w:rsidRDefault="00A10E6C">
        <w:pPr>
          <w:pStyle w:val="ac"/>
          <w:jc w:val="center"/>
          <w:rPr>
            <w:sz w:val="20"/>
            <w:szCs w:val="20"/>
            <w:rtl/>
            <w:cs/>
          </w:rPr>
        </w:pPr>
        <w:r w:rsidRPr="00A10E6C">
          <w:rPr>
            <w:sz w:val="20"/>
            <w:szCs w:val="20"/>
          </w:rPr>
          <w:fldChar w:fldCharType="begin"/>
        </w:r>
        <w:r w:rsidRPr="00A10E6C">
          <w:rPr>
            <w:sz w:val="20"/>
            <w:szCs w:val="20"/>
            <w:rtl/>
            <w:cs/>
          </w:rPr>
          <w:instrText>PAGE   \* MERGEFORMAT</w:instrText>
        </w:r>
        <w:r w:rsidRPr="00A10E6C">
          <w:rPr>
            <w:sz w:val="20"/>
            <w:szCs w:val="20"/>
          </w:rPr>
          <w:fldChar w:fldCharType="separate"/>
        </w:r>
        <w:r w:rsidR="00D2311B" w:rsidRPr="00D2311B">
          <w:rPr>
            <w:noProof/>
            <w:sz w:val="20"/>
            <w:szCs w:val="20"/>
            <w:rtl/>
            <w:lang w:val="he-IL"/>
          </w:rPr>
          <w:t>1</w:t>
        </w:r>
        <w:r w:rsidRPr="00A10E6C">
          <w:rPr>
            <w:sz w:val="20"/>
            <w:szCs w:val="20"/>
          </w:rPr>
          <w:fldChar w:fldCharType="end"/>
        </w:r>
      </w:p>
    </w:sdtContent>
  </w:sdt>
  <w:p w:rsidR="00A10E6C" w:rsidRPr="00A10E6C" w:rsidRDefault="00A10E6C">
    <w:pPr>
      <w:pStyle w:val="ac"/>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E58" w:rsidRDefault="00F64E58">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3199" w:rsidRDefault="00323199" w:rsidP="00B3472D">
      <w:r>
        <w:separator/>
      </w:r>
    </w:p>
  </w:footnote>
  <w:footnote w:type="continuationSeparator" w:id="0">
    <w:p w:rsidR="00323199" w:rsidRDefault="00323199" w:rsidP="00B3472D">
      <w:r>
        <w:continuationSeparator/>
      </w:r>
    </w:p>
  </w:footnote>
  <w:footnote w:id="1">
    <w:p w:rsidR="006521B7" w:rsidRPr="005E0593" w:rsidRDefault="006521B7" w:rsidP="00D346FD">
      <w:pPr>
        <w:pStyle w:val="aa"/>
      </w:pPr>
      <w:r w:rsidRPr="00D37F48">
        <w:rPr>
          <w:rStyle w:val="a9"/>
          <w:rFonts w:ascii="Times New Roman" w:hAnsi="Times New Roman"/>
          <w:sz w:val="20"/>
        </w:rPr>
        <w:footnoteRef/>
      </w:r>
      <w:r w:rsidRPr="00D37F48">
        <w:rPr>
          <w:sz w:val="20"/>
          <w:rtl/>
        </w:rPr>
        <w:t xml:space="preserve"> </w:t>
      </w:r>
      <w:r w:rsidR="001D6851">
        <w:rPr>
          <w:rFonts w:hint="cs"/>
          <w:rtl/>
        </w:rPr>
        <w:t>את ההצעות האמורות יזמו</w:t>
      </w:r>
      <w:r w:rsidR="00F638E4" w:rsidRPr="005E0593">
        <w:rPr>
          <w:rFonts w:hint="cs"/>
          <w:rtl/>
        </w:rPr>
        <w:t xml:space="preserve"> חברי הכנסת שלי יחימוביץ, דב חנין, תמר זנדברג, יצחק כהן ומשה גפני.</w:t>
      </w:r>
    </w:p>
  </w:footnote>
  <w:footnote w:id="2">
    <w:p w:rsidR="0088096E" w:rsidRPr="005E0593" w:rsidRDefault="0088096E" w:rsidP="00B11B43">
      <w:pPr>
        <w:contextualSpacing/>
        <w:jc w:val="both"/>
      </w:pPr>
      <w:r w:rsidRPr="00D37F48">
        <w:rPr>
          <w:rStyle w:val="a9"/>
          <w:rFonts w:asciiTheme="majorBidi" w:hAnsiTheme="majorBidi" w:cstheme="majorBidi"/>
          <w:sz w:val="20"/>
          <w:szCs w:val="20"/>
          <w:lang w:eastAsia="ja-JP"/>
        </w:rPr>
        <w:footnoteRef/>
      </w:r>
      <w:r w:rsidRPr="00D37F48">
        <w:rPr>
          <w:rFonts w:asciiTheme="majorBidi" w:eastAsia="Arial Unicode MS" w:hAnsiTheme="majorBidi" w:cstheme="majorBidi"/>
          <w:snapToGrid w:val="0"/>
          <w:color w:val="000000"/>
          <w:sz w:val="20"/>
          <w:szCs w:val="20"/>
          <w:rtl/>
          <w:lang w:eastAsia="ja-JP"/>
        </w:rPr>
        <w:t xml:space="preserve"> </w:t>
      </w:r>
      <w:r w:rsidRPr="005E0593">
        <w:rPr>
          <w:rFonts w:ascii="Arial" w:eastAsia="Arial Unicode MS" w:hAnsi="Arial" w:hint="cs"/>
          <w:snapToGrid w:val="0"/>
          <w:color w:val="000000"/>
          <w:sz w:val="14"/>
          <w:szCs w:val="20"/>
          <w:rtl/>
          <w:lang w:eastAsia="ja-JP"/>
        </w:rPr>
        <w:t xml:space="preserve">יש לציין כי נושא מונופול הגז נדון בעיקר בוועדת הכלכלה של הכנסת, אך </w:t>
      </w:r>
      <w:r w:rsidR="00A2536E" w:rsidRPr="005E0593">
        <w:rPr>
          <w:rFonts w:ascii="Arial" w:eastAsia="Arial Unicode MS" w:hAnsi="Arial" w:hint="cs"/>
          <w:snapToGrid w:val="0"/>
          <w:color w:val="000000"/>
          <w:sz w:val="14"/>
          <w:szCs w:val="20"/>
          <w:rtl/>
          <w:lang w:eastAsia="ja-JP"/>
        </w:rPr>
        <w:t xml:space="preserve">נושא הגז הטבעי בהיבטים מסוימים </w:t>
      </w:r>
      <w:r w:rsidR="00B154CE" w:rsidRPr="005E0593">
        <w:rPr>
          <w:rFonts w:ascii="Arial" w:eastAsia="Arial Unicode MS" w:hAnsi="Arial" w:hint="cs"/>
          <w:snapToGrid w:val="0"/>
          <w:color w:val="000000"/>
          <w:sz w:val="14"/>
          <w:szCs w:val="20"/>
          <w:rtl/>
          <w:lang w:eastAsia="ja-JP"/>
        </w:rPr>
        <w:t xml:space="preserve">נדון גם בוועדת הכספים, ובין היתר הוועדה דנה בחוק </w:t>
      </w:r>
      <w:proofErr w:type="spellStart"/>
      <w:r w:rsidR="00B154CE" w:rsidRPr="005E0593">
        <w:rPr>
          <w:rFonts w:ascii="Arial" w:eastAsia="Arial Unicode MS" w:hAnsi="Arial" w:hint="cs"/>
          <w:snapToGrid w:val="0"/>
          <w:color w:val="000000"/>
          <w:sz w:val="14"/>
          <w:szCs w:val="20"/>
          <w:rtl/>
          <w:lang w:eastAsia="ja-JP"/>
        </w:rPr>
        <w:t>ששינסקי</w:t>
      </w:r>
      <w:proofErr w:type="spellEnd"/>
      <w:r w:rsidR="00B154CE" w:rsidRPr="005E0593">
        <w:rPr>
          <w:rFonts w:ascii="Arial" w:eastAsia="Arial Unicode MS" w:hAnsi="Arial" w:hint="cs"/>
          <w:snapToGrid w:val="0"/>
          <w:color w:val="000000"/>
          <w:sz w:val="14"/>
          <w:szCs w:val="20"/>
          <w:rtl/>
          <w:lang w:eastAsia="ja-JP"/>
        </w:rPr>
        <w:t xml:space="preserve"> שעניינו ההיטל מרווחי הגז.</w:t>
      </w:r>
    </w:p>
  </w:footnote>
  <w:footnote w:id="3">
    <w:p w:rsidR="00E717EA" w:rsidRPr="005E0593" w:rsidRDefault="00E717EA" w:rsidP="00CF71AE">
      <w:pPr>
        <w:pStyle w:val="aa"/>
        <w:jc w:val="left"/>
        <w:rPr>
          <w:rtl/>
        </w:rPr>
      </w:pPr>
      <w:r w:rsidRPr="00D37F48">
        <w:rPr>
          <w:rStyle w:val="a9"/>
          <w:rFonts w:asciiTheme="majorBidi" w:hAnsiTheme="majorBidi" w:cstheme="majorBidi"/>
          <w:sz w:val="20"/>
        </w:rPr>
        <w:footnoteRef/>
      </w:r>
      <w:r w:rsidR="00D573AD" w:rsidRPr="00D37F48">
        <w:rPr>
          <w:rFonts w:hint="cs"/>
          <w:sz w:val="20"/>
          <w:rtl/>
        </w:rPr>
        <w:t xml:space="preserve"> </w:t>
      </w:r>
      <w:r w:rsidRPr="00CF71AE">
        <w:rPr>
          <w:rFonts w:hint="cs"/>
          <w:rtl/>
        </w:rPr>
        <w:t xml:space="preserve">אתר משרד התשתיות הלאומיות, האנרגיה והמים </w:t>
      </w:r>
      <w:r w:rsidR="00CF71AE" w:rsidRPr="00CF71AE">
        <w:rPr>
          <w:rFonts w:hint="cs"/>
          <w:rtl/>
        </w:rPr>
        <w:t>"משק הגז הטבעי</w:t>
      </w:r>
      <w:r w:rsidR="00CF71AE">
        <w:rPr>
          <w:rFonts w:hint="cs"/>
          <w:rtl/>
        </w:rPr>
        <w:t xml:space="preserve"> ב</w:t>
      </w:r>
      <w:r w:rsidR="00D573AD" w:rsidRPr="00CF71AE">
        <w:rPr>
          <w:rFonts w:hint="cs"/>
          <w:rtl/>
        </w:rPr>
        <w:t>י</w:t>
      </w:r>
      <w:r w:rsidRPr="00CF71AE">
        <w:rPr>
          <w:rFonts w:hint="cs"/>
          <w:rtl/>
        </w:rPr>
        <w:t>שראל"</w:t>
      </w:r>
      <w:r w:rsidR="00CF71AE">
        <w:rPr>
          <w:rFonts w:hint="cs"/>
          <w:rtl/>
        </w:rPr>
        <w:t>:</w:t>
      </w:r>
      <w:r w:rsidR="00CF71AE" w:rsidRPr="00CF71AE">
        <w:rPr>
          <w:rFonts w:hint="cs"/>
          <w:rtl/>
        </w:rPr>
        <w:t xml:space="preserve"> </w:t>
      </w:r>
      <w:r w:rsidRPr="00CF71AE">
        <w:rPr>
          <w:rFonts w:ascii="Times New Roman" w:hAnsi="Times New Roman"/>
          <w:sz w:val="20"/>
        </w:rPr>
        <w:t>www.energy.gov.il/Subjects/NG/Pages/GxmsMniNGEconomy.aspx</w:t>
      </w:r>
    </w:p>
  </w:footnote>
  <w:footnote w:id="4">
    <w:p w:rsidR="00FD397A" w:rsidRPr="005E0593" w:rsidRDefault="00FD397A" w:rsidP="00D346FD">
      <w:pPr>
        <w:pStyle w:val="aa"/>
        <w:rPr>
          <w:rtl/>
        </w:rPr>
      </w:pPr>
      <w:r w:rsidRPr="00D37F48">
        <w:rPr>
          <w:rStyle w:val="a9"/>
          <w:rFonts w:ascii="Times New Roman" w:hAnsi="Times New Roman" w:cs="Times New Roman"/>
          <w:sz w:val="20"/>
        </w:rPr>
        <w:footnoteRef/>
      </w:r>
      <w:r w:rsidRPr="00D37F48">
        <w:rPr>
          <w:rFonts w:ascii="Times New Roman" w:hAnsi="Times New Roman" w:cs="Times New Roman"/>
          <w:sz w:val="20"/>
          <w:rtl/>
        </w:rPr>
        <w:t xml:space="preserve"> </w:t>
      </w:r>
      <w:r w:rsidRPr="005E0593">
        <w:rPr>
          <w:rFonts w:hint="cs"/>
          <w:rtl/>
        </w:rPr>
        <w:t xml:space="preserve">במהלך שנת 2014 סיפק מאגר תמר כ-7.51 </w:t>
      </w:r>
      <w:r w:rsidRPr="005E0593">
        <w:t>BCM</w:t>
      </w:r>
      <w:r w:rsidRPr="005E0593">
        <w:rPr>
          <w:rFonts w:hint="cs"/>
          <w:rtl/>
        </w:rPr>
        <w:t xml:space="preserve"> של גז טבעי המהווים כ-99% מסך אספקת הגז הטבעי לאותה תקופה.</w:t>
      </w:r>
    </w:p>
  </w:footnote>
  <w:footnote w:id="5">
    <w:p w:rsidR="009B2458" w:rsidRDefault="009B2458" w:rsidP="00D346FD">
      <w:pPr>
        <w:pStyle w:val="aa"/>
      </w:pPr>
      <w:r w:rsidRPr="00D37F48">
        <w:rPr>
          <w:rStyle w:val="a9"/>
          <w:rFonts w:ascii="Times New Roman" w:hAnsi="Times New Roman" w:cs="Times New Roman"/>
          <w:sz w:val="20"/>
        </w:rPr>
        <w:footnoteRef/>
      </w:r>
      <w:r w:rsidRPr="00D37F48">
        <w:rPr>
          <w:sz w:val="20"/>
          <w:rtl/>
        </w:rPr>
        <w:t xml:space="preserve"> </w:t>
      </w:r>
      <w:r w:rsidRPr="005E0593">
        <w:rPr>
          <w:rFonts w:hint="cs"/>
          <w:rtl/>
        </w:rPr>
        <w:t xml:space="preserve">חוק הנפט, </w:t>
      </w:r>
      <w:proofErr w:type="spellStart"/>
      <w:r w:rsidRPr="005E0593">
        <w:rPr>
          <w:rFonts w:hint="cs"/>
          <w:rtl/>
        </w:rPr>
        <w:t>התשי"ב</w:t>
      </w:r>
      <w:proofErr w:type="spellEnd"/>
      <w:r w:rsidRPr="005E0593">
        <w:rPr>
          <w:rFonts w:hint="cs"/>
          <w:rtl/>
        </w:rPr>
        <w:t xml:space="preserve">–1952, מסדיר את המסגרת החוקית לחיפוש והפקת גז טבעי בישראל. </w:t>
      </w:r>
      <w:r w:rsidR="007C72F1" w:rsidRPr="005E0593">
        <w:rPr>
          <w:rFonts w:hint="cs"/>
          <w:rtl/>
        </w:rPr>
        <w:t>החוק מגדיר שלושה סוגים של זכויות נפט: היתר מוקדם, רישיון וחזקה.</w:t>
      </w:r>
      <w:r w:rsidR="00EE7F94" w:rsidRPr="005E0593">
        <w:rPr>
          <w:rFonts w:hint="cs"/>
          <w:rtl/>
        </w:rPr>
        <w:t xml:space="preserve"> חזקה ניתנת</w:t>
      </w:r>
      <w:r w:rsidR="000E63E6" w:rsidRPr="005E0593">
        <w:rPr>
          <w:rFonts w:hint="cs"/>
          <w:rtl/>
        </w:rPr>
        <w:t xml:space="preserve"> מכוח סעיף 26 לחוק הנפט</w:t>
      </w:r>
      <w:r w:rsidR="00EE7F94" w:rsidRPr="005E0593">
        <w:rPr>
          <w:rFonts w:hint="cs"/>
          <w:rtl/>
        </w:rPr>
        <w:t xml:space="preserve"> על ידי הממונה על ענייני הנפט ו</w:t>
      </w:r>
      <w:r w:rsidR="007C72F1" w:rsidRPr="005E0593">
        <w:rPr>
          <w:rFonts w:hint="cs"/>
          <w:rtl/>
        </w:rPr>
        <w:t>מקנה לבעליה זכות ייחודית לחפש ולהפיק נפט וגז בשטחה</w:t>
      </w:r>
      <w:r w:rsidR="00F3786C" w:rsidRPr="005E0593">
        <w:rPr>
          <w:rFonts w:hint="cs"/>
          <w:rtl/>
        </w:rPr>
        <w:t xml:space="preserve"> כל זמן שהחזקה בתוקף</w:t>
      </w:r>
      <w:r w:rsidR="000E63E6" w:rsidRPr="005E0593">
        <w:rPr>
          <w:rFonts w:hint="cs"/>
          <w:rtl/>
        </w:rPr>
        <w:t xml:space="preserve"> (30 שנ</w:t>
      </w:r>
      <w:r w:rsidR="005649BF" w:rsidRPr="005E0593">
        <w:rPr>
          <w:rFonts w:hint="cs"/>
          <w:rtl/>
        </w:rPr>
        <w:t>ה</w:t>
      </w:r>
      <w:r w:rsidR="000E63E6" w:rsidRPr="005E0593">
        <w:rPr>
          <w:rFonts w:hint="cs"/>
          <w:rtl/>
        </w:rPr>
        <w:t xml:space="preserve"> עם</w:t>
      </w:r>
      <w:r w:rsidR="000E63E6">
        <w:rPr>
          <w:rFonts w:hint="cs"/>
          <w:rtl/>
        </w:rPr>
        <w:t xml:space="preserve"> אופציה להארכה של 20 שנה)</w:t>
      </w:r>
      <w:r w:rsidR="007C72F1">
        <w:rPr>
          <w:rFonts w:hint="cs"/>
          <w:rtl/>
        </w:rPr>
        <w:t xml:space="preserve">; </w:t>
      </w:r>
      <w:r w:rsidR="00DB0F0B">
        <w:rPr>
          <w:rFonts w:hint="cs"/>
          <w:rtl/>
        </w:rPr>
        <w:t xml:space="preserve">החזקה </w:t>
      </w:r>
      <w:proofErr w:type="spellStart"/>
      <w:r w:rsidR="00DB0F0B">
        <w:rPr>
          <w:rFonts w:hint="cs"/>
          <w:rtl/>
        </w:rPr>
        <w:t>בלוויתן</w:t>
      </w:r>
      <w:proofErr w:type="spellEnd"/>
      <w:r w:rsidR="00DB0F0B">
        <w:rPr>
          <w:rFonts w:hint="cs"/>
          <w:rtl/>
        </w:rPr>
        <w:t xml:space="preserve"> ניתנה ל</w:t>
      </w:r>
      <w:r w:rsidR="002B2CD6">
        <w:rPr>
          <w:rFonts w:hint="cs"/>
          <w:rtl/>
        </w:rPr>
        <w:t>שותפות ה</w:t>
      </w:r>
      <w:r w:rsidR="00DB0F0B">
        <w:rPr>
          <w:rFonts w:hint="cs"/>
          <w:rtl/>
        </w:rPr>
        <w:t>מחזיקות במאגר לוויתן</w:t>
      </w:r>
      <w:r w:rsidR="00B07C18">
        <w:rPr>
          <w:rFonts w:hint="cs"/>
          <w:rtl/>
        </w:rPr>
        <w:t>.</w:t>
      </w:r>
    </w:p>
  </w:footnote>
  <w:footnote w:id="6">
    <w:p w:rsidR="00A02248" w:rsidRDefault="00A02248" w:rsidP="00D346FD">
      <w:pPr>
        <w:pStyle w:val="aa"/>
        <w:rPr>
          <w:rtl/>
        </w:rPr>
      </w:pPr>
      <w:r w:rsidRPr="00D37F48">
        <w:rPr>
          <w:rStyle w:val="a9"/>
          <w:rFonts w:asciiTheme="majorBidi" w:hAnsiTheme="majorBidi" w:cstheme="majorBidi"/>
          <w:sz w:val="20"/>
        </w:rPr>
        <w:footnoteRef/>
      </w:r>
      <w:r w:rsidRPr="00D37F48">
        <w:rPr>
          <w:sz w:val="20"/>
          <w:rtl/>
        </w:rPr>
        <w:t xml:space="preserve"> </w:t>
      </w:r>
      <w:r>
        <w:rPr>
          <w:rFonts w:hint="cs"/>
          <w:rtl/>
        </w:rPr>
        <w:t xml:space="preserve">במהלך שנת 2014 סופקו כ-0.06 </w:t>
      </w:r>
      <w:r>
        <w:t>BCM</w:t>
      </w:r>
      <w:r>
        <w:rPr>
          <w:rFonts w:hint="cs"/>
          <w:rtl/>
        </w:rPr>
        <w:t xml:space="preserve"> לעומת כ-0.51 </w:t>
      </w:r>
      <w:r>
        <w:t>BCM</w:t>
      </w:r>
      <w:r>
        <w:rPr>
          <w:rFonts w:hint="cs"/>
          <w:rtl/>
        </w:rPr>
        <w:t xml:space="preserve"> בשנה הקודמת.</w:t>
      </w:r>
    </w:p>
  </w:footnote>
  <w:footnote w:id="7">
    <w:p w:rsidR="008A2D7F" w:rsidRDefault="008A2D7F" w:rsidP="00D346FD">
      <w:pPr>
        <w:pStyle w:val="aa"/>
      </w:pPr>
      <w:r w:rsidRPr="00D37F48">
        <w:rPr>
          <w:rStyle w:val="a9"/>
          <w:rFonts w:ascii="Times New Roman" w:hAnsi="Times New Roman" w:cs="Times New Roman"/>
          <w:sz w:val="20"/>
        </w:rPr>
        <w:footnoteRef/>
      </w:r>
      <w:r w:rsidRPr="00D37F48">
        <w:rPr>
          <w:rFonts w:ascii="Times New Roman" w:hAnsi="Times New Roman" w:cs="Times New Roman"/>
          <w:sz w:val="20"/>
          <w:rtl/>
        </w:rPr>
        <w:t xml:space="preserve"> </w:t>
      </w:r>
      <w:r w:rsidRPr="00A55686">
        <w:rPr>
          <w:rFonts w:hint="cs"/>
          <w:rtl/>
        </w:rPr>
        <w:t xml:space="preserve">משרד התשתיות הלאומיות, האנרגיה והמים, רשות הגז הטבעי "סקירת ההתפתחויות במשק הגז הטבעי בישראל בשנת 2013" </w:t>
      </w:r>
      <w:r w:rsidRPr="00A55686">
        <w:rPr>
          <w:rFonts w:ascii="Times New Roman" w:hAnsi="Times New Roman" w:cs="Times New Roman"/>
          <w:sz w:val="20"/>
        </w:rPr>
        <w:t>www.energy.gov.il/subjects/ng/documents/publication/ng2014-2015.pdf</w:t>
      </w:r>
    </w:p>
  </w:footnote>
  <w:footnote w:id="8">
    <w:p w:rsidR="00A829FE" w:rsidRDefault="00FC5201" w:rsidP="00D346FD">
      <w:pPr>
        <w:pStyle w:val="aa"/>
        <w:rPr>
          <w:rtl/>
        </w:rPr>
      </w:pPr>
      <w:r w:rsidRPr="00D37F48">
        <w:rPr>
          <w:rStyle w:val="a9"/>
          <w:rFonts w:ascii="Times New Roman" w:hAnsi="Times New Roman" w:cs="Times New Roman"/>
          <w:sz w:val="20"/>
        </w:rPr>
        <w:footnoteRef/>
      </w:r>
      <w:r w:rsidRPr="00D37F48">
        <w:rPr>
          <w:rFonts w:ascii="Times New Roman" w:hAnsi="Times New Roman" w:cs="Times New Roman"/>
          <w:sz w:val="20"/>
          <w:rtl/>
        </w:rPr>
        <w:t xml:space="preserve"> </w:t>
      </w:r>
      <w:r>
        <w:rPr>
          <w:rFonts w:hint="cs"/>
          <w:rtl/>
        </w:rPr>
        <w:t xml:space="preserve">חובת האספקה המינימאלית למשק </w:t>
      </w:r>
      <w:r w:rsidRPr="00C35756">
        <w:rPr>
          <w:rFonts w:hint="cs"/>
          <w:rtl/>
        </w:rPr>
        <w:t>המקומי</w:t>
      </w:r>
      <w:r w:rsidR="00A829FE">
        <w:rPr>
          <w:rFonts w:hint="cs"/>
          <w:rtl/>
        </w:rPr>
        <w:t>:</w:t>
      </w:r>
    </w:p>
    <w:p w:rsidR="00A829FE" w:rsidRDefault="00FC5201" w:rsidP="00D346FD">
      <w:pPr>
        <w:pStyle w:val="aa"/>
        <w:rPr>
          <w:rtl/>
        </w:rPr>
      </w:pPr>
      <w:r w:rsidRPr="00C35756">
        <w:rPr>
          <w:rFonts w:hint="cs"/>
          <w:rtl/>
        </w:rPr>
        <w:t xml:space="preserve">במאגרים שיכילו כ-200 </w:t>
      </w:r>
      <w:r w:rsidRPr="00C35756">
        <w:t>BCM</w:t>
      </w:r>
      <w:r w:rsidRPr="00C35756">
        <w:rPr>
          <w:rFonts w:hint="cs"/>
          <w:rtl/>
        </w:rPr>
        <w:t xml:space="preserve"> </w:t>
      </w:r>
      <w:r>
        <w:rPr>
          <w:rFonts w:hint="cs"/>
          <w:rtl/>
        </w:rPr>
        <w:t xml:space="preserve">(מיליארד מטר מעוקב) </w:t>
      </w:r>
      <w:r w:rsidRPr="00C35756">
        <w:rPr>
          <w:rFonts w:hint="cs"/>
          <w:rtl/>
        </w:rPr>
        <w:t>ומעלה</w:t>
      </w:r>
      <w:r w:rsidR="00A829FE">
        <w:rPr>
          <w:rFonts w:hint="cs"/>
          <w:rtl/>
        </w:rPr>
        <w:t>-50%;</w:t>
      </w:r>
    </w:p>
    <w:p w:rsidR="00A829FE" w:rsidRDefault="00FC5201" w:rsidP="00D346FD">
      <w:pPr>
        <w:pStyle w:val="aa"/>
        <w:rPr>
          <w:rtl/>
        </w:rPr>
      </w:pPr>
      <w:r w:rsidRPr="00EC1DB3">
        <w:rPr>
          <w:rFonts w:hint="cs"/>
          <w:rtl/>
        </w:rPr>
        <w:t xml:space="preserve">מאגרים שיכילו בין 100 ל-200 </w:t>
      </w:r>
      <w:r w:rsidRPr="00EC1DB3">
        <w:t>BCM</w:t>
      </w:r>
      <w:r w:rsidRPr="00EC1DB3">
        <w:rPr>
          <w:rFonts w:hint="cs"/>
          <w:rtl/>
        </w:rPr>
        <w:t xml:space="preserve"> </w:t>
      </w:r>
      <w:r w:rsidR="00A829FE">
        <w:rPr>
          <w:rFonts w:hint="cs"/>
          <w:rtl/>
        </w:rPr>
        <w:t>-</w:t>
      </w:r>
      <w:r w:rsidRPr="00EC1DB3">
        <w:rPr>
          <w:rFonts w:hint="cs"/>
          <w:rtl/>
        </w:rPr>
        <w:t xml:space="preserve"> 40%. </w:t>
      </w:r>
    </w:p>
    <w:p w:rsidR="00A829FE" w:rsidRDefault="00FC5201" w:rsidP="00D346FD">
      <w:pPr>
        <w:pStyle w:val="aa"/>
        <w:rPr>
          <w:rtl/>
        </w:rPr>
      </w:pPr>
      <w:r w:rsidRPr="00EC1DB3">
        <w:rPr>
          <w:rFonts w:hint="cs"/>
          <w:rtl/>
        </w:rPr>
        <w:t xml:space="preserve">מאגרים שיכילו בין 25 </w:t>
      </w:r>
      <w:r w:rsidRPr="00EC1DB3">
        <w:t>BCM</w:t>
      </w:r>
      <w:r w:rsidRPr="00EC1DB3">
        <w:rPr>
          <w:rFonts w:hint="cs"/>
          <w:rtl/>
        </w:rPr>
        <w:t xml:space="preserve"> ל-100 </w:t>
      </w:r>
      <w:r w:rsidRPr="00EC1DB3">
        <w:t xml:space="preserve">BCM </w:t>
      </w:r>
      <w:r w:rsidRPr="00EC1DB3">
        <w:rPr>
          <w:rFonts w:hint="cs"/>
          <w:rtl/>
        </w:rPr>
        <w:t xml:space="preserve"> </w:t>
      </w:r>
      <w:r w:rsidR="00A829FE">
        <w:rPr>
          <w:rFonts w:hint="cs"/>
          <w:rtl/>
        </w:rPr>
        <w:t>-</w:t>
      </w:r>
      <w:r w:rsidRPr="00EC1DB3">
        <w:rPr>
          <w:rFonts w:hint="cs"/>
          <w:rtl/>
        </w:rPr>
        <w:t xml:space="preserve"> 25%. </w:t>
      </w:r>
    </w:p>
    <w:p w:rsidR="00FC5201" w:rsidRDefault="00FC5201" w:rsidP="00D346FD">
      <w:pPr>
        <w:pStyle w:val="aa"/>
      </w:pPr>
      <w:r w:rsidRPr="00EC1DB3">
        <w:rPr>
          <w:rFonts w:hint="cs"/>
          <w:rtl/>
        </w:rPr>
        <w:t xml:space="preserve">מאגרים </w:t>
      </w:r>
      <w:r w:rsidR="00A829FE">
        <w:rPr>
          <w:rFonts w:hint="cs"/>
          <w:rtl/>
        </w:rPr>
        <w:t>שיכילו פחות</w:t>
      </w:r>
      <w:r w:rsidRPr="00EC1DB3">
        <w:rPr>
          <w:rFonts w:hint="cs"/>
          <w:rtl/>
        </w:rPr>
        <w:t xml:space="preserve"> מ-25 </w:t>
      </w:r>
      <w:r w:rsidRPr="00EC1DB3">
        <w:t>BCM</w:t>
      </w:r>
      <w:r w:rsidRPr="00EC1DB3">
        <w:rPr>
          <w:rFonts w:hint="cs"/>
          <w:rtl/>
        </w:rPr>
        <w:t xml:space="preserve"> יחויבו בחיבור לתשתיות בישראל אך יוכלו לייצא את מלוא התפוקה שלהם.</w:t>
      </w:r>
    </w:p>
  </w:footnote>
  <w:footnote w:id="9">
    <w:p w:rsidR="00462486" w:rsidRDefault="00462486" w:rsidP="00D346FD">
      <w:pPr>
        <w:pStyle w:val="aa"/>
        <w:rPr>
          <w:rtl/>
        </w:rPr>
      </w:pPr>
      <w:r w:rsidRPr="00D37F48">
        <w:rPr>
          <w:rStyle w:val="a9"/>
          <w:rFonts w:asciiTheme="majorBidi" w:hAnsiTheme="majorBidi" w:cstheme="majorBidi"/>
          <w:sz w:val="20"/>
        </w:rPr>
        <w:footnoteRef/>
      </w:r>
      <w:r w:rsidRPr="00D37F48">
        <w:rPr>
          <w:rFonts w:asciiTheme="majorBidi" w:hAnsiTheme="majorBidi" w:cstheme="majorBidi"/>
          <w:sz w:val="20"/>
          <w:rtl/>
        </w:rPr>
        <w:t xml:space="preserve"> </w:t>
      </w:r>
      <w:r>
        <w:rPr>
          <w:rFonts w:hint="cs"/>
          <w:rtl/>
        </w:rPr>
        <w:t>מרכז המחקר והמידע של הכנסת "המדיניות בנוגע לשימוש במשאבי הגז הטבעי", 23 באפריל 2013.</w:t>
      </w:r>
    </w:p>
  </w:footnote>
  <w:footnote w:id="10">
    <w:p w:rsidR="0006408D" w:rsidRDefault="0006408D" w:rsidP="00D346FD">
      <w:pPr>
        <w:pStyle w:val="aa"/>
      </w:pPr>
      <w:r w:rsidRPr="00D37F48">
        <w:rPr>
          <w:rStyle w:val="a9"/>
          <w:rFonts w:asciiTheme="majorBidi" w:hAnsiTheme="majorBidi" w:cstheme="majorBidi"/>
          <w:sz w:val="20"/>
        </w:rPr>
        <w:footnoteRef/>
      </w:r>
      <w:r w:rsidRPr="00D37F48">
        <w:rPr>
          <w:rFonts w:asciiTheme="majorBidi" w:hAnsiTheme="majorBidi" w:cstheme="majorBidi"/>
          <w:sz w:val="20"/>
          <w:rtl/>
        </w:rPr>
        <w:t xml:space="preserve"> </w:t>
      </w:r>
      <w:r>
        <w:rPr>
          <w:rFonts w:hint="cs"/>
          <w:rtl/>
        </w:rPr>
        <w:t>החלטת ממשלה מס' 442 מיום 23.06.13.</w:t>
      </w:r>
    </w:p>
  </w:footnote>
  <w:footnote w:id="11">
    <w:p w:rsidR="0006408D" w:rsidRDefault="0006408D" w:rsidP="00D346FD">
      <w:pPr>
        <w:pStyle w:val="aa"/>
        <w:rPr>
          <w:rtl/>
        </w:rPr>
      </w:pPr>
      <w:r w:rsidRPr="00D37F48">
        <w:rPr>
          <w:rStyle w:val="a9"/>
          <w:rFonts w:asciiTheme="majorBidi" w:hAnsiTheme="majorBidi" w:cstheme="majorBidi"/>
          <w:sz w:val="20"/>
        </w:rPr>
        <w:footnoteRef/>
      </w:r>
      <w:r w:rsidRPr="00D37F48">
        <w:rPr>
          <w:rFonts w:asciiTheme="majorBidi" w:hAnsiTheme="majorBidi" w:cstheme="majorBidi"/>
          <w:sz w:val="20"/>
          <w:rtl/>
        </w:rPr>
        <w:t xml:space="preserve"> </w:t>
      </w:r>
      <w:r w:rsidR="004E58C2">
        <w:rPr>
          <w:rFonts w:hint="cs"/>
          <w:rtl/>
        </w:rPr>
        <w:t xml:space="preserve"> </w:t>
      </w:r>
      <w:r>
        <w:rPr>
          <w:rFonts w:hint="cs"/>
          <w:rtl/>
        </w:rPr>
        <w:t xml:space="preserve">ההכרזה פורסמה ברשומות ביום 16 בדצמבר 2012, ג' בטבת </w:t>
      </w:r>
      <w:proofErr w:type="spellStart"/>
      <w:r>
        <w:rPr>
          <w:rFonts w:hint="cs"/>
          <w:rtl/>
        </w:rPr>
        <w:t>התשע"ג</w:t>
      </w:r>
      <w:proofErr w:type="spellEnd"/>
      <w:r>
        <w:rPr>
          <w:rFonts w:hint="cs"/>
          <w:rtl/>
        </w:rPr>
        <w:t>. ילקוט פרסומים</w:t>
      </w:r>
      <w:r w:rsidR="000C5CEA">
        <w:rPr>
          <w:rFonts w:hint="cs"/>
          <w:rtl/>
        </w:rPr>
        <w:t xml:space="preserve"> מס'</w:t>
      </w:r>
      <w:r>
        <w:rPr>
          <w:rFonts w:hint="cs"/>
          <w:rtl/>
        </w:rPr>
        <w:t xml:space="preserve"> 6513</w:t>
      </w:r>
      <w:r w:rsidR="00FB3AAE">
        <w:rPr>
          <w:rFonts w:hint="cs"/>
          <w:rtl/>
        </w:rPr>
        <w:t>.</w:t>
      </w:r>
    </w:p>
  </w:footnote>
  <w:footnote w:id="12">
    <w:p w:rsidR="0095052F" w:rsidRDefault="0095052F" w:rsidP="00D346FD">
      <w:pPr>
        <w:jc w:val="both"/>
        <w:rPr>
          <w:rtl/>
        </w:rPr>
      </w:pPr>
      <w:r w:rsidRPr="00D37F48">
        <w:rPr>
          <w:rStyle w:val="a9"/>
          <w:rFonts w:asciiTheme="majorBidi" w:eastAsia="Arial Unicode MS" w:hAnsiTheme="majorBidi" w:cstheme="majorBidi"/>
          <w:color w:val="000000"/>
          <w:sz w:val="20"/>
          <w:szCs w:val="20"/>
        </w:rPr>
        <w:footnoteRef/>
      </w:r>
      <w:r w:rsidR="004E58C2" w:rsidRPr="00D37F48">
        <w:rPr>
          <w:rFonts w:asciiTheme="majorBidi" w:eastAsia="Arial Unicode MS" w:hAnsiTheme="majorBidi" w:cstheme="majorBidi"/>
          <w:snapToGrid w:val="0"/>
          <w:color w:val="000000"/>
          <w:sz w:val="20"/>
          <w:szCs w:val="20"/>
          <w:rtl/>
          <w:lang w:eastAsia="ja-JP"/>
        </w:rPr>
        <w:t xml:space="preserve"> </w:t>
      </w:r>
      <w:r w:rsidRPr="00F56B67">
        <w:rPr>
          <w:rFonts w:ascii="Arial" w:eastAsia="Arial Unicode MS" w:hAnsi="Arial" w:hint="cs"/>
          <w:snapToGrid w:val="0"/>
          <w:color w:val="000000"/>
          <w:sz w:val="14"/>
          <w:szCs w:val="20"/>
          <w:rtl/>
          <w:lang w:eastAsia="ja-JP"/>
        </w:rPr>
        <w:t xml:space="preserve">המחזיקות במאגר התקשרו ביניהן בהסכם תפעול משותף, לפיו עיקר הפעולות המהותיות בנוגע לפיתוח המאגר והפקת הגז נקבעות על ידי המחזיקות, ברוב </w:t>
      </w:r>
      <w:proofErr w:type="spellStart"/>
      <w:r w:rsidRPr="00F56B67">
        <w:rPr>
          <w:rFonts w:ascii="Arial" w:eastAsia="Arial Unicode MS" w:hAnsi="Arial" w:hint="cs"/>
          <w:snapToGrid w:val="0"/>
          <w:color w:val="000000"/>
          <w:sz w:val="14"/>
          <w:szCs w:val="20"/>
          <w:rtl/>
          <w:lang w:eastAsia="ja-JP"/>
        </w:rPr>
        <w:t>מסויים</w:t>
      </w:r>
      <w:proofErr w:type="spellEnd"/>
      <w:r w:rsidRPr="00F56B67">
        <w:rPr>
          <w:rFonts w:ascii="Arial" w:eastAsia="Arial Unicode MS" w:hAnsi="Arial" w:hint="cs"/>
          <w:snapToGrid w:val="0"/>
          <w:color w:val="000000"/>
          <w:sz w:val="14"/>
          <w:szCs w:val="20"/>
          <w:rtl/>
          <w:lang w:eastAsia="ja-JP"/>
        </w:rPr>
        <w:t>, על ידי ועדת תפעול משותפת, וכל פעילות ההפקה והפיתוח נעשית על ידי כל המחזיקות יחד. היבטים שונים אלה מעידים על כך שהמחזיקות, בכל הנוגע לפעילותן במאגר, פועלות כאחד: הפקת הגז היא הפקה של כלל המחזיקות וכן שיווק ומכירת הגז נעשים על ידי כלל המחזיקות.</w:t>
      </w:r>
    </w:p>
  </w:footnote>
  <w:footnote w:id="13">
    <w:p w:rsidR="0095052F" w:rsidRPr="00F56B67" w:rsidRDefault="0095052F" w:rsidP="00D346FD">
      <w:pPr>
        <w:jc w:val="both"/>
        <w:rPr>
          <w:rFonts w:ascii="Arial" w:eastAsia="Arial Unicode MS" w:hAnsi="Arial"/>
          <w:snapToGrid w:val="0"/>
          <w:color w:val="000000"/>
          <w:sz w:val="14"/>
          <w:szCs w:val="20"/>
          <w:rtl/>
          <w:lang w:eastAsia="ja-JP"/>
        </w:rPr>
      </w:pPr>
      <w:r w:rsidRPr="00D37F48">
        <w:rPr>
          <w:rStyle w:val="a9"/>
          <w:rFonts w:asciiTheme="majorBidi" w:eastAsia="Arial Unicode MS" w:hAnsiTheme="majorBidi" w:cstheme="majorBidi"/>
          <w:color w:val="000000"/>
          <w:sz w:val="20"/>
          <w:szCs w:val="20"/>
        </w:rPr>
        <w:footnoteRef/>
      </w:r>
      <w:r w:rsidRPr="00D37F48">
        <w:rPr>
          <w:rFonts w:asciiTheme="majorBidi" w:eastAsia="Arial Unicode MS" w:hAnsiTheme="majorBidi" w:cstheme="majorBidi"/>
          <w:snapToGrid w:val="0"/>
          <w:color w:val="000000"/>
          <w:sz w:val="20"/>
          <w:szCs w:val="20"/>
          <w:vertAlign w:val="superscript"/>
          <w:rtl/>
          <w:lang w:eastAsia="ja-JP"/>
        </w:rPr>
        <w:t xml:space="preserve"> </w:t>
      </w:r>
      <w:r>
        <w:rPr>
          <w:rFonts w:ascii="Arial" w:eastAsia="Arial Unicode MS" w:hAnsi="Arial" w:hint="cs"/>
          <w:snapToGrid w:val="0"/>
          <w:color w:val="000000"/>
          <w:sz w:val="14"/>
          <w:szCs w:val="20"/>
          <w:rtl/>
          <w:lang w:eastAsia="ja-JP"/>
        </w:rPr>
        <w:t xml:space="preserve">א. </w:t>
      </w:r>
      <w:r w:rsidRPr="00F56B67">
        <w:rPr>
          <w:rFonts w:ascii="Arial" w:eastAsia="Arial Unicode MS" w:hAnsi="Arial" w:hint="cs"/>
          <w:snapToGrid w:val="0"/>
          <w:color w:val="000000"/>
          <w:sz w:val="14"/>
          <w:szCs w:val="20"/>
          <w:rtl/>
          <w:lang w:eastAsia="ja-JP"/>
        </w:rPr>
        <w:t xml:space="preserve">יחסי הכוחות בין המחזיקות </w:t>
      </w:r>
      <w:r w:rsidRPr="00F56B67">
        <w:rPr>
          <w:rFonts w:ascii="Arial" w:eastAsia="Arial Unicode MS" w:hAnsi="Arial"/>
          <w:snapToGrid w:val="0"/>
          <w:color w:val="000000"/>
          <w:sz w:val="14"/>
          <w:szCs w:val="20"/>
          <w:rtl/>
          <w:lang w:eastAsia="ja-JP"/>
        </w:rPr>
        <w:t>–</w:t>
      </w:r>
      <w:r w:rsidRPr="00F56B67">
        <w:rPr>
          <w:rFonts w:ascii="Arial" w:eastAsia="Arial Unicode MS" w:hAnsi="Arial" w:hint="cs"/>
          <w:snapToGrid w:val="0"/>
          <w:color w:val="000000"/>
          <w:sz w:val="14"/>
          <w:szCs w:val="20"/>
          <w:rtl/>
          <w:lang w:eastAsia="ja-JP"/>
        </w:rPr>
        <w:t xml:space="preserve"> לאף אחת מן המחזיקות במאגר אין למעלה ממחצית הזכויות בו. ועל פי ה-</w:t>
      </w:r>
      <w:r w:rsidRPr="00F56B67">
        <w:rPr>
          <w:rFonts w:ascii="Arial" w:eastAsia="Arial Unicode MS" w:hAnsi="Arial"/>
          <w:snapToGrid w:val="0"/>
          <w:color w:val="000000"/>
          <w:sz w:val="14"/>
          <w:szCs w:val="20"/>
          <w:lang w:eastAsia="ja-JP"/>
        </w:rPr>
        <w:t>JOA</w:t>
      </w:r>
      <w:r w:rsidRPr="00F56B67">
        <w:rPr>
          <w:rFonts w:ascii="Arial" w:eastAsia="Arial Unicode MS" w:hAnsi="Arial" w:hint="cs"/>
          <w:snapToGrid w:val="0"/>
          <w:color w:val="000000"/>
          <w:sz w:val="14"/>
          <w:szCs w:val="20"/>
          <w:rtl/>
          <w:lang w:eastAsia="ja-JP"/>
        </w:rPr>
        <w:t xml:space="preserve"> אין לאף אחת מהן הרוב הדרוש להובלת פעולות מהותיות בנוגע לפיתוח והפקת גז ממנו. משכך, לא ניתן לזהות בעל שליטה מבין המחזיקות במשותף בתמר. </w:t>
      </w:r>
    </w:p>
    <w:p w:rsidR="0095052F" w:rsidRPr="00F56B67" w:rsidRDefault="0095052F" w:rsidP="00D346FD">
      <w:pPr>
        <w:pStyle w:val="p000"/>
        <w:tabs>
          <w:tab w:val="left" w:pos="624"/>
          <w:tab w:val="left" w:pos="1021"/>
          <w:tab w:val="left" w:pos="1474"/>
          <w:tab w:val="left" w:pos="1928"/>
          <w:tab w:val="left" w:pos="2381"/>
          <w:tab w:val="right" w:leader="dot" w:pos="6259"/>
          <w:tab w:val="left" w:pos="8306"/>
        </w:tabs>
        <w:bidi/>
        <w:spacing w:before="0" w:beforeAutospacing="0" w:after="0" w:afterAutospacing="0"/>
        <w:jc w:val="both"/>
        <w:rPr>
          <w:rFonts w:ascii="Arial" w:eastAsia="Arial Unicode MS" w:hAnsi="Arial"/>
          <w:snapToGrid w:val="0"/>
          <w:color w:val="000000"/>
          <w:sz w:val="14"/>
          <w:szCs w:val="20"/>
          <w:lang w:eastAsia="ja-JP"/>
        </w:rPr>
      </w:pPr>
      <w:r>
        <w:rPr>
          <w:rFonts w:ascii="Arial" w:eastAsia="Arial Unicode MS" w:hAnsi="Arial" w:hint="cs"/>
          <w:snapToGrid w:val="0"/>
          <w:color w:val="000000"/>
          <w:sz w:val="14"/>
          <w:szCs w:val="20"/>
          <w:rtl/>
          <w:lang w:eastAsia="ja-JP"/>
        </w:rPr>
        <w:t xml:space="preserve">ב. </w:t>
      </w:r>
      <w:r w:rsidRPr="00F56B67">
        <w:rPr>
          <w:rFonts w:ascii="Arial" w:eastAsia="Arial Unicode MS" w:hAnsi="Arial" w:hint="cs"/>
          <w:snapToGrid w:val="0"/>
          <w:color w:val="000000"/>
          <w:sz w:val="14"/>
          <w:szCs w:val="20"/>
          <w:rtl/>
          <w:lang w:eastAsia="ja-JP"/>
        </w:rPr>
        <w:t xml:space="preserve">מנגנון ההצבעה בין המחזיקות </w:t>
      </w:r>
      <w:r w:rsidRPr="00F56B67">
        <w:rPr>
          <w:rFonts w:ascii="Arial" w:eastAsia="Arial Unicode MS" w:hAnsi="Arial" w:hint="eastAsia"/>
          <w:snapToGrid w:val="0"/>
          <w:color w:val="000000"/>
          <w:sz w:val="14"/>
          <w:szCs w:val="20"/>
          <w:rtl/>
          <w:lang w:eastAsia="ja-JP"/>
        </w:rPr>
        <w:t>–</w:t>
      </w:r>
      <w:r w:rsidRPr="00F56B67">
        <w:rPr>
          <w:rFonts w:ascii="Arial" w:eastAsia="Arial Unicode MS" w:hAnsi="Arial" w:hint="cs"/>
          <w:snapToGrid w:val="0"/>
          <w:color w:val="000000"/>
          <w:sz w:val="14"/>
          <w:szCs w:val="20"/>
          <w:rtl/>
          <w:lang w:eastAsia="ja-JP"/>
        </w:rPr>
        <w:t xml:space="preserve"> הסכם התפעול המשותף, שכאמור מסדיר את מערך היחסים בין הצדדים, כולל בין היתר מנגנון הצבעה, אשר מחייב קבלת החלטות ברוב של שני צדדים לפחות, המחזיקים ב 68% לפחות מהזכויות על פי שטר החזקה. כפועל יוצא ממנגנון הצבעה זה, ומאחר שאין לשתיים מן המחזיקות במאגר תמר 68% מהזכויות, לא ניתן למעשה לקבל החלטות ללא הצבעה חיובית של לפחות שלוש מן המחזיקות (שאחת מהן היא נובל). משכך, לכל אחת מן המחזיקות יכולת לכוון את הפעילות המשותפת, אשר אינה משתקפת בהכרח בשיעור אחזקותיה במאגרים.</w:t>
      </w:r>
    </w:p>
    <w:p w:rsidR="0095052F" w:rsidRDefault="0095052F" w:rsidP="00D346FD">
      <w:pPr>
        <w:pStyle w:val="p000"/>
        <w:tabs>
          <w:tab w:val="left" w:pos="624"/>
          <w:tab w:val="left" w:pos="1021"/>
          <w:tab w:val="left" w:pos="1474"/>
          <w:tab w:val="left" w:pos="1928"/>
          <w:tab w:val="left" w:pos="2381"/>
          <w:tab w:val="right" w:leader="dot" w:pos="6259"/>
          <w:tab w:val="left" w:pos="8306"/>
        </w:tabs>
        <w:bidi/>
        <w:spacing w:before="0" w:beforeAutospacing="0" w:after="0" w:afterAutospacing="0"/>
        <w:jc w:val="both"/>
        <w:rPr>
          <w:rtl/>
        </w:rPr>
      </w:pPr>
      <w:r>
        <w:rPr>
          <w:rFonts w:ascii="Arial" w:eastAsia="Arial Unicode MS" w:hAnsi="Arial" w:hint="cs"/>
          <w:snapToGrid w:val="0"/>
          <w:color w:val="000000"/>
          <w:sz w:val="14"/>
          <w:szCs w:val="20"/>
          <w:rtl/>
          <w:lang w:eastAsia="ja-JP"/>
        </w:rPr>
        <w:t>ג.</w:t>
      </w:r>
      <w:r w:rsidR="009A26CF">
        <w:rPr>
          <w:rFonts w:ascii="Arial" w:eastAsia="Arial Unicode MS" w:hAnsi="Arial" w:hint="cs"/>
          <w:snapToGrid w:val="0"/>
          <w:color w:val="000000"/>
          <w:sz w:val="14"/>
          <w:szCs w:val="20"/>
          <w:rtl/>
          <w:lang w:eastAsia="ja-JP"/>
        </w:rPr>
        <w:t xml:space="preserve"> </w:t>
      </w:r>
      <w:r w:rsidRPr="00F56B67">
        <w:rPr>
          <w:rFonts w:ascii="Arial" w:eastAsia="Arial Unicode MS" w:hAnsi="Arial" w:hint="cs"/>
          <w:snapToGrid w:val="0"/>
          <w:color w:val="000000"/>
          <w:sz w:val="14"/>
          <w:szCs w:val="20"/>
          <w:rtl/>
          <w:lang w:eastAsia="ja-JP"/>
        </w:rPr>
        <w:t xml:space="preserve">תכלית חוק ההגבלים העסקיים </w:t>
      </w:r>
      <w:r w:rsidRPr="00F56B67">
        <w:rPr>
          <w:rFonts w:ascii="Arial" w:eastAsia="Arial Unicode MS" w:hAnsi="Arial" w:hint="eastAsia"/>
          <w:snapToGrid w:val="0"/>
          <w:color w:val="000000"/>
          <w:sz w:val="14"/>
          <w:szCs w:val="20"/>
          <w:rtl/>
          <w:lang w:eastAsia="ja-JP"/>
        </w:rPr>
        <w:t>–</w:t>
      </w:r>
      <w:r w:rsidRPr="00F56B67">
        <w:rPr>
          <w:rFonts w:ascii="Arial" w:eastAsia="Arial Unicode MS" w:hAnsi="Arial" w:hint="cs"/>
          <w:snapToGrid w:val="0"/>
          <w:color w:val="000000"/>
          <w:sz w:val="14"/>
          <w:szCs w:val="20"/>
          <w:rtl/>
          <w:lang w:eastAsia="ja-JP"/>
        </w:rPr>
        <w:t xml:space="preserve"> שטר החזקה אשר הוענק למחזיקות במאגר </w:t>
      </w:r>
      <w:proofErr w:type="spellStart"/>
      <w:r w:rsidRPr="00F56B67">
        <w:rPr>
          <w:rFonts w:ascii="Arial" w:eastAsia="Arial Unicode MS" w:hAnsi="Arial" w:hint="cs"/>
          <w:snapToGrid w:val="0"/>
          <w:color w:val="000000"/>
          <w:sz w:val="14"/>
          <w:szCs w:val="20"/>
          <w:rtl/>
          <w:lang w:eastAsia="ja-JP"/>
        </w:rPr>
        <w:t>מכח</w:t>
      </w:r>
      <w:proofErr w:type="spellEnd"/>
      <w:r w:rsidRPr="00F56B67">
        <w:rPr>
          <w:rFonts w:ascii="Arial" w:eastAsia="Arial Unicode MS" w:hAnsi="Arial" w:hint="cs"/>
          <w:snapToGrid w:val="0"/>
          <w:color w:val="000000"/>
          <w:sz w:val="14"/>
          <w:szCs w:val="20"/>
          <w:rtl/>
          <w:lang w:eastAsia="ja-JP"/>
        </w:rPr>
        <w:t xml:space="preserve"> חוק הנפט הגדיר את המחזיקות כבעלות החזקה יחד ולחוד. הסעיפים בשטר החזקה אשר מטילים חובה על המפעיל במאגר, אף נוקטים בלשון מפורשת לפיה אין בכך כדי לגרוע מהתחייבויותיהם ומאחריותם של כל אחד מהמחזיקים לפעול בהתאם להוראות שטר החזקה ולהוראות כל דין, יחד ולחוד. </w:t>
      </w:r>
    </w:p>
  </w:footnote>
  <w:footnote w:id="14">
    <w:p w:rsidR="00B3064F" w:rsidRPr="00F9180E" w:rsidRDefault="00B3064F" w:rsidP="00D346FD">
      <w:pPr>
        <w:pStyle w:val="a7"/>
        <w:ind w:left="0"/>
        <w:jc w:val="both"/>
        <w:rPr>
          <w:rFonts w:ascii="Arial" w:eastAsia="Arial Unicode MS" w:hAnsi="Arial"/>
          <w:snapToGrid w:val="0"/>
          <w:color w:val="000000"/>
          <w:sz w:val="14"/>
          <w:szCs w:val="20"/>
          <w:rtl/>
          <w:lang w:eastAsia="ja-JP"/>
        </w:rPr>
      </w:pPr>
      <w:r w:rsidRPr="00D37F48">
        <w:rPr>
          <w:rStyle w:val="a9"/>
          <w:rFonts w:asciiTheme="majorBidi" w:eastAsia="Arial Unicode MS" w:hAnsiTheme="majorBidi" w:cstheme="majorBidi"/>
          <w:color w:val="000000"/>
          <w:sz w:val="20"/>
          <w:szCs w:val="20"/>
        </w:rPr>
        <w:footnoteRef/>
      </w:r>
      <w:r w:rsidRPr="00D37F48">
        <w:rPr>
          <w:rStyle w:val="a9"/>
          <w:rFonts w:asciiTheme="majorBidi" w:hAnsiTheme="majorBidi" w:cstheme="majorBidi"/>
          <w:sz w:val="20"/>
          <w:szCs w:val="20"/>
          <w:rtl/>
        </w:rPr>
        <w:t xml:space="preserve"> </w:t>
      </w:r>
      <w:r w:rsidRPr="00F9180E">
        <w:rPr>
          <w:rFonts w:ascii="Arial" w:eastAsia="Arial Unicode MS" w:hAnsi="Arial" w:hint="cs"/>
          <w:snapToGrid w:val="0"/>
          <w:color w:val="000000"/>
          <w:sz w:val="14"/>
          <w:szCs w:val="20"/>
          <w:rtl/>
          <w:lang w:eastAsia="ja-JP"/>
        </w:rPr>
        <w:t>ניצול מעמד לרעה כאמור כולל, על פי החוק, בין היתר, כל אחד מהמקרים הבאים: קביעה של רמת מחירי קניה או מכירה בלתי הוגנים של הנכס או של השירות שבמונופולין וצמצום או הגדלה של כמות הנכסים של בעל מונ</w:t>
      </w:r>
      <w:r w:rsidR="00B70581">
        <w:rPr>
          <w:rFonts w:ascii="Arial" w:eastAsia="Arial Unicode MS" w:hAnsi="Arial" w:hint="cs"/>
          <w:snapToGrid w:val="0"/>
          <w:color w:val="000000"/>
          <w:sz w:val="14"/>
          <w:szCs w:val="20"/>
          <w:rtl/>
          <w:lang w:eastAsia="ja-JP"/>
        </w:rPr>
        <w:t>ו</w:t>
      </w:r>
      <w:r w:rsidRPr="00F9180E">
        <w:rPr>
          <w:rFonts w:ascii="Arial" w:eastAsia="Arial Unicode MS" w:hAnsi="Arial" w:hint="cs"/>
          <w:snapToGrid w:val="0"/>
          <w:color w:val="000000"/>
          <w:sz w:val="14"/>
          <w:szCs w:val="20"/>
          <w:rtl/>
          <w:lang w:eastAsia="ja-JP"/>
        </w:rPr>
        <w:t xml:space="preserve">פולין, שלא במסגרת פעילות תחרותית הוגנת. </w:t>
      </w:r>
    </w:p>
  </w:footnote>
  <w:footnote w:id="15">
    <w:p w:rsidR="00B3064F" w:rsidRPr="00F9180E" w:rsidRDefault="00B3064F" w:rsidP="00D346FD">
      <w:pPr>
        <w:pStyle w:val="a7"/>
        <w:ind w:left="0"/>
        <w:jc w:val="both"/>
        <w:rPr>
          <w:rFonts w:ascii="Arial" w:eastAsia="Arial Unicode MS" w:hAnsi="Arial"/>
          <w:snapToGrid w:val="0"/>
          <w:color w:val="000000"/>
          <w:sz w:val="14"/>
          <w:szCs w:val="20"/>
          <w:lang w:eastAsia="ja-JP"/>
        </w:rPr>
      </w:pPr>
      <w:r w:rsidRPr="00D37F48">
        <w:rPr>
          <w:rStyle w:val="a9"/>
          <w:rFonts w:asciiTheme="majorBidi" w:eastAsia="Arial Unicode MS" w:hAnsiTheme="majorBidi" w:cstheme="majorBidi"/>
          <w:color w:val="000000"/>
          <w:sz w:val="20"/>
          <w:szCs w:val="20"/>
        </w:rPr>
        <w:footnoteRef/>
      </w:r>
      <w:r w:rsidR="004E58C2" w:rsidRPr="003E51B6">
        <w:rPr>
          <w:rFonts w:asciiTheme="majorBidi" w:eastAsia="Arial Unicode MS" w:hAnsiTheme="majorBidi" w:cstheme="majorBidi"/>
          <w:snapToGrid w:val="0"/>
          <w:color w:val="000000"/>
          <w:sz w:val="16"/>
          <w:szCs w:val="16"/>
          <w:rtl/>
          <w:lang w:eastAsia="ja-JP"/>
        </w:rPr>
        <w:t xml:space="preserve"> </w:t>
      </w:r>
      <w:r w:rsidRPr="00F9180E">
        <w:rPr>
          <w:rFonts w:ascii="Arial" w:eastAsia="Arial Unicode MS" w:hAnsi="Arial" w:hint="cs"/>
          <w:snapToGrid w:val="0"/>
          <w:color w:val="000000"/>
          <w:sz w:val="14"/>
          <w:szCs w:val="20"/>
          <w:rtl/>
          <w:lang w:eastAsia="ja-JP"/>
        </w:rPr>
        <w:t xml:space="preserve">יראו פגיעה כאמור לפי החוק, כל פגיעה שנוגעת למחיר של הנכס או השירות, איכות הנכס או השירות, כמות הנכסים או היקף השירות, אספקת הנכס או השירות, </w:t>
      </w:r>
      <w:proofErr w:type="spellStart"/>
      <w:r w:rsidRPr="00F9180E">
        <w:rPr>
          <w:rFonts w:ascii="Arial" w:eastAsia="Arial Unicode MS" w:hAnsi="Arial" w:hint="cs"/>
          <w:snapToGrid w:val="0"/>
          <w:color w:val="000000"/>
          <w:sz w:val="14"/>
          <w:szCs w:val="20"/>
          <w:rtl/>
          <w:lang w:eastAsia="ja-JP"/>
        </w:rPr>
        <w:t>סדירותה</w:t>
      </w:r>
      <w:proofErr w:type="spellEnd"/>
      <w:r w:rsidRPr="00F9180E">
        <w:rPr>
          <w:rFonts w:ascii="Arial" w:eastAsia="Arial Unicode MS" w:hAnsi="Arial" w:hint="cs"/>
          <w:snapToGrid w:val="0"/>
          <w:color w:val="000000"/>
          <w:sz w:val="14"/>
          <w:szCs w:val="20"/>
          <w:rtl/>
          <w:lang w:eastAsia="ja-JP"/>
        </w:rPr>
        <w:t xml:space="preserve"> או תנאיה ותחרות הוגנת בעסקים.</w:t>
      </w:r>
    </w:p>
  </w:footnote>
  <w:footnote w:id="16">
    <w:p w:rsidR="00B3064F" w:rsidRPr="00BF26A3" w:rsidRDefault="00B3064F" w:rsidP="00D346FD">
      <w:pPr>
        <w:pStyle w:val="a7"/>
        <w:ind w:left="0"/>
        <w:jc w:val="both"/>
        <w:rPr>
          <w:rtl/>
        </w:rPr>
      </w:pPr>
      <w:r w:rsidRPr="00D37F48">
        <w:rPr>
          <w:rStyle w:val="a9"/>
          <w:rFonts w:asciiTheme="majorBidi" w:eastAsia="Arial Unicode MS" w:hAnsiTheme="majorBidi" w:cstheme="majorBidi"/>
          <w:color w:val="000000"/>
          <w:sz w:val="20"/>
          <w:szCs w:val="20"/>
        </w:rPr>
        <w:footnoteRef/>
      </w:r>
      <w:r w:rsidRPr="00D37F48">
        <w:rPr>
          <w:rStyle w:val="a9"/>
          <w:rFonts w:asciiTheme="majorBidi" w:hAnsiTheme="majorBidi" w:cstheme="majorBidi"/>
          <w:sz w:val="20"/>
          <w:szCs w:val="20"/>
          <w:rtl/>
        </w:rPr>
        <w:t xml:space="preserve"> </w:t>
      </w:r>
      <w:r w:rsidRPr="00F9180E">
        <w:rPr>
          <w:rFonts w:ascii="Arial" w:eastAsia="Arial Unicode MS" w:hAnsi="Arial" w:hint="cs"/>
          <w:snapToGrid w:val="0"/>
          <w:color w:val="000000"/>
          <w:sz w:val="14"/>
          <w:szCs w:val="20"/>
          <w:rtl/>
          <w:lang w:eastAsia="ja-JP"/>
        </w:rPr>
        <w:t>בית הדין רשאי, בעקבות פנייה של הממונה, להורות לבעל מונופולין למכור נכס שבידו, או חלקו, אם מצא, כי יש בכך כדי למנוע פגיעה או חשש לפגיעה משמעותית בתחרות בעסקים או בציבור (סעיף 30א). עוד רשאי בית הדין, לצוות על הפרדת המונופולין בדרכים המפורטות בחוק, אם ראה על פי פנייה של הממונה, כי כתוצאה מקיומו של מונופולין, נפגע הציבור באופן משמעותי, וכי לא ניתן באופן יעיל למנוע את הפגיעה על ידי הסדרת פעולות המונופולין.</w:t>
      </w:r>
    </w:p>
  </w:footnote>
  <w:footnote w:id="17">
    <w:p w:rsidR="0006408D" w:rsidRDefault="0006408D" w:rsidP="00D346FD">
      <w:pPr>
        <w:pStyle w:val="aa"/>
        <w:rPr>
          <w:rtl/>
        </w:rPr>
      </w:pPr>
      <w:r w:rsidRPr="00D37F48">
        <w:rPr>
          <w:rStyle w:val="a9"/>
          <w:rFonts w:ascii="Times New Roman" w:hAnsi="Times New Roman" w:cs="Times New Roman"/>
          <w:sz w:val="20"/>
        </w:rPr>
        <w:footnoteRef/>
      </w:r>
      <w:r w:rsidRPr="00D37F48">
        <w:rPr>
          <w:rFonts w:ascii="Times New Roman" w:hAnsi="Times New Roman" w:cs="Times New Roman"/>
          <w:sz w:val="20"/>
          <w:rtl/>
        </w:rPr>
        <w:t xml:space="preserve"> </w:t>
      </w:r>
      <w:r w:rsidRPr="001C4474">
        <w:rPr>
          <w:rFonts w:hint="cs"/>
          <w:rtl/>
        </w:rPr>
        <w:t xml:space="preserve">דוח מבקר המדינה 64א </w:t>
      </w:r>
      <w:r w:rsidR="00780D5B">
        <w:rPr>
          <w:rFonts w:hint="cs"/>
          <w:rtl/>
        </w:rPr>
        <w:t>"הבטחת אספקת גז טבעי" (15/10/2013).</w:t>
      </w:r>
    </w:p>
  </w:footnote>
  <w:footnote w:id="18">
    <w:p w:rsidR="006637DA" w:rsidRPr="004E537F" w:rsidRDefault="006637DA" w:rsidP="00D346FD">
      <w:pPr>
        <w:jc w:val="both"/>
      </w:pPr>
      <w:r w:rsidRPr="00D37F48">
        <w:rPr>
          <w:rStyle w:val="a9"/>
          <w:rFonts w:eastAsia="Arial Unicode MS" w:cs="Times New Roman"/>
          <w:color w:val="000000"/>
          <w:sz w:val="20"/>
          <w:szCs w:val="20"/>
        </w:rPr>
        <w:footnoteRef/>
      </w:r>
      <w:r w:rsidRPr="00D37F48">
        <w:rPr>
          <w:rStyle w:val="a9"/>
          <w:rFonts w:eastAsia="Arial Unicode MS" w:cs="Times New Roman"/>
          <w:sz w:val="20"/>
          <w:szCs w:val="20"/>
          <w:rtl/>
          <w:lang w:eastAsia="ja-JP"/>
        </w:rPr>
        <w:t xml:space="preserve"> </w:t>
      </w:r>
      <w:r w:rsidRPr="004E537F">
        <w:rPr>
          <w:rFonts w:ascii="Arial" w:eastAsia="Arial Unicode MS" w:hAnsi="Arial" w:hint="cs"/>
          <w:snapToGrid w:val="0"/>
          <w:color w:val="000000"/>
          <w:sz w:val="14"/>
          <w:szCs w:val="20"/>
          <w:rtl/>
          <w:lang w:eastAsia="ja-JP"/>
        </w:rPr>
        <w:t>תוקפו של צו מוסכם שאושר בידי בית המשפט, יהיה כתוקפו של פסק דין שניתן בידי בית משפט מחוזי, לכל דבר ועניין (סעיף 50ב(ג)).</w:t>
      </w:r>
    </w:p>
  </w:footnote>
  <w:footnote w:id="19">
    <w:p w:rsidR="00E0724E" w:rsidRPr="00E0724E" w:rsidRDefault="00E0724E" w:rsidP="00D346FD">
      <w:pPr>
        <w:jc w:val="both"/>
      </w:pPr>
      <w:r w:rsidRPr="00D37F48">
        <w:rPr>
          <w:rStyle w:val="a9"/>
          <w:rFonts w:eastAsia="Arial Unicode MS" w:cs="Times New Roman"/>
          <w:snapToGrid w:val="0"/>
          <w:color w:val="000000"/>
          <w:sz w:val="20"/>
          <w:szCs w:val="20"/>
          <w:lang w:eastAsia="ja-JP"/>
        </w:rPr>
        <w:footnoteRef/>
      </w:r>
      <w:r w:rsidRPr="00D37F48">
        <w:rPr>
          <w:rStyle w:val="a9"/>
          <w:rFonts w:eastAsia="Arial Unicode MS" w:cs="Times New Roman"/>
          <w:snapToGrid w:val="0"/>
          <w:color w:val="000000"/>
          <w:sz w:val="20"/>
          <w:szCs w:val="20"/>
          <w:rtl/>
          <w:lang w:eastAsia="ja-JP"/>
        </w:rPr>
        <w:t xml:space="preserve"> </w:t>
      </w:r>
      <w:r w:rsidRPr="00E0724E">
        <w:rPr>
          <w:rFonts w:ascii="Arial" w:eastAsia="Arial Unicode MS" w:hAnsi="Arial" w:hint="cs"/>
          <w:snapToGrid w:val="0"/>
          <w:color w:val="000000"/>
          <w:sz w:val="14"/>
          <w:szCs w:val="20"/>
          <w:rtl/>
          <w:lang w:eastAsia="ja-JP"/>
        </w:rPr>
        <w:t>בנוסף לפי סעיף 2(ב), כל ההסדרים הבאים נחשבים כהסדרים כובלים: 1. הסדר של תיאום מחירים 2.  הסדר לחלוקת הרווח שיופק 3. הסדרי חלוקת שוק 4. הסדר לעניין כמות הנכסים או השירותים שבעסק, איכותם או סוגם.</w:t>
      </w:r>
    </w:p>
    <w:p w:rsidR="00E0724E" w:rsidRPr="00E0724E" w:rsidRDefault="00E0724E" w:rsidP="00D346FD">
      <w:pPr>
        <w:pStyle w:val="aa"/>
      </w:pPr>
    </w:p>
  </w:footnote>
  <w:footnote w:id="20">
    <w:p w:rsidR="00B35633" w:rsidRDefault="00B35633" w:rsidP="00D346FD">
      <w:pPr>
        <w:pStyle w:val="aa"/>
        <w:rPr>
          <w:rtl/>
        </w:rPr>
      </w:pPr>
      <w:r w:rsidRPr="00D37F48">
        <w:rPr>
          <w:rStyle w:val="a9"/>
          <w:rFonts w:asciiTheme="majorBidi" w:hAnsiTheme="majorBidi" w:cstheme="majorBidi"/>
          <w:sz w:val="20"/>
        </w:rPr>
        <w:footnoteRef/>
      </w:r>
      <w:r w:rsidRPr="00D37F48">
        <w:rPr>
          <w:sz w:val="20"/>
          <w:rtl/>
        </w:rPr>
        <w:t xml:space="preserve"> </w:t>
      </w:r>
      <w:r>
        <w:rPr>
          <w:rFonts w:hint="cs"/>
          <w:rtl/>
        </w:rPr>
        <w:t>אף במענה לפנייתנו למועצה הלאומית לכלכלה נמסר לנו כי אין מידע רשמי בנוגע למתווה שהוצע לחברות הגז בפברואר ובנוגע למתווה הנוכחי.</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E58" w:rsidRDefault="00F64E58">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E58" w:rsidRDefault="00F64E58">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E58" w:rsidRDefault="00F64E5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E3B5E"/>
    <w:multiLevelType w:val="hybridMultilevel"/>
    <w:tmpl w:val="AE90728E"/>
    <w:lvl w:ilvl="0" w:tplc="3668A748">
      <w:start w:val="1"/>
      <w:numFmt w:val="decimal"/>
      <w:lvlText w:val="%1."/>
      <w:lvlJc w:val="left"/>
      <w:pPr>
        <w:ind w:left="720" w:hanging="360"/>
      </w:pPr>
      <w:rPr>
        <w:rFonts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B56064"/>
    <w:multiLevelType w:val="hybridMultilevel"/>
    <w:tmpl w:val="2E829274"/>
    <w:lvl w:ilvl="0" w:tplc="0409000F">
      <w:start w:val="1"/>
      <w:numFmt w:val="decimal"/>
      <w:lvlText w:val="%1."/>
      <w:lvlJc w:val="lef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2">
    <w:nsid w:val="04C6585B"/>
    <w:multiLevelType w:val="hybridMultilevel"/>
    <w:tmpl w:val="8AA6809A"/>
    <w:lvl w:ilvl="0" w:tplc="6032DA1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972AD5"/>
    <w:multiLevelType w:val="hybridMultilevel"/>
    <w:tmpl w:val="D68674F8"/>
    <w:lvl w:ilvl="0" w:tplc="C53E89D0">
      <w:start w:val="1"/>
      <w:numFmt w:val="decimal"/>
      <w:lvlText w:val="%1."/>
      <w:lvlJc w:val="left"/>
      <w:pPr>
        <w:ind w:left="700" w:hanging="360"/>
      </w:pPr>
      <w:rPr>
        <w:rFonts w:cs="David" w:hint="default"/>
        <w:b/>
        <w:bCs/>
        <w:i w:val="0"/>
        <w:iCs w:val="0"/>
        <w:sz w:val="24"/>
        <w:szCs w:val="24"/>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12D51C51"/>
    <w:multiLevelType w:val="hybridMultilevel"/>
    <w:tmpl w:val="E8CA3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BF1E60"/>
    <w:multiLevelType w:val="hybridMultilevel"/>
    <w:tmpl w:val="103C0D40"/>
    <w:lvl w:ilvl="0" w:tplc="3668A748">
      <w:start w:val="1"/>
      <w:numFmt w:val="decimal"/>
      <w:lvlText w:val="%1."/>
      <w:lvlJc w:val="left"/>
      <w:pPr>
        <w:ind w:left="720" w:hanging="360"/>
      </w:pPr>
      <w:rPr>
        <w:rFonts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2B2F01"/>
    <w:multiLevelType w:val="hybridMultilevel"/>
    <w:tmpl w:val="8962E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E173D"/>
    <w:multiLevelType w:val="hybridMultilevel"/>
    <w:tmpl w:val="5198CE7E"/>
    <w:lvl w:ilvl="0" w:tplc="6E56792C">
      <w:start w:val="1"/>
      <w:numFmt w:val="decimal"/>
      <w:lvlText w:val="%1."/>
      <w:lvlJc w:val="left"/>
      <w:pPr>
        <w:ind w:left="502" w:hanging="360"/>
      </w:pPr>
      <w:rPr>
        <w:rFonts w:cs="David"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22C1CB0"/>
    <w:multiLevelType w:val="hybridMultilevel"/>
    <w:tmpl w:val="CC848BC6"/>
    <w:lvl w:ilvl="0" w:tplc="93489418">
      <w:start w:val="1"/>
      <w:numFmt w:val="decimal"/>
      <w:lvlText w:val="%1."/>
      <w:lvlJc w:val="left"/>
      <w:pPr>
        <w:ind w:left="700" w:hanging="360"/>
      </w:pPr>
      <w:rPr>
        <w:rFonts w:hint="default"/>
        <w:b w:val="0"/>
        <w:bCs w:val="0"/>
        <w:i w:val="0"/>
        <w:iCs w:val="0"/>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
    <w:nsid w:val="225C64F9"/>
    <w:multiLevelType w:val="hybridMultilevel"/>
    <w:tmpl w:val="BD96B360"/>
    <w:lvl w:ilvl="0" w:tplc="F940CC64">
      <w:start w:val="1"/>
      <w:numFmt w:val="decimal"/>
      <w:lvlText w:val="%1."/>
      <w:lvlJc w:val="left"/>
      <w:pPr>
        <w:ind w:left="70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32E4C70"/>
    <w:multiLevelType w:val="hybridMultilevel"/>
    <w:tmpl w:val="52CAAA68"/>
    <w:lvl w:ilvl="0" w:tplc="F83836DA">
      <w:start w:val="1"/>
      <w:numFmt w:val="decimal"/>
      <w:lvlText w:val="%1."/>
      <w:lvlJc w:val="left"/>
      <w:pPr>
        <w:ind w:left="777" w:hanging="360"/>
      </w:pPr>
      <w:rPr>
        <w:rFonts w:cs="David" w:hint="default"/>
        <w:b/>
        <w:bCs/>
        <w:i w:val="0"/>
        <w:iCs w:val="0"/>
        <w:sz w:val="24"/>
        <w:szCs w:val="24"/>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11">
    <w:nsid w:val="272A2C73"/>
    <w:multiLevelType w:val="hybridMultilevel"/>
    <w:tmpl w:val="7414B6B4"/>
    <w:lvl w:ilvl="0" w:tplc="7F9638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90028E"/>
    <w:multiLevelType w:val="hybridMultilevel"/>
    <w:tmpl w:val="490010E2"/>
    <w:lvl w:ilvl="0" w:tplc="604CBAF4">
      <w:start w:val="1"/>
      <w:numFmt w:val="decimal"/>
      <w:lvlText w:val="%1."/>
      <w:lvlJc w:val="left"/>
      <w:pPr>
        <w:ind w:left="720" w:hanging="360"/>
      </w:pPr>
      <w:rPr>
        <w:rFonts w:cs="David" w:hint="default"/>
        <w:b w:val="0"/>
        <w:bCs w:val="0"/>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305623"/>
    <w:multiLevelType w:val="hybridMultilevel"/>
    <w:tmpl w:val="FCC22770"/>
    <w:lvl w:ilvl="0" w:tplc="38A807A0">
      <w:start w:val="1"/>
      <w:numFmt w:val="decimal"/>
      <w:lvlText w:val="%1."/>
      <w:lvlJc w:val="left"/>
      <w:pPr>
        <w:ind w:left="720" w:hanging="360"/>
      </w:pPr>
      <w:rPr>
        <w:rFonts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BB56B34"/>
    <w:multiLevelType w:val="hybridMultilevel"/>
    <w:tmpl w:val="D7DCB85A"/>
    <w:lvl w:ilvl="0" w:tplc="0C1852C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EF35729"/>
    <w:multiLevelType w:val="hybridMultilevel"/>
    <w:tmpl w:val="1070F3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5AF4B10"/>
    <w:multiLevelType w:val="hybridMultilevel"/>
    <w:tmpl w:val="5A12D2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B070E4"/>
    <w:multiLevelType w:val="hybridMultilevel"/>
    <w:tmpl w:val="8708A0BA"/>
    <w:lvl w:ilvl="0" w:tplc="2292AB8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98B4979"/>
    <w:multiLevelType w:val="hybridMultilevel"/>
    <w:tmpl w:val="B1906E10"/>
    <w:lvl w:ilvl="0" w:tplc="249A8D20">
      <w:start w:val="1"/>
      <w:numFmt w:val="decimal"/>
      <w:lvlText w:val="%1."/>
      <w:lvlJc w:val="left"/>
      <w:pPr>
        <w:ind w:left="502" w:hanging="360"/>
      </w:pPr>
      <w:rPr>
        <w:rFonts w:cs="David" w:hint="default"/>
        <w:b w:val="0"/>
        <w:bCs w:val="0"/>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E5B6896"/>
    <w:multiLevelType w:val="hybridMultilevel"/>
    <w:tmpl w:val="D94E39CC"/>
    <w:lvl w:ilvl="0" w:tplc="94DE8F9C">
      <w:start w:val="1"/>
      <w:numFmt w:val="hebrew1"/>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20">
    <w:nsid w:val="3F393C00"/>
    <w:multiLevelType w:val="hybridMultilevel"/>
    <w:tmpl w:val="FD0EA76C"/>
    <w:lvl w:ilvl="0" w:tplc="0409000F">
      <w:start w:val="1"/>
      <w:numFmt w:val="decimal"/>
      <w:lvlText w:val="%1."/>
      <w:lvlJc w:val="left"/>
      <w:pPr>
        <w:ind w:left="1174" w:hanging="360"/>
      </w:pPr>
    </w:lvl>
    <w:lvl w:ilvl="1" w:tplc="04090019" w:tentative="1">
      <w:start w:val="1"/>
      <w:numFmt w:val="lowerLetter"/>
      <w:lvlText w:val="%2."/>
      <w:lvlJc w:val="left"/>
      <w:pPr>
        <w:ind w:left="1894" w:hanging="360"/>
      </w:pPr>
    </w:lvl>
    <w:lvl w:ilvl="2" w:tplc="0409001B" w:tentative="1">
      <w:start w:val="1"/>
      <w:numFmt w:val="lowerRoman"/>
      <w:lvlText w:val="%3."/>
      <w:lvlJc w:val="right"/>
      <w:pPr>
        <w:ind w:left="2614" w:hanging="180"/>
      </w:pPr>
    </w:lvl>
    <w:lvl w:ilvl="3" w:tplc="0409000F" w:tentative="1">
      <w:start w:val="1"/>
      <w:numFmt w:val="decimal"/>
      <w:lvlText w:val="%4."/>
      <w:lvlJc w:val="left"/>
      <w:pPr>
        <w:ind w:left="3334" w:hanging="360"/>
      </w:pPr>
    </w:lvl>
    <w:lvl w:ilvl="4" w:tplc="04090019" w:tentative="1">
      <w:start w:val="1"/>
      <w:numFmt w:val="lowerLetter"/>
      <w:lvlText w:val="%5."/>
      <w:lvlJc w:val="left"/>
      <w:pPr>
        <w:ind w:left="4054" w:hanging="360"/>
      </w:pPr>
    </w:lvl>
    <w:lvl w:ilvl="5" w:tplc="0409001B" w:tentative="1">
      <w:start w:val="1"/>
      <w:numFmt w:val="lowerRoman"/>
      <w:lvlText w:val="%6."/>
      <w:lvlJc w:val="right"/>
      <w:pPr>
        <w:ind w:left="4774" w:hanging="180"/>
      </w:pPr>
    </w:lvl>
    <w:lvl w:ilvl="6" w:tplc="0409000F" w:tentative="1">
      <w:start w:val="1"/>
      <w:numFmt w:val="decimal"/>
      <w:lvlText w:val="%7."/>
      <w:lvlJc w:val="left"/>
      <w:pPr>
        <w:ind w:left="5494" w:hanging="360"/>
      </w:pPr>
    </w:lvl>
    <w:lvl w:ilvl="7" w:tplc="04090019" w:tentative="1">
      <w:start w:val="1"/>
      <w:numFmt w:val="lowerLetter"/>
      <w:lvlText w:val="%8."/>
      <w:lvlJc w:val="left"/>
      <w:pPr>
        <w:ind w:left="6214" w:hanging="360"/>
      </w:pPr>
    </w:lvl>
    <w:lvl w:ilvl="8" w:tplc="0409001B" w:tentative="1">
      <w:start w:val="1"/>
      <w:numFmt w:val="lowerRoman"/>
      <w:lvlText w:val="%9."/>
      <w:lvlJc w:val="right"/>
      <w:pPr>
        <w:ind w:left="6934" w:hanging="180"/>
      </w:pPr>
    </w:lvl>
  </w:abstractNum>
  <w:abstractNum w:abstractNumId="21">
    <w:nsid w:val="41F75D5F"/>
    <w:multiLevelType w:val="hybridMultilevel"/>
    <w:tmpl w:val="268AC95C"/>
    <w:lvl w:ilvl="0" w:tplc="151E7752">
      <w:start w:val="1"/>
      <w:numFmt w:val="decimal"/>
      <w:lvlText w:val="%1."/>
      <w:lvlJc w:val="left"/>
      <w:pPr>
        <w:ind w:left="720" w:hanging="360"/>
      </w:pPr>
      <w:rPr>
        <w:rFonts w:ascii="Arial" w:hAnsi="Arial"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377712D"/>
    <w:multiLevelType w:val="hybridMultilevel"/>
    <w:tmpl w:val="476E932C"/>
    <w:lvl w:ilvl="0" w:tplc="5B84751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1C6D23"/>
    <w:multiLevelType w:val="hybridMultilevel"/>
    <w:tmpl w:val="601228CA"/>
    <w:lvl w:ilvl="0" w:tplc="6AE8BB82">
      <w:start w:val="1"/>
      <w:numFmt w:val="decimal"/>
      <w:lvlText w:val="%1."/>
      <w:lvlJc w:val="left"/>
      <w:pPr>
        <w:ind w:left="502" w:hanging="360"/>
      </w:pPr>
      <w:rPr>
        <w:rFonts w:cs="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3E1483"/>
    <w:multiLevelType w:val="hybridMultilevel"/>
    <w:tmpl w:val="2A405946"/>
    <w:lvl w:ilvl="0" w:tplc="249A8D20">
      <w:start w:val="1"/>
      <w:numFmt w:val="decimal"/>
      <w:lvlText w:val="%1."/>
      <w:lvlJc w:val="left"/>
      <w:pPr>
        <w:ind w:left="502" w:hanging="360"/>
      </w:pPr>
      <w:rPr>
        <w:rFonts w:cs="David" w:hint="default"/>
        <w:b w:val="0"/>
        <w:bCs w:val="0"/>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1A44182"/>
    <w:multiLevelType w:val="hybridMultilevel"/>
    <w:tmpl w:val="4DC02AA4"/>
    <w:lvl w:ilvl="0" w:tplc="604CBAF4">
      <w:start w:val="1"/>
      <w:numFmt w:val="decimal"/>
      <w:lvlText w:val="%1."/>
      <w:lvlJc w:val="left"/>
      <w:pPr>
        <w:ind w:left="720" w:hanging="360"/>
      </w:pPr>
      <w:rPr>
        <w:rFonts w:cs="David" w:hint="default"/>
        <w:b w:val="0"/>
        <w:bCs w:val="0"/>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3CB657E"/>
    <w:multiLevelType w:val="hybridMultilevel"/>
    <w:tmpl w:val="102EF58C"/>
    <w:lvl w:ilvl="0" w:tplc="C21EA9EC">
      <w:start w:val="1"/>
      <w:numFmt w:val="decimal"/>
      <w:lvlText w:val="%1."/>
      <w:lvlJc w:val="left"/>
      <w:pPr>
        <w:ind w:left="720" w:hanging="360"/>
      </w:pPr>
      <w:rPr>
        <w:rFonts w:cs="David" w:hint="default"/>
        <w:b w:val="0"/>
        <w:bCs w:val="0"/>
        <w:i w:val="0"/>
        <w:iCs w:val="0"/>
        <w:sz w:val="24"/>
        <w:szCs w:val="24"/>
      </w:rPr>
    </w:lvl>
    <w:lvl w:ilvl="1" w:tplc="55CA7EB2">
      <w:start w:val="1"/>
      <w:numFmt w:val="hebrew1"/>
      <w:lvlText w:val="%2."/>
      <w:lvlJc w:val="left"/>
      <w:pPr>
        <w:ind w:left="1440" w:hanging="360"/>
      </w:pPr>
      <w:rPr>
        <w:rFonts w:ascii="Times New Roman" w:eastAsia="Times New Roman" w:hAnsi="Times New Roman" w:cs="David"/>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7243DFE"/>
    <w:multiLevelType w:val="hybridMultilevel"/>
    <w:tmpl w:val="D93A1362"/>
    <w:lvl w:ilvl="0" w:tplc="93489418">
      <w:start w:val="1"/>
      <w:numFmt w:val="decimal"/>
      <w:lvlText w:val="%1."/>
      <w:lvlJc w:val="left"/>
      <w:pPr>
        <w:ind w:left="700"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7325FF9"/>
    <w:multiLevelType w:val="hybridMultilevel"/>
    <w:tmpl w:val="449ECBDE"/>
    <w:lvl w:ilvl="0" w:tplc="F940CC64">
      <w:start w:val="1"/>
      <w:numFmt w:val="decimal"/>
      <w:lvlText w:val="%1."/>
      <w:lvlJc w:val="left"/>
      <w:pPr>
        <w:ind w:left="70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7743575"/>
    <w:multiLevelType w:val="hybridMultilevel"/>
    <w:tmpl w:val="6C30DC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7F75C22"/>
    <w:multiLevelType w:val="hybridMultilevel"/>
    <w:tmpl w:val="21E0EF00"/>
    <w:lvl w:ilvl="0" w:tplc="249A8D20">
      <w:start w:val="1"/>
      <w:numFmt w:val="decimal"/>
      <w:lvlText w:val="%1."/>
      <w:lvlJc w:val="left"/>
      <w:pPr>
        <w:ind w:left="360" w:hanging="360"/>
      </w:pPr>
      <w:rPr>
        <w:rFonts w:cs="David" w:hint="default"/>
        <w:b w:val="0"/>
        <w:bCs w:val="0"/>
        <w:i w:val="0"/>
        <w:iCs w:val="0"/>
        <w:sz w:val="24"/>
        <w:szCs w:val="24"/>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31">
    <w:nsid w:val="5E74454E"/>
    <w:multiLevelType w:val="hybridMultilevel"/>
    <w:tmpl w:val="0BB09F94"/>
    <w:lvl w:ilvl="0" w:tplc="7A14E71E">
      <w:start w:val="1"/>
      <w:numFmt w:val="decimal"/>
      <w:lvlText w:val="%1."/>
      <w:lvlJc w:val="left"/>
      <w:pPr>
        <w:ind w:left="360" w:hanging="360"/>
      </w:pPr>
      <w:rPr>
        <w:rFonts w:cs="David" w:hint="default"/>
        <w:b w:val="0"/>
        <w:bCs w:val="0"/>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557934"/>
    <w:multiLevelType w:val="hybridMultilevel"/>
    <w:tmpl w:val="20B41252"/>
    <w:lvl w:ilvl="0" w:tplc="93489418">
      <w:start w:val="1"/>
      <w:numFmt w:val="decimal"/>
      <w:lvlText w:val="%1."/>
      <w:lvlJc w:val="left"/>
      <w:pPr>
        <w:ind w:left="700"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1E302A6"/>
    <w:multiLevelType w:val="hybridMultilevel"/>
    <w:tmpl w:val="9B3014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33A78E7"/>
    <w:multiLevelType w:val="hybridMultilevel"/>
    <w:tmpl w:val="ECCC0E52"/>
    <w:lvl w:ilvl="0" w:tplc="F83836DA">
      <w:start w:val="1"/>
      <w:numFmt w:val="decimal"/>
      <w:lvlText w:val="%1."/>
      <w:lvlJc w:val="left"/>
      <w:pPr>
        <w:ind w:left="840" w:hanging="360"/>
      </w:pPr>
      <w:rPr>
        <w:rFonts w:cs="David" w:hint="default"/>
        <w:b/>
        <w:bCs/>
        <w:i w:val="0"/>
        <w:iCs w:val="0"/>
        <w:sz w:val="24"/>
        <w:szCs w:val="24"/>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35">
    <w:nsid w:val="67200FE2"/>
    <w:multiLevelType w:val="hybridMultilevel"/>
    <w:tmpl w:val="07D2782E"/>
    <w:lvl w:ilvl="0" w:tplc="7FE85FE2">
      <w:start w:val="1"/>
      <w:numFmt w:val="decimal"/>
      <w:lvlText w:val="%1."/>
      <w:lvlJc w:val="left"/>
      <w:pPr>
        <w:ind w:left="720" w:hanging="360"/>
      </w:pPr>
      <w:rPr>
        <w:rFonts w:cs="David"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774124C"/>
    <w:multiLevelType w:val="hybridMultilevel"/>
    <w:tmpl w:val="2A405946"/>
    <w:lvl w:ilvl="0" w:tplc="249A8D20">
      <w:start w:val="1"/>
      <w:numFmt w:val="decimal"/>
      <w:lvlText w:val="%1."/>
      <w:lvlJc w:val="left"/>
      <w:pPr>
        <w:ind w:left="502" w:hanging="360"/>
      </w:pPr>
      <w:rPr>
        <w:rFonts w:cs="David" w:hint="default"/>
        <w:b w:val="0"/>
        <w:bCs w:val="0"/>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D9A05DE"/>
    <w:multiLevelType w:val="hybridMultilevel"/>
    <w:tmpl w:val="AA589F84"/>
    <w:lvl w:ilvl="0" w:tplc="5B847514">
      <w:start w:val="2"/>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38">
    <w:nsid w:val="6FEF7A44"/>
    <w:multiLevelType w:val="hybridMultilevel"/>
    <w:tmpl w:val="F87656A6"/>
    <w:lvl w:ilvl="0" w:tplc="F83836DA">
      <w:start w:val="1"/>
      <w:numFmt w:val="decimal"/>
      <w:lvlText w:val="%1."/>
      <w:lvlJc w:val="left"/>
      <w:pPr>
        <w:ind w:left="720" w:hanging="360"/>
      </w:pPr>
      <w:rPr>
        <w:rFonts w:cs="David" w:hint="default"/>
        <w:b/>
        <w:bCs/>
        <w:i w:val="0"/>
        <w:iCs w:val="0"/>
        <w:sz w:val="24"/>
        <w:szCs w:val="24"/>
      </w:rPr>
    </w:lvl>
    <w:lvl w:ilvl="1" w:tplc="55CA7EB2">
      <w:start w:val="1"/>
      <w:numFmt w:val="hebrew1"/>
      <w:lvlText w:val="%2."/>
      <w:lvlJc w:val="left"/>
      <w:pPr>
        <w:ind w:left="1440" w:hanging="360"/>
      </w:pPr>
      <w:rPr>
        <w:rFonts w:ascii="Times New Roman" w:eastAsia="Times New Roman" w:hAnsi="Times New Roman" w:cs="David"/>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D1281A"/>
    <w:multiLevelType w:val="hybridMultilevel"/>
    <w:tmpl w:val="61323E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3F25D98"/>
    <w:multiLevelType w:val="hybridMultilevel"/>
    <w:tmpl w:val="408E16B0"/>
    <w:lvl w:ilvl="0" w:tplc="BE76540E">
      <w:start w:val="1"/>
      <w:numFmt w:val="decimal"/>
      <w:lvlText w:val="%1."/>
      <w:lvlJc w:val="left"/>
      <w:pPr>
        <w:ind w:left="720" w:hanging="360"/>
      </w:pPr>
      <w:rPr>
        <w:rFonts w:ascii="Times New Roman" w:eastAsia="Times New Roman" w:hAnsi="Times New Roman" w:cs="David"/>
        <w:b/>
        <w:bCs/>
        <w:i w:val="0"/>
        <w:iCs w:val="0"/>
        <w:sz w:val="24"/>
        <w:szCs w:val="24"/>
      </w:rPr>
    </w:lvl>
    <w:lvl w:ilvl="1" w:tplc="163696DA">
      <w:start w:val="1"/>
      <w:numFmt w:val="hebrew1"/>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AA149FC"/>
    <w:multiLevelType w:val="hybridMultilevel"/>
    <w:tmpl w:val="77821E9C"/>
    <w:lvl w:ilvl="0" w:tplc="604CBAF4">
      <w:start w:val="1"/>
      <w:numFmt w:val="decimal"/>
      <w:lvlText w:val="%1."/>
      <w:lvlJc w:val="left"/>
      <w:pPr>
        <w:ind w:left="720" w:hanging="360"/>
      </w:pPr>
      <w:rPr>
        <w:rFonts w:cs="David" w:hint="default"/>
        <w:b w:val="0"/>
        <w:bCs w:val="0"/>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BDB6090"/>
    <w:multiLevelType w:val="hybridMultilevel"/>
    <w:tmpl w:val="A2FC1B28"/>
    <w:lvl w:ilvl="0" w:tplc="4022E9D2">
      <w:start w:val="3"/>
      <w:numFmt w:val="decimal"/>
      <w:lvlText w:val="%1."/>
      <w:lvlJc w:val="left"/>
      <w:pPr>
        <w:ind w:left="774" w:hanging="360"/>
      </w:pPr>
      <w:rPr>
        <w:rFonts w:hint="default"/>
        <w:u w:val="none"/>
      </w:r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43">
    <w:nsid w:val="7E902386"/>
    <w:multiLevelType w:val="hybridMultilevel"/>
    <w:tmpl w:val="F20A18D0"/>
    <w:lvl w:ilvl="0" w:tplc="F83836DA">
      <w:start w:val="1"/>
      <w:numFmt w:val="decimal"/>
      <w:lvlText w:val="%1."/>
      <w:lvlJc w:val="left"/>
      <w:pPr>
        <w:ind w:left="1060" w:hanging="360"/>
      </w:pPr>
      <w:rPr>
        <w:rFonts w:cs="David" w:hint="default"/>
        <w:b/>
        <w:bCs/>
        <w:i w:val="0"/>
        <w:iCs w:val="0"/>
        <w:sz w:val="24"/>
        <w:szCs w:val="24"/>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44">
    <w:nsid w:val="7F066C77"/>
    <w:multiLevelType w:val="hybridMultilevel"/>
    <w:tmpl w:val="45F88A3E"/>
    <w:lvl w:ilvl="0" w:tplc="EC287736">
      <w:start w:val="1"/>
      <w:numFmt w:val="decimal"/>
      <w:lvlText w:val="%1."/>
      <w:lvlJc w:val="left"/>
      <w:pPr>
        <w:tabs>
          <w:tab w:val="num" w:pos="386"/>
        </w:tabs>
        <w:ind w:left="386" w:hanging="360"/>
      </w:pPr>
      <w:rPr>
        <w:rFonts w:hint="default"/>
      </w:rPr>
    </w:lvl>
    <w:lvl w:ilvl="1" w:tplc="E0FA7034">
      <w:start w:val="1"/>
      <w:numFmt w:val="hebrew1"/>
      <w:lvlText w:val="%2."/>
      <w:lvlJc w:val="left"/>
      <w:pPr>
        <w:tabs>
          <w:tab w:val="num" w:pos="1106"/>
        </w:tabs>
        <w:ind w:left="1106" w:hanging="360"/>
      </w:pPr>
      <w:rPr>
        <w:rFonts w:hint="default"/>
      </w:r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num w:numId="1">
    <w:abstractNumId w:val="17"/>
  </w:num>
  <w:num w:numId="2">
    <w:abstractNumId w:val="29"/>
  </w:num>
  <w:num w:numId="3">
    <w:abstractNumId w:val="39"/>
  </w:num>
  <w:num w:numId="4">
    <w:abstractNumId w:val="3"/>
  </w:num>
  <w:num w:numId="5">
    <w:abstractNumId w:val="20"/>
  </w:num>
  <w:num w:numId="6">
    <w:abstractNumId w:val="1"/>
  </w:num>
  <w:num w:numId="7">
    <w:abstractNumId w:val="28"/>
  </w:num>
  <w:num w:numId="8">
    <w:abstractNumId w:val="9"/>
  </w:num>
  <w:num w:numId="9">
    <w:abstractNumId w:val="27"/>
  </w:num>
  <w:num w:numId="10">
    <w:abstractNumId w:val="32"/>
  </w:num>
  <w:num w:numId="11">
    <w:abstractNumId w:val="8"/>
  </w:num>
  <w:num w:numId="12">
    <w:abstractNumId w:val="11"/>
  </w:num>
  <w:num w:numId="13">
    <w:abstractNumId w:val="6"/>
  </w:num>
  <w:num w:numId="14">
    <w:abstractNumId w:val="15"/>
  </w:num>
  <w:num w:numId="15">
    <w:abstractNumId w:val="26"/>
  </w:num>
  <w:num w:numId="16">
    <w:abstractNumId w:val="2"/>
  </w:num>
  <w:num w:numId="17">
    <w:abstractNumId w:val="44"/>
  </w:num>
  <w:num w:numId="18">
    <w:abstractNumId w:val="10"/>
  </w:num>
  <w:num w:numId="19">
    <w:abstractNumId w:val="19"/>
  </w:num>
  <w:num w:numId="20">
    <w:abstractNumId w:val="34"/>
  </w:num>
  <w:num w:numId="21">
    <w:abstractNumId w:val="22"/>
  </w:num>
  <w:num w:numId="22">
    <w:abstractNumId w:val="42"/>
  </w:num>
  <w:num w:numId="23">
    <w:abstractNumId w:val="40"/>
  </w:num>
  <w:num w:numId="24">
    <w:abstractNumId w:val="16"/>
  </w:num>
  <w:num w:numId="25">
    <w:abstractNumId w:val="38"/>
  </w:num>
  <w:num w:numId="26">
    <w:abstractNumId w:val="43"/>
  </w:num>
  <w:num w:numId="27">
    <w:abstractNumId w:val="21"/>
  </w:num>
  <w:num w:numId="28">
    <w:abstractNumId w:val="7"/>
  </w:num>
  <w:num w:numId="29">
    <w:abstractNumId w:val="23"/>
  </w:num>
  <w:num w:numId="30">
    <w:abstractNumId w:val="37"/>
  </w:num>
  <w:num w:numId="31">
    <w:abstractNumId w:val="36"/>
  </w:num>
  <w:num w:numId="32">
    <w:abstractNumId w:val="24"/>
  </w:num>
  <w:num w:numId="33">
    <w:abstractNumId w:val="31"/>
  </w:num>
  <w:num w:numId="34">
    <w:abstractNumId w:val="18"/>
  </w:num>
  <w:num w:numId="35">
    <w:abstractNumId w:val="30"/>
  </w:num>
  <w:num w:numId="36">
    <w:abstractNumId w:val="0"/>
  </w:num>
  <w:num w:numId="37">
    <w:abstractNumId w:val="13"/>
  </w:num>
  <w:num w:numId="38">
    <w:abstractNumId w:val="5"/>
  </w:num>
  <w:num w:numId="39">
    <w:abstractNumId w:val="41"/>
  </w:num>
  <w:num w:numId="40">
    <w:abstractNumId w:val="35"/>
  </w:num>
  <w:num w:numId="41">
    <w:abstractNumId w:val="33"/>
  </w:num>
  <w:num w:numId="42">
    <w:abstractNumId w:val="4"/>
  </w:num>
  <w:num w:numId="43">
    <w:abstractNumId w:val="14"/>
  </w:num>
  <w:num w:numId="44">
    <w:abstractNumId w:val="12"/>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1B2"/>
    <w:rsid w:val="0000019E"/>
    <w:rsid w:val="0000074D"/>
    <w:rsid w:val="000032AD"/>
    <w:rsid w:val="00004CFE"/>
    <w:rsid w:val="0000616C"/>
    <w:rsid w:val="000144E8"/>
    <w:rsid w:val="000156C0"/>
    <w:rsid w:val="0002077D"/>
    <w:rsid w:val="00024A3F"/>
    <w:rsid w:val="00026C80"/>
    <w:rsid w:val="00027815"/>
    <w:rsid w:val="00032699"/>
    <w:rsid w:val="000345B1"/>
    <w:rsid w:val="000348F7"/>
    <w:rsid w:val="00035CFB"/>
    <w:rsid w:val="0003706C"/>
    <w:rsid w:val="000415E6"/>
    <w:rsid w:val="000419E7"/>
    <w:rsid w:val="00051DBF"/>
    <w:rsid w:val="00055FC1"/>
    <w:rsid w:val="00056603"/>
    <w:rsid w:val="00060385"/>
    <w:rsid w:val="00063A00"/>
    <w:rsid w:val="0006408D"/>
    <w:rsid w:val="00071E33"/>
    <w:rsid w:val="000751A7"/>
    <w:rsid w:val="00077208"/>
    <w:rsid w:val="0008032D"/>
    <w:rsid w:val="00084459"/>
    <w:rsid w:val="0009124B"/>
    <w:rsid w:val="000919C1"/>
    <w:rsid w:val="00091AE2"/>
    <w:rsid w:val="000A029D"/>
    <w:rsid w:val="000A0932"/>
    <w:rsid w:val="000A3D74"/>
    <w:rsid w:val="000A727E"/>
    <w:rsid w:val="000B2946"/>
    <w:rsid w:val="000B29E5"/>
    <w:rsid w:val="000B2A8D"/>
    <w:rsid w:val="000B46FE"/>
    <w:rsid w:val="000C2287"/>
    <w:rsid w:val="000C5CEA"/>
    <w:rsid w:val="000D2A85"/>
    <w:rsid w:val="000D6724"/>
    <w:rsid w:val="000E63E6"/>
    <w:rsid w:val="000F0E98"/>
    <w:rsid w:val="000F221D"/>
    <w:rsid w:val="000F3B1E"/>
    <w:rsid w:val="000F47B3"/>
    <w:rsid w:val="00111E83"/>
    <w:rsid w:val="00112B00"/>
    <w:rsid w:val="00121E7B"/>
    <w:rsid w:val="00122D1F"/>
    <w:rsid w:val="001245A9"/>
    <w:rsid w:val="0013002A"/>
    <w:rsid w:val="00131DA7"/>
    <w:rsid w:val="00136FB9"/>
    <w:rsid w:val="001413C6"/>
    <w:rsid w:val="00144E00"/>
    <w:rsid w:val="00147FDC"/>
    <w:rsid w:val="00150CBE"/>
    <w:rsid w:val="00150F73"/>
    <w:rsid w:val="00151043"/>
    <w:rsid w:val="0015561C"/>
    <w:rsid w:val="00157C42"/>
    <w:rsid w:val="00157CB5"/>
    <w:rsid w:val="00164C34"/>
    <w:rsid w:val="00166278"/>
    <w:rsid w:val="00173B61"/>
    <w:rsid w:val="00175CF6"/>
    <w:rsid w:val="00176251"/>
    <w:rsid w:val="001838DA"/>
    <w:rsid w:val="00184BAC"/>
    <w:rsid w:val="001945D1"/>
    <w:rsid w:val="001A25CA"/>
    <w:rsid w:val="001A3A00"/>
    <w:rsid w:val="001A423D"/>
    <w:rsid w:val="001A69C9"/>
    <w:rsid w:val="001B1E97"/>
    <w:rsid w:val="001B397A"/>
    <w:rsid w:val="001B4A94"/>
    <w:rsid w:val="001B5D70"/>
    <w:rsid w:val="001C5966"/>
    <w:rsid w:val="001D23BE"/>
    <w:rsid w:val="001D66F0"/>
    <w:rsid w:val="001D6851"/>
    <w:rsid w:val="001E3323"/>
    <w:rsid w:val="001F1DEB"/>
    <w:rsid w:val="002045CF"/>
    <w:rsid w:val="0021161C"/>
    <w:rsid w:val="00213D55"/>
    <w:rsid w:val="00220F37"/>
    <w:rsid w:val="00223D6A"/>
    <w:rsid w:val="002250F2"/>
    <w:rsid w:val="00225814"/>
    <w:rsid w:val="002317F8"/>
    <w:rsid w:val="00242CAF"/>
    <w:rsid w:val="00243680"/>
    <w:rsid w:val="00244530"/>
    <w:rsid w:val="002447F3"/>
    <w:rsid w:val="00246647"/>
    <w:rsid w:val="0026110F"/>
    <w:rsid w:val="00261F50"/>
    <w:rsid w:val="002725AB"/>
    <w:rsid w:val="00285456"/>
    <w:rsid w:val="002876E5"/>
    <w:rsid w:val="0029081F"/>
    <w:rsid w:val="00294395"/>
    <w:rsid w:val="00295A3B"/>
    <w:rsid w:val="00296066"/>
    <w:rsid w:val="00297D48"/>
    <w:rsid w:val="002A03C9"/>
    <w:rsid w:val="002A1559"/>
    <w:rsid w:val="002A1F45"/>
    <w:rsid w:val="002A3302"/>
    <w:rsid w:val="002B2CD6"/>
    <w:rsid w:val="002C19E1"/>
    <w:rsid w:val="002C548D"/>
    <w:rsid w:val="002C6394"/>
    <w:rsid w:val="002C68AC"/>
    <w:rsid w:val="002D5C22"/>
    <w:rsid w:val="002E0E84"/>
    <w:rsid w:val="002E2D3D"/>
    <w:rsid w:val="002E32C3"/>
    <w:rsid w:val="002E6147"/>
    <w:rsid w:val="002F2FA0"/>
    <w:rsid w:val="002F42BD"/>
    <w:rsid w:val="00300306"/>
    <w:rsid w:val="00305910"/>
    <w:rsid w:val="003078DF"/>
    <w:rsid w:val="00310953"/>
    <w:rsid w:val="00321DFA"/>
    <w:rsid w:val="00323199"/>
    <w:rsid w:val="00325E90"/>
    <w:rsid w:val="00334313"/>
    <w:rsid w:val="00337C0B"/>
    <w:rsid w:val="00340241"/>
    <w:rsid w:val="003411ED"/>
    <w:rsid w:val="00357068"/>
    <w:rsid w:val="00362D9E"/>
    <w:rsid w:val="00364A7B"/>
    <w:rsid w:val="003734AD"/>
    <w:rsid w:val="00374804"/>
    <w:rsid w:val="00377AE4"/>
    <w:rsid w:val="00380A62"/>
    <w:rsid w:val="0039374F"/>
    <w:rsid w:val="00394657"/>
    <w:rsid w:val="003979B1"/>
    <w:rsid w:val="003A091B"/>
    <w:rsid w:val="003A3704"/>
    <w:rsid w:val="003A65F9"/>
    <w:rsid w:val="003B3FF0"/>
    <w:rsid w:val="003B5947"/>
    <w:rsid w:val="003D00DE"/>
    <w:rsid w:val="003D0E51"/>
    <w:rsid w:val="003E1564"/>
    <w:rsid w:val="003E16D3"/>
    <w:rsid w:val="003E2AC2"/>
    <w:rsid w:val="003E3535"/>
    <w:rsid w:val="003E4945"/>
    <w:rsid w:val="003E51B6"/>
    <w:rsid w:val="003E692F"/>
    <w:rsid w:val="003E75CC"/>
    <w:rsid w:val="003F11EB"/>
    <w:rsid w:val="003F6E1A"/>
    <w:rsid w:val="00405851"/>
    <w:rsid w:val="004076B9"/>
    <w:rsid w:val="00412BBD"/>
    <w:rsid w:val="00417D08"/>
    <w:rsid w:val="0042041C"/>
    <w:rsid w:val="0042113E"/>
    <w:rsid w:val="00422F2F"/>
    <w:rsid w:val="00427290"/>
    <w:rsid w:val="00430339"/>
    <w:rsid w:val="00430F42"/>
    <w:rsid w:val="00435795"/>
    <w:rsid w:val="0045172D"/>
    <w:rsid w:val="00462486"/>
    <w:rsid w:val="00462D58"/>
    <w:rsid w:val="00465239"/>
    <w:rsid w:val="004660D0"/>
    <w:rsid w:val="00466493"/>
    <w:rsid w:val="00470FD1"/>
    <w:rsid w:val="00482EC1"/>
    <w:rsid w:val="00486241"/>
    <w:rsid w:val="004973F2"/>
    <w:rsid w:val="004A51DD"/>
    <w:rsid w:val="004A627D"/>
    <w:rsid w:val="004B0E9A"/>
    <w:rsid w:val="004B1A46"/>
    <w:rsid w:val="004B2F92"/>
    <w:rsid w:val="004B42E3"/>
    <w:rsid w:val="004B43E0"/>
    <w:rsid w:val="004B50F3"/>
    <w:rsid w:val="004C5ECB"/>
    <w:rsid w:val="004C71A0"/>
    <w:rsid w:val="004D14F7"/>
    <w:rsid w:val="004D3F07"/>
    <w:rsid w:val="004E2760"/>
    <w:rsid w:val="004E4A9F"/>
    <w:rsid w:val="004E537F"/>
    <w:rsid w:val="004E58C2"/>
    <w:rsid w:val="004E78B4"/>
    <w:rsid w:val="004F0A6C"/>
    <w:rsid w:val="004F7DA5"/>
    <w:rsid w:val="00500152"/>
    <w:rsid w:val="00502C43"/>
    <w:rsid w:val="00504868"/>
    <w:rsid w:val="00506BFD"/>
    <w:rsid w:val="00507DA4"/>
    <w:rsid w:val="005260DB"/>
    <w:rsid w:val="005265D8"/>
    <w:rsid w:val="00535DE4"/>
    <w:rsid w:val="00542B9F"/>
    <w:rsid w:val="00543F80"/>
    <w:rsid w:val="005471CD"/>
    <w:rsid w:val="00550D76"/>
    <w:rsid w:val="005645A4"/>
    <w:rsid w:val="005649BF"/>
    <w:rsid w:val="005649E8"/>
    <w:rsid w:val="0056647B"/>
    <w:rsid w:val="005673D4"/>
    <w:rsid w:val="00571B1A"/>
    <w:rsid w:val="00572AFB"/>
    <w:rsid w:val="00572E88"/>
    <w:rsid w:val="00572E95"/>
    <w:rsid w:val="005801A1"/>
    <w:rsid w:val="00591FC6"/>
    <w:rsid w:val="005938EA"/>
    <w:rsid w:val="005A056E"/>
    <w:rsid w:val="005A5873"/>
    <w:rsid w:val="005A65A2"/>
    <w:rsid w:val="005A6CB7"/>
    <w:rsid w:val="005A737D"/>
    <w:rsid w:val="005B1E33"/>
    <w:rsid w:val="005B70D5"/>
    <w:rsid w:val="005C0C6E"/>
    <w:rsid w:val="005C6096"/>
    <w:rsid w:val="005D1E92"/>
    <w:rsid w:val="005D33C5"/>
    <w:rsid w:val="005D61CB"/>
    <w:rsid w:val="005D7B44"/>
    <w:rsid w:val="005E0593"/>
    <w:rsid w:val="005E3138"/>
    <w:rsid w:val="005E342D"/>
    <w:rsid w:val="005F39FE"/>
    <w:rsid w:val="005F3F02"/>
    <w:rsid w:val="005F69E8"/>
    <w:rsid w:val="00600709"/>
    <w:rsid w:val="00601C23"/>
    <w:rsid w:val="006051AC"/>
    <w:rsid w:val="0060700A"/>
    <w:rsid w:val="00607172"/>
    <w:rsid w:val="00613329"/>
    <w:rsid w:val="006142A9"/>
    <w:rsid w:val="00631B88"/>
    <w:rsid w:val="006330D8"/>
    <w:rsid w:val="006340FD"/>
    <w:rsid w:val="00636019"/>
    <w:rsid w:val="006521B7"/>
    <w:rsid w:val="00653F19"/>
    <w:rsid w:val="006637DA"/>
    <w:rsid w:val="0066456C"/>
    <w:rsid w:val="00665469"/>
    <w:rsid w:val="006760C8"/>
    <w:rsid w:val="00677600"/>
    <w:rsid w:val="00682549"/>
    <w:rsid w:val="0068554A"/>
    <w:rsid w:val="0068570E"/>
    <w:rsid w:val="00685849"/>
    <w:rsid w:val="0068724D"/>
    <w:rsid w:val="006909E9"/>
    <w:rsid w:val="0069130B"/>
    <w:rsid w:val="00695824"/>
    <w:rsid w:val="006A4F8C"/>
    <w:rsid w:val="006B17EE"/>
    <w:rsid w:val="006B502E"/>
    <w:rsid w:val="006B6F91"/>
    <w:rsid w:val="006C3426"/>
    <w:rsid w:val="006D1B0F"/>
    <w:rsid w:val="006D415A"/>
    <w:rsid w:val="006D560E"/>
    <w:rsid w:val="006D56AD"/>
    <w:rsid w:val="006E2484"/>
    <w:rsid w:val="006E2566"/>
    <w:rsid w:val="006F11DE"/>
    <w:rsid w:val="006F4039"/>
    <w:rsid w:val="00704D12"/>
    <w:rsid w:val="00706836"/>
    <w:rsid w:val="00707FBF"/>
    <w:rsid w:val="007101E2"/>
    <w:rsid w:val="00712102"/>
    <w:rsid w:val="007139C7"/>
    <w:rsid w:val="007205C1"/>
    <w:rsid w:val="00725862"/>
    <w:rsid w:val="00756867"/>
    <w:rsid w:val="00763A3B"/>
    <w:rsid w:val="00766327"/>
    <w:rsid w:val="00767B22"/>
    <w:rsid w:val="00776DD9"/>
    <w:rsid w:val="00780D5B"/>
    <w:rsid w:val="00783145"/>
    <w:rsid w:val="00783CA9"/>
    <w:rsid w:val="00787039"/>
    <w:rsid w:val="0079335A"/>
    <w:rsid w:val="007A4925"/>
    <w:rsid w:val="007A716D"/>
    <w:rsid w:val="007B364B"/>
    <w:rsid w:val="007B3BE6"/>
    <w:rsid w:val="007C0629"/>
    <w:rsid w:val="007C2F07"/>
    <w:rsid w:val="007C72F1"/>
    <w:rsid w:val="007D0A8F"/>
    <w:rsid w:val="007D2903"/>
    <w:rsid w:val="007E0951"/>
    <w:rsid w:val="007E134F"/>
    <w:rsid w:val="007E7F7D"/>
    <w:rsid w:val="007F10FB"/>
    <w:rsid w:val="007F243B"/>
    <w:rsid w:val="00801A4C"/>
    <w:rsid w:val="008043C8"/>
    <w:rsid w:val="00811C62"/>
    <w:rsid w:val="0081710E"/>
    <w:rsid w:val="00817AB9"/>
    <w:rsid w:val="00824BF0"/>
    <w:rsid w:val="00824E15"/>
    <w:rsid w:val="00832CD8"/>
    <w:rsid w:val="008353C4"/>
    <w:rsid w:val="00836FFA"/>
    <w:rsid w:val="00843237"/>
    <w:rsid w:val="00850D6F"/>
    <w:rsid w:val="00853349"/>
    <w:rsid w:val="0086084F"/>
    <w:rsid w:val="0086095F"/>
    <w:rsid w:val="00860AD9"/>
    <w:rsid w:val="00860BD5"/>
    <w:rsid w:val="00860C25"/>
    <w:rsid w:val="00872A1B"/>
    <w:rsid w:val="00872AE0"/>
    <w:rsid w:val="008731A5"/>
    <w:rsid w:val="0088096E"/>
    <w:rsid w:val="00881355"/>
    <w:rsid w:val="00884D45"/>
    <w:rsid w:val="00895C02"/>
    <w:rsid w:val="008A2AE4"/>
    <w:rsid w:val="008A2D7F"/>
    <w:rsid w:val="008B0F24"/>
    <w:rsid w:val="008B1400"/>
    <w:rsid w:val="008B7004"/>
    <w:rsid w:val="008C6C5E"/>
    <w:rsid w:val="008D0264"/>
    <w:rsid w:val="008D513A"/>
    <w:rsid w:val="008D5185"/>
    <w:rsid w:val="008D5EBB"/>
    <w:rsid w:val="008E1D4B"/>
    <w:rsid w:val="008F0CF6"/>
    <w:rsid w:val="008F25A8"/>
    <w:rsid w:val="008F26D2"/>
    <w:rsid w:val="008F4FF6"/>
    <w:rsid w:val="00901CA5"/>
    <w:rsid w:val="00902D49"/>
    <w:rsid w:val="00931C67"/>
    <w:rsid w:val="00933B46"/>
    <w:rsid w:val="00934035"/>
    <w:rsid w:val="00934B4E"/>
    <w:rsid w:val="00945455"/>
    <w:rsid w:val="0095052F"/>
    <w:rsid w:val="009521B2"/>
    <w:rsid w:val="0095369D"/>
    <w:rsid w:val="00953EC9"/>
    <w:rsid w:val="0095561E"/>
    <w:rsid w:val="00956EA6"/>
    <w:rsid w:val="0097072C"/>
    <w:rsid w:val="00971308"/>
    <w:rsid w:val="00973ECB"/>
    <w:rsid w:val="009809F0"/>
    <w:rsid w:val="009818ED"/>
    <w:rsid w:val="00982ACF"/>
    <w:rsid w:val="0098667A"/>
    <w:rsid w:val="00994CE1"/>
    <w:rsid w:val="009A08EA"/>
    <w:rsid w:val="009A1BD9"/>
    <w:rsid w:val="009A26CF"/>
    <w:rsid w:val="009A28CA"/>
    <w:rsid w:val="009A5D6B"/>
    <w:rsid w:val="009A768A"/>
    <w:rsid w:val="009B2458"/>
    <w:rsid w:val="009B714C"/>
    <w:rsid w:val="009C1920"/>
    <w:rsid w:val="009D5D0A"/>
    <w:rsid w:val="009F7A5C"/>
    <w:rsid w:val="00A00D69"/>
    <w:rsid w:val="00A02248"/>
    <w:rsid w:val="00A0340E"/>
    <w:rsid w:val="00A10E6C"/>
    <w:rsid w:val="00A172A0"/>
    <w:rsid w:val="00A17886"/>
    <w:rsid w:val="00A22916"/>
    <w:rsid w:val="00A2536E"/>
    <w:rsid w:val="00A3164C"/>
    <w:rsid w:val="00A319C1"/>
    <w:rsid w:val="00A459FC"/>
    <w:rsid w:val="00A473E2"/>
    <w:rsid w:val="00A50D52"/>
    <w:rsid w:val="00A55686"/>
    <w:rsid w:val="00A55E4D"/>
    <w:rsid w:val="00A57268"/>
    <w:rsid w:val="00A62836"/>
    <w:rsid w:val="00A653D7"/>
    <w:rsid w:val="00A70387"/>
    <w:rsid w:val="00A74DEA"/>
    <w:rsid w:val="00A76FEF"/>
    <w:rsid w:val="00A81098"/>
    <w:rsid w:val="00A829FE"/>
    <w:rsid w:val="00A837FD"/>
    <w:rsid w:val="00A85B7A"/>
    <w:rsid w:val="00A86994"/>
    <w:rsid w:val="00A9025B"/>
    <w:rsid w:val="00AA0294"/>
    <w:rsid w:val="00AC1482"/>
    <w:rsid w:val="00AC2BDD"/>
    <w:rsid w:val="00AC4FFA"/>
    <w:rsid w:val="00AC5D41"/>
    <w:rsid w:val="00AD0A52"/>
    <w:rsid w:val="00AD3907"/>
    <w:rsid w:val="00AD56EF"/>
    <w:rsid w:val="00AE7160"/>
    <w:rsid w:val="00AE7986"/>
    <w:rsid w:val="00AF5D8F"/>
    <w:rsid w:val="00AF7819"/>
    <w:rsid w:val="00B024B6"/>
    <w:rsid w:val="00B0327A"/>
    <w:rsid w:val="00B07C18"/>
    <w:rsid w:val="00B11B43"/>
    <w:rsid w:val="00B14581"/>
    <w:rsid w:val="00B154CE"/>
    <w:rsid w:val="00B3064F"/>
    <w:rsid w:val="00B3472D"/>
    <w:rsid w:val="00B353B5"/>
    <w:rsid w:val="00B35633"/>
    <w:rsid w:val="00B36877"/>
    <w:rsid w:val="00B41790"/>
    <w:rsid w:val="00B460AE"/>
    <w:rsid w:val="00B537FD"/>
    <w:rsid w:val="00B626C1"/>
    <w:rsid w:val="00B70581"/>
    <w:rsid w:val="00B85ECB"/>
    <w:rsid w:val="00B85F86"/>
    <w:rsid w:val="00B91C0C"/>
    <w:rsid w:val="00B9308A"/>
    <w:rsid w:val="00BA3C90"/>
    <w:rsid w:val="00BB3268"/>
    <w:rsid w:val="00BB3A15"/>
    <w:rsid w:val="00BC2E5C"/>
    <w:rsid w:val="00BE1E2A"/>
    <w:rsid w:val="00BE6457"/>
    <w:rsid w:val="00BE7A7C"/>
    <w:rsid w:val="00BF0E58"/>
    <w:rsid w:val="00BF26A3"/>
    <w:rsid w:val="00BF4974"/>
    <w:rsid w:val="00C02F5F"/>
    <w:rsid w:val="00C0731E"/>
    <w:rsid w:val="00C1636B"/>
    <w:rsid w:val="00C2312D"/>
    <w:rsid w:val="00C23472"/>
    <w:rsid w:val="00C2401E"/>
    <w:rsid w:val="00C25BA5"/>
    <w:rsid w:val="00C35756"/>
    <w:rsid w:val="00C400F1"/>
    <w:rsid w:val="00C43143"/>
    <w:rsid w:val="00C44BFB"/>
    <w:rsid w:val="00C500C5"/>
    <w:rsid w:val="00C5193D"/>
    <w:rsid w:val="00C5215E"/>
    <w:rsid w:val="00C57F61"/>
    <w:rsid w:val="00C67C7D"/>
    <w:rsid w:val="00C72FD9"/>
    <w:rsid w:val="00C749BD"/>
    <w:rsid w:val="00C77569"/>
    <w:rsid w:val="00C776B7"/>
    <w:rsid w:val="00C87722"/>
    <w:rsid w:val="00C913DC"/>
    <w:rsid w:val="00C92834"/>
    <w:rsid w:val="00CA0341"/>
    <w:rsid w:val="00CA0CA0"/>
    <w:rsid w:val="00CA1424"/>
    <w:rsid w:val="00CB1C2B"/>
    <w:rsid w:val="00CB1FFF"/>
    <w:rsid w:val="00CC4750"/>
    <w:rsid w:val="00CD0A81"/>
    <w:rsid w:val="00CD0E47"/>
    <w:rsid w:val="00CD63EB"/>
    <w:rsid w:val="00CD6D52"/>
    <w:rsid w:val="00CE2911"/>
    <w:rsid w:val="00CE4AAD"/>
    <w:rsid w:val="00CE6A10"/>
    <w:rsid w:val="00CF0B1C"/>
    <w:rsid w:val="00CF71AE"/>
    <w:rsid w:val="00D07973"/>
    <w:rsid w:val="00D17485"/>
    <w:rsid w:val="00D2105E"/>
    <w:rsid w:val="00D2311B"/>
    <w:rsid w:val="00D318E7"/>
    <w:rsid w:val="00D346FD"/>
    <w:rsid w:val="00D37F48"/>
    <w:rsid w:val="00D46090"/>
    <w:rsid w:val="00D47CD0"/>
    <w:rsid w:val="00D54B8C"/>
    <w:rsid w:val="00D573AD"/>
    <w:rsid w:val="00D57D81"/>
    <w:rsid w:val="00D62880"/>
    <w:rsid w:val="00D6788E"/>
    <w:rsid w:val="00D67CC9"/>
    <w:rsid w:val="00D72A3E"/>
    <w:rsid w:val="00D826AE"/>
    <w:rsid w:val="00D87DA0"/>
    <w:rsid w:val="00D90ABB"/>
    <w:rsid w:val="00D9251F"/>
    <w:rsid w:val="00D9561D"/>
    <w:rsid w:val="00DA4306"/>
    <w:rsid w:val="00DA7455"/>
    <w:rsid w:val="00DB0F0B"/>
    <w:rsid w:val="00DB5117"/>
    <w:rsid w:val="00DB631B"/>
    <w:rsid w:val="00DC1593"/>
    <w:rsid w:val="00DC19CD"/>
    <w:rsid w:val="00DD0CA7"/>
    <w:rsid w:val="00DD3018"/>
    <w:rsid w:val="00DD36F1"/>
    <w:rsid w:val="00DD3F82"/>
    <w:rsid w:val="00DD5CA9"/>
    <w:rsid w:val="00DD7D24"/>
    <w:rsid w:val="00DF1F7F"/>
    <w:rsid w:val="00E04C30"/>
    <w:rsid w:val="00E06AC6"/>
    <w:rsid w:val="00E0724E"/>
    <w:rsid w:val="00E103A2"/>
    <w:rsid w:val="00E15BF0"/>
    <w:rsid w:val="00E17A79"/>
    <w:rsid w:val="00E22DDC"/>
    <w:rsid w:val="00E23923"/>
    <w:rsid w:val="00E24A52"/>
    <w:rsid w:val="00E2662C"/>
    <w:rsid w:val="00E27875"/>
    <w:rsid w:val="00E451F8"/>
    <w:rsid w:val="00E47CBD"/>
    <w:rsid w:val="00E52AF7"/>
    <w:rsid w:val="00E616BE"/>
    <w:rsid w:val="00E65F55"/>
    <w:rsid w:val="00E665A7"/>
    <w:rsid w:val="00E668B3"/>
    <w:rsid w:val="00E717EA"/>
    <w:rsid w:val="00E72371"/>
    <w:rsid w:val="00E75BB1"/>
    <w:rsid w:val="00E764D6"/>
    <w:rsid w:val="00E8613F"/>
    <w:rsid w:val="00E87710"/>
    <w:rsid w:val="00E972EC"/>
    <w:rsid w:val="00EA1EDF"/>
    <w:rsid w:val="00EA4E3E"/>
    <w:rsid w:val="00EA5731"/>
    <w:rsid w:val="00EB0BEF"/>
    <w:rsid w:val="00EB354F"/>
    <w:rsid w:val="00EB42BC"/>
    <w:rsid w:val="00EB4B5D"/>
    <w:rsid w:val="00EC039A"/>
    <w:rsid w:val="00EC1DB3"/>
    <w:rsid w:val="00EC5196"/>
    <w:rsid w:val="00EC6DAF"/>
    <w:rsid w:val="00EC7EE4"/>
    <w:rsid w:val="00EE0375"/>
    <w:rsid w:val="00EE7F94"/>
    <w:rsid w:val="00EF05F3"/>
    <w:rsid w:val="00EF33DE"/>
    <w:rsid w:val="00F0159E"/>
    <w:rsid w:val="00F035B4"/>
    <w:rsid w:val="00F06189"/>
    <w:rsid w:val="00F06DD1"/>
    <w:rsid w:val="00F07423"/>
    <w:rsid w:val="00F07907"/>
    <w:rsid w:val="00F3786C"/>
    <w:rsid w:val="00F4302F"/>
    <w:rsid w:val="00F438B2"/>
    <w:rsid w:val="00F45956"/>
    <w:rsid w:val="00F50985"/>
    <w:rsid w:val="00F50FDE"/>
    <w:rsid w:val="00F556C8"/>
    <w:rsid w:val="00F55C2E"/>
    <w:rsid w:val="00F56B67"/>
    <w:rsid w:val="00F638E4"/>
    <w:rsid w:val="00F64E58"/>
    <w:rsid w:val="00F6643B"/>
    <w:rsid w:val="00F70D70"/>
    <w:rsid w:val="00F7109F"/>
    <w:rsid w:val="00F71A78"/>
    <w:rsid w:val="00F750A9"/>
    <w:rsid w:val="00F7781A"/>
    <w:rsid w:val="00F77DA9"/>
    <w:rsid w:val="00F811C5"/>
    <w:rsid w:val="00F83CB5"/>
    <w:rsid w:val="00F86FAF"/>
    <w:rsid w:val="00F9180E"/>
    <w:rsid w:val="00F97A7C"/>
    <w:rsid w:val="00FA3650"/>
    <w:rsid w:val="00FA386E"/>
    <w:rsid w:val="00FA5989"/>
    <w:rsid w:val="00FB2D09"/>
    <w:rsid w:val="00FB3AAE"/>
    <w:rsid w:val="00FB6490"/>
    <w:rsid w:val="00FC41D6"/>
    <w:rsid w:val="00FC4C87"/>
    <w:rsid w:val="00FC5201"/>
    <w:rsid w:val="00FC6995"/>
    <w:rsid w:val="00FD14CE"/>
    <w:rsid w:val="00FD1562"/>
    <w:rsid w:val="00FD397A"/>
    <w:rsid w:val="00FE2287"/>
    <w:rsid w:val="00FF101C"/>
    <w:rsid w:val="00FF5C5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David"/>
        <w:sz w:val="24"/>
        <w:szCs w:val="24"/>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1B2"/>
    <w:pPr>
      <w:bidi/>
      <w:spacing w:after="0" w:line="240" w:lineRule="auto"/>
    </w:pPr>
  </w:style>
  <w:style w:type="paragraph" w:styleId="1">
    <w:name w:val="heading 1"/>
    <w:basedOn w:val="a"/>
    <w:next w:val="a"/>
    <w:link w:val="10"/>
    <w:qFormat/>
    <w:rsid w:val="009521B2"/>
    <w:pPr>
      <w:keepNext/>
      <w:jc w:val="center"/>
      <w:outlineLvl w:val="0"/>
    </w:pPr>
    <w:rPr>
      <w:b/>
      <w:bCs/>
      <w:sz w:val="28"/>
      <w:szCs w:val="28"/>
      <w:u w:val="single"/>
      <w:lang w:val="x-none"/>
    </w:rPr>
  </w:style>
  <w:style w:type="paragraph" w:styleId="3">
    <w:name w:val="heading 3"/>
    <w:basedOn w:val="a"/>
    <w:next w:val="a"/>
    <w:link w:val="30"/>
    <w:semiHidden/>
    <w:unhideWhenUsed/>
    <w:qFormat/>
    <w:rsid w:val="002876E5"/>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9521B2"/>
    <w:rPr>
      <w:rFonts w:ascii="Times New Roman" w:eastAsia="Times New Roman" w:hAnsi="Times New Roman" w:cs="Times New Roman"/>
      <w:b/>
      <w:bCs/>
      <w:sz w:val="28"/>
      <w:szCs w:val="28"/>
      <w:u w:val="single"/>
      <w:lang w:val="x-none" w:eastAsia="he-IL"/>
    </w:rPr>
  </w:style>
  <w:style w:type="character" w:customStyle="1" w:styleId="default">
    <w:name w:val="default"/>
    <w:rsid w:val="009521B2"/>
    <w:rPr>
      <w:rFonts w:ascii="Times New Roman" w:hAnsi="Times New Roman" w:cs="Times New Roman"/>
      <w:sz w:val="26"/>
      <w:szCs w:val="26"/>
    </w:rPr>
  </w:style>
  <w:style w:type="paragraph" w:styleId="a3">
    <w:name w:val="header"/>
    <w:basedOn w:val="a"/>
    <w:link w:val="a4"/>
    <w:rsid w:val="009521B2"/>
    <w:pPr>
      <w:tabs>
        <w:tab w:val="center" w:pos="4153"/>
        <w:tab w:val="right" w:pos="8306"/>
      </w:tabs>
    </w:pPr>
    <w:rPr>
      <w:lang w:val="x-none"/>
    </w:rPr>
  </w:style>
  <w:style w:type="character" w:customStyle="1" w:styleId="a4">
    <w:name w:val="כותרת עליונה תו"/>
    <w:basedOn w:val="a0"/>
    <w:link w:val="a3"/>
    <w:rsid w:val="009521B2"/>
    <w:rPr>
      <w:rFonts w:ascii="Times New Roman" w:eastAsia="Times New Roman" w:hAnsi="Times New Roman" w:cs="Times New Roman"/>
      <w:sz w:val="24"/>
      <w:szCs w:val="24"/>
      <w:lang w:val="x-none" w:eastAsia="he-IL"/>
    </w:rPr>
  </w:style>
  <w:style w:type="paragraph" w:styleId="a5">
    <w:name w:val="Balloon Text"/>
    <w:basedOn w:val="a"/>
    <w:link w:val="a6"/>
    <w:uiPriority w:val="99"/>
    <w:semiHidden/>
    <w:unhideWhenUsed/>
    <w:rsid w:val="009521B2"/>
    <w:rPr>
      <w:rFonts w:ascii="Tahoma" w:hAnsi="Tahoma" w:cs="Tahoma"/>
      <w:sz w:val="16"/>
      <w:szCs w:val="16"/>
    </w:rPr>
  </w:style>
  <w:style w:type="character" w:customStyle="1" w:styleId="a6">
    <w:name w:val="טקסט בלונים תו"/>
    <w:basedOn w:val="a0"/>
    <w:link w:val="a5"/>
    <w:uiPriority w:val="99"/>
    <w:semiHidden/>
    <w:rsid w:val="009521B2"/>
    <w:rPr>
      <w:rFonts w:ascii="Tahoma" w:eastAsia="Times New Roman" w:hAnsi="Tahoma" w:cs="Tahoma"/>
      <w:sz w:val="16"/>
      <w:szCs w:val="16"/>
      <w:lang w:eastAsia="he-IL"/>
    </w:rPr>
  </w:style>
  <w:style w:type="paragraph" w:styleId="a7">
    <w:name w:val="List Paragraph"/>
    <w:basedOn w:val="a"/>
    <w:uiPriority w:val="34"/>
    <w:qFormat/>
    <w:rsid w:val="009521B2"/>
    <w:pPr>
      <w:ind w:left="720"/>
      <w:contextualSpacing/>
    </w:pPr>
  </w:style>
  <w:style w:type="paragraph" w:customStyle="1" w:styleId="P00">
    <w:name w:val="P00"/>
    <w:rsid w:val="00051DBF"/>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eastAsia="Times New Roman" w:cs="Times New Roman"/>
      <w:noProof/>
      <w:sz w:val="20"/>
      <w:szCs w:val="26"/>
      <w:lang w:eastAsia="he-IL"/>
    </w:rPr>
  </w:style>
  <w:style w:type="character" w:styleId="a8">
    <w:name w:val="Strong"/>
    <w:uiPriority w:val="22"/>
    <w:qFormat/>
    <w:rsid w:val="003E2AC2"/>
    <w:rPr>
      <w:b/>
      <w:bCs/>
    </w:rPr>
  </w:style>
  <w:style w:type="paragraph" w:customStyle="1" w:styleId="p000">
    <w:name w:val="p00"/>
    <w:basedOn w:val="a"/>
    <w:rsid w:val="00B3472D"/>
    <w:pPr>
      <w:bidi w:val="0"/>
      <w:spacing w:before="100" w:beforeAutospacing="1" w:after="100" w:afterAutospacing="1"/>
    </w:pPr>
  </w:style>
  <w:style w:type="character" w:styleId="a9">
    <w:name w:val="footnote reference"/>
    <w:uiPriority w:val="99"/>
    <w:semiHidden/>
    <w:rsid w:val="002876E5"/>
    <w:rPr>
      <w:vertAlign w:val="superscript"/>
    </w:rPr>
  </w:style>
  <w:style w:type="paragraph" w:styleId="aa">
    <w:name w:val="footnote text"/>
    <w:basedOn w:val="a"/>
    <w:link w:val="ab"/>
    <w:autoRedefine/>
    <w:uiPriority w:val="99"/>
    <w:rsid w:val="00D346FD"/>
    <w:pPr>
      <w:widowControl w:val="0"/>
      <w:autoSpaceDE w:val="0"/>
      <w:autoSpaceDN w:val="0"/>
      <w:adjustRightInd w:val="0"/>
      <w:snapToGrid w:val="0"/>
      <w:jc w:val="both"/>
      <w:textAlignment w:val="center"/>
    </w:pPr>
    <w:rPr>
      <w:rFonts w:ascii="Arial" w:eastAsia="Arial Unicode MS" w:hAnsi="Arial"/>
      <w:snapToGrid w:val="0"/>
      <w:color w:val="000000"/>
      <w:sz w:val="14"/>
      <w:szCs w:val="20"/>
      <w:lang w:eastAsia="ja-JP"/>
    </w:rPr>
  </w:style>
  <w:style w:type="character" w:customStyle="1" w:styleId="ab">
    <w:name w:val="טקסט הערת שוליים תו"/>
    <w:basedOn w:val="a0"/>
    <w:link w:val="aa"/>
    <w:uiPriority w:val="99"/>
    <w:rsid w:val="00D346FD"/>
    <w:rPr>
      <w:rFonts w:ascii="Arial" w:eastAsia="Arial Unicode MS" w:hAnsi="Arial"/>
      <w:snapToGrid w:val="0"/>
      <w:color w:val="000000"/>
      <w:sz w:val="14"/>
      <w:szCs w:val="20"/>
      <w:lang w:eastAsia="ja-JP"/>
    </w:rPr>
  </w:style>
  <w:style w:type="character" w:customStyle="1" w:styleId="30">
    <w:name w:val="כותרת 3 תו"/>
    <w:basedOn w:val="a0"/>
    <w:link w:val="3"/>
    <w:semiHidden/>
    <w:rsid w:val="002876E5"/>
    <w:rPr>
      <w:rFonts w:ascii="Cambria" w:eastAsia="Times New Roman" w:hAnsi="Cambria" w:cs="Times New Roman"/>
      <w:b/>
      <w:bCs/>
      <w:sz w:val="26"/>
      <w:szCs w:val="26"/>
      <w:lang w:eastAsia="he-IL"/>
    </w:rPr>
  </w:style>
  <w:style w:type="character" w:styleId="Hyperlink">
    <w:name w:val="Hyperlink"/>
    <w:rsid w:val="00FF5C58"/>
    <w:rPr>
      <w:color w:val="0000FF"/>
      <w:u w:val="single"/>
    </w:rPr>
  </w:style>
  <w:style w:type="character" w:customStyle="1" w:styleId="big-number">
    <w:name w:val="big-number"/>
    <w:basedOn w:val="default"/>
    <w:rsid w:val="00DD3F82"/>
    <w:rPr>
      <w:rFonts w:ascii="Times New Roman" w:hAnsi="Times New Roman" w:cs="Times New Roman"/>
      <w:sz w:val="32"/>
      <w:szCs w:val="32"/>
    </w:rPr>
  </w:style>
  <w:style w:type="paragraph" w:customStyle="1" w:styleId="P22">
    <w:name w:val="P22"/>
    <w:basedOn w:val="P00"/>
    <w:rsid w:val="00DD3F82"/>
    <w:pPr>
      <w:tabs>
        <w:tab w:val="clear" w:pos="624"/>
        <w:tab w:val="clear" w:pos="1021"/>
      </w:tabs>
      <w:ind w:right="1021"/>
    </w:pPr>
  </w:style>
  <w:style w:type="paragraph" w:styleId="ac">
    <w:name w:val="footer"/>
    <w:basedOn w:val="a"/>
    <w:link w:val="ad"/>
    <w:uiPriority w:val="99"/>
    <w:unhideWhenUsed/>
    <w:rsid w:val="00A10E6C"/>
    <w:pPr>
      <w:tabs>
        <w:tab w:val="center" w:pos="4153"/>
        <w:tab w:val="right" w:pos="8306"/>
      </w:tabs>
    </w:pPr>
  </w:style>
  <w:style w:type="character" w:customStyle="1" w:styleId="ad">
    <w:name w:val="כותרת תחתונה תו"/>
    <w:basedOn w:val="a0"/>
    <w:link w:val="ac"/>
    <w:uiPriority w:val="99"/>
    <w:rsid w:val="00A10E6C"/>
    <w:rPr>
      <w:rFonts w:ascii="Times New Roman" w:eastAsia="Times New Roman" w:hAnsi="Times New Roman" w:cs="Times New Roman"/>
      <w:sz w:val="24"/>
      <w:szCs w:val="24"/>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David"/>
        <w:sz w:val="24"/>
        <w:szCs w:val="24"/>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1B2"/>
    <w:pPr>
      <w:bidi/>
      <w:spacing w:after="0" w:line="240" w:lineRule="auto"/>
    </w:pPr>
  </w:style>
  <w:style w:type="paragraph" w:styleId="1">
    <w:name w:val="heading 1"/>
    <w:basedOn w:val="a"/>
    <w:next w:val="a"/>
    <w:link w:val="10"/>
    <w:qFormat/>
    <w:rsid w:val="009521B2"/>
    <w:pPr>
      <w:keepNext/>
      <w:jc w:val="center"/>
      <w:outlineLvl w:val="0"/>
    </w:pPr>
    <w:rPr>
      <w:b/>
      <w:bCs/>
      <w:sz w:val="28"/>
      <w:szCs w:val="28"/>
      <w:u w:val="single"/>
      <w:lang w:val="x-none"/>
    </w:rPr>
  </w:style>
  <w:style w:type="paragraph" w:styleId="3">
    <w:name w:val="heading 3"/>
    <w:basedOn w:val="a"/>
    <w:next w:val="a"/>
    <w:link w:val="30"/>
    <w:semiHidden/>
    <w:unhideWhenUsed/>
    <w:qFormat/>
    <w:rsid w:val="002876E5"/>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9521B2"/>
    <w:rPr>
      <w:rFonts w:ascii="Times New Roman" w:eastAsia="Times New Roman" w:hAnsi="Times New Roman" w:cs="Times New Roman"/>
      <w:b/>
      <w:bCs/>
      <w:sz w:val="28"/>
      <w:szCs w:val="28"/>
      <w:u w:val="single"/>
      <w:lang w:val="x-none" w:eastAsia="he-IL"/>
    </w:rPr>
  </w:style>
  <w:style w:type="character" w:customStyle="1" w:styleId="default">
    <w:name w:val="default"/>
    <w:rsid w:val="009521B2"/>
    <w:rPr>
      <w:rFonts w:ascii="Times New Roman" w:hAnsi="Times New Roman" w:cs="Times New Roman"/>
      <w:sz w:val="26"/>
      <w:szCs w:val="26"/>
    </w:rPr>
  </w:style>
  <w:style w:type="paragraph" w:styleId="a3">
    <w:name w:val="header"/>
    <w:basedOn w:val="a"/>
    <w:link w:val="a4"/>
    <w:rsid w:val="009521B2"/>
    <w:pPr>
      <w:tabs>
        <w:tab w:val="center" w:pos="4153"/>
        <w:tab w:val="right" w:pos="8306"/>
      </w:tabs>
    </w:pPr>
    <w:rPr>
      <w:lang w:val="x-none"/>
    </w:rPr>
  </w:style>
  <w:style w:type="character" w:customStyle="1" w:styleId="a4">
    <w:name w:val="כותרת עליונה תו"/>
    <w:basedOn w:val="a0"/>
    <w:link w:val="a3"/>
    <w:rsid w:val="009521B2"/>
    <w:rPr>
      <w:rFonts w:ascii="Times New Roman" w:eastAsia="Times New Roman" w:hAnsi="Times New Roman" w:cs="Times New Roman"/>
      <w:sz w:val="24"/>
      <w:szCs w:val="24"/>
      <w:lang w:val="x-none" w:eastAsia="he-IL"/>
    </w:rPr>
  </w:style>
  <w:style w:type="paragraph" w:styleId="a5">
    <w:name w:val="Balloon Text"/>
    <w:basedOn w:val="a"/>
    <w:link w:val="a6"/>
    <w:uiPriority w:val="99"/>
    <w:semiHidden/>
    <w:unhideWhenUsed/>
    <w:rsid w:val="009521B2"/>
    <w:rPr>
      <w:rFonts w:ascii="Tahoma" w:hAnsi="Tahoma" w:cs="Tahoma"/>
      <w:sz w:val="16"/>
      <w:szCs w:val="16"/>
    </w:rPr>
  </w:style>
  <w:style w:type="character" w:customStyle="1" w:styleId="a6">
    <w:name w:val="טקסט בלונים תו"/>
    <w:basedOn w:val="a0"/>
    <w:link w:val="a5"/>
    <w:uiPriority w:val="99"/>
    <w:semiHidden/>
    <w:rsid w:val="009521B2"/>
    <w:rPr>
      <w:rFonts w:ascii="Tahoma" w:eastAsia="Times New Roman" w:hAnsi="Tahoma" w:cs="Tahoma"/>
      <w:sz w:val="16"/>
      <w:szCs w:val="16"/>
      <w:lang w:eastAsia="he-IL"/>
    </w:rPr>
  </w:style>
  <w:style w:type="paragraph" w:styleId="a7">
    <w:name w:val="List Paragraph"/>
    <w:basedOn w:val="a"/>
    <w:uiPriority w:val="34"/>
    <w:qFormat/>
    <w:rsid w:val="009521B2"/>
    <w:pPr>
      <w:ind w:left="720"/>
      <w:contextualSpacing/>
    </w:pPr>
  </w:style>
  <w:style w:type="paragraph" w:customStyle="1" w:styleId="P00">
    <w:name w:val="P00"/>
    <w:rsid w:val="00051DBF"/>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eastAsia="Times New Roman" w:cs="Times New Roman"/>
      <w:noProof/>
      <w:sz w:val="20"/>
      <w:szCs w:val="26"/>
      <w:lang w:eastAsia="he-IL"/>
    </w:rPr>
  </w:style>
  <w:style w:type="character" w:styleId="a8">
    <w:name w:val="Strong"/>
    <w:uiPriority w:val="22"/>
    <w:qFormat/>
    <w:rsid w:val="003E2AC2"/>
    <w:rPr>
      <w:b/>
      <w:bCs/>
    </w:rPr>
  </w:style>
  <w:style w:type="paragraph" w:customStyle="1" w:styleId="p000">
    <w:name w:val="p00"/>
    <w:basedOn w:val="a"/>
    <w:rsid w:val="00B3472D"/>
    <w:pPr>
      <w:bidi w:val="0"/>
      <w:spacing w:before="100" w:beforeAutospacing="1" w:after="100" w:afterAutospacing="1"/>
    </w:pPr>
  </w:style>
  <w:style w:type="character" w:styleId="a9">
    <w:name w:val="footnote reference"/>
    <w:uiPriority w:val="99"/>
    <w:semiHidden/>
    <w:rsid w:val="002876E5"/>
    <w:rPr>
      <w:vertAlign w:val="superscript"/>
    </w:rPr>
  </w:style>
  <w:style w:type="paragraph" w:styleId="aa">
    <w:name w:val="footnote text"/>
    <w:basedOn w:val="a"/>
    <w:link w:val="ab"/>
    <w:autoRedefine/>
    <w:uiPriority w:val="99"/>
    <w:rsid w:val="00D346FD"/>
    <w:pPr>
      <w:widowControl w:val="0"/>
      <w:autoSpaceDE w:val="0"/>
      <w:autoSpaceDN w:val="0"/>
      <w:adjustRightInd w:val="0"/>
      <w:snapToGrid w:val="0"/>
      <w:jc w:val="both"/>
      <w:textAlignment w:val="center"/>
    </w:pPr>
    <w:rPr>
      <w:rFonts w:ascii="Arial" w:eastAsia="Arial Unicode MS" w:hAnsi="Arial"/>
      <w:snapToGrid w:val="0"/>
      <w:color w:val="000000"/>
      <w:sz w:val="14"/>
      <w:szCs w:val="20"/>
      <w:lang w:eastAsia="ja-JP"/>
    </w:rPr>
  </w:style>
  <w:style w:type="character" w:customStyle="1" w:styleId="ab">
    <w:name w:val="טקסט הערת שוליים תו"/>
    <w:basedOn w:val="a0"/>
    <w:link w:val="aa"/>
    <w:uiPriority w:val="99"/>
    <w:rsid w:val="00D346FD"/>
    <w:rPr>
      <w:rFonts w:ascii="Arial" w:eastAsia="Arial Unicode MS" w:hAnsi="Arial"/>
      <w:snapToGrid w:val="0"/>
      <w:color w:val="000000"/>
      <w:sz w:val="14"/>
      <w:szCs w:val="20"/>
      <w:lang w:eastAsia="ja-JP"/>
    </w:rPr>
  </w:style>
  <w:style w:type="character" w:customStyle="1" w:styleId="30">
    <w:name w:val="כותרת 3 תו"/>
    <w:basedOn w:val="a0"/>
    <w:link w:val="3"/>
    <w:semiHidden/>
    <w:rsid w:val="002876E5"/>
    <w:rPr>
      <w:rFonts w:ascii="Cambria" w:eastAsia="Times New Roman" w:hAnsi="Cambria" w:cs="Times New Roman"/>
      <w:b/>
      <w:bCs/>
      <w:sz w:val="26"/>
      <w:szCs w:val="26"/>
      <w:lang w:eastAsia="he-IL"/>
    </w:rPr>
  </w:style>
  <w:style w:type="character" w:styleId="Hyperlink">
    <w:name w:val="Hyperlink"/>
    <w:rsid w:val="00FF5C58"/>
    <w:rPr>
      <w:color w:val="0000FF"/>
      <w:u w:val="single"/>
    </w:rPr>
  </w:style>
  <w:style w:type="character" w:customStyle="1" w:styleId="big-number">
    <w:name w:val="big-number"/>
    <w:basedOn w:val="default"/>
    <w:rsid w:val="00DD3F82"/>
    <w:rPr>
      <w:rFonts w:ascii="Times New Roman" w:hAnsi="Times New Roman" w:cs="Times New Roman"/>
      <w:sz w:val="32"/>
      <w:szCs w:val="32"/>
    </w:rPr>
  </w:style>
  <w:style w:type="paragraph" w:customStyle="1" w:styleId="P22">
    <w:name w:val="P22"/>
    <w:basedOn w:val="P00"/>
    <w:rsid w:val="00DD3F82"/>
    <w:pPr>
      <w:tabs>
        <w:tab w:val="clear" w:pos="624"/>
        <w:tab w:val="clear" w:pos="1021"/>
      </w:tabs>
      <w:ind w:right="1021"/>
    </w:pPr>
  </w:style>
  <w:style w:type="paragraph" w:styleId="ac">
    <w:name w:val="footer"/>
    <w:basedOn w:val="a"/>
    <w:link w:val="ad"/>
    <w:uiPriority w:val="99"/>
    <w:unhideWhenUsed/>
    <w:rsid w:val="00A10E6C"/>
    <w:pPr>
      <w:tabs>
        <w:tab w:val="center" w:pos="4153"/>
        <w:tab w:val="right" w:pos="8306"/>
      </w:tabs>
    </w:pPr>
  </w:style>
  <w:style w:type="character" w:customStyle="1" w:styleId="ad">
    <w:name w:val="כותרת תחתונה תו"/>
    <w:basedOn w:val="a0"/>
    <w:link w:val="ac"/>
    <w:uiPriority w:val="99"/>
    <w:rsid w:val="00A10E6C"/>
    <w:rPr>
      <w:rFonts w:ascii="Times New Roman" w:eastAsia="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74275E-895A-48A2-BA43-11DED18AF217}"/>
</file>

<file path=customXml/itemProps2.xml><?xml version="1.0" encoding="utf-8"?>
<ds:datastoreItem xmlns:ds="http://schemas.openxmlformats.org/officeDocument/2006/customXml" ds:itemID="{3E79601E-0183-4686-94B3-DA2EB2DAD4B6}"/>
</file>

<file path=customXml/itemProps3.xml><?xml version="1.0" encoding="utf-8"?>
<ds:datastoreItem xmlns:ds="http://schemas.openxmlformats.org/officeDocument/2006/customXml" ds:itemID="{50F13BCF-44E8-4EF3-827C-4C0F31AE877F}"/>
</file>

<file path=customXml/itemProps4.xml><?xml version="1.0" encoding="utf-8"?>
<ds:datastoreItem xmlns:ds="http://schemas.openxmlformats.org/officeDocument/2006/customXml" ds:itemID="{6FC89024-7184-46AB-A73F-8EB8C2B567CD}"/>
</file>

<file path=docProps/app.xml><?xml version="1.0" encoding="utf-8"?>
<Properties xmlns="http://schemas.openxmlformats.org/officeDocument/2006/extended-properties" xmlns:vt="http://schemas.openxmlformats.org/officeDocument/2006/docPropsVTypes">
  <Template>Normal</Template>
  <TotalTime>1</TotalTime>
  <Pages>1</Pages>
  <Words>1579</Words>
  <Characters>7896</Characters>
  <Application>Microsoft Office Word</Application>
  <DocSecurity>0</DocSecurity>
  <Lines>65</Lines>
  <Paragraphs>18</Paragraphs>
  <ScaleCrop>false</ScaleCrop>
  <HeadingPairs>
    <vt:vector size="2" baseType="variant">
      <vt:variant>
        <vt:lpstr>שם</vt:lpstr>
      </vt:variant>
      <vt:variant>
        <vt:i4>1</vt:i4>
      </vt:variant>
    </vt:vector>
  </HeadingPairs>
  <TitlesOfParts>
    <vt:vector size="1" baseType="lpstr">
      <vt:lpstr>מסמך הכנה לדיון בנושא מונופול הגז הטבעי</vt:lpstr>
    </vt:vector>
  </TitlesOfParts>
  <Company>Knesset</Company>
  <LinksUpToDate>false</LinksUpToDate>
  <CharactersWithSpaces>9457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מסמך הכנה לדיון בנושא מונופול הגז הטבעי</dc:title>
  <dc:creator>אילת וולברג</dc:creator>
  <cp:lastModifiedBy>שגית אפיק</cp:lastModifiedBy>
  <cp:revision>2</cp:revision>
  <cp:lastPrinted>2015-06-02T10:31:00Z</cp:lastPrinted>
  <dcterms:created xsi:type="dcterms:W3CDTF">2015-06-02T07:08:00Z</dcterms:created>
  <dcterms:modified xsi:type="dcterms:W3CDTF">2015-06-02T07:08:00Z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בסיס</vt:lpwstr>
  </property>
  <property fmtid="{D5CDD505-2E9C-101B-9397-08002B2CF9AE}" pid="4" name="SDCategoryID">
    <vt:lpwstr>c7610034fb57;#</vt:lpwstr>
  </property>
  <property fmtid="{D5CDD505-2E9C-101B-9397-08002B2CF9AE}" pid="5" name="z">
    <vt:lpwstr>#RowsetSchema</vt:lpwstr>
  </property>
  <property fmtid="{D5CDD505-2E9C-101B-9397-08002B2CF9AE}" pid="6" name="FileLeafRef">
    <vt:lpwstr>19374;#02141315.docx</vt:lpwstr>
  </property>
  <property fmtid="{D5CDD505-2E9C-101B-9397-08002B2CF9AE}" pid="7" name="Modified_x0020_By">
    <vt:lpwstr>LAN_KNESSET\ayeletvo</vt:lpwstr>
  </property>
  <property fmtid="{D5CDD505-2E9C-101B-9397-08002B2CF9AE}" pid="8" name="Created_x0020_By">
    <vt:lpwstr>LAN_KNESSET\ayeletvo</vt:lpwstr>
  </property>
  <property fmtid="{D5CDD505-2E9C-101B-9397-08002B2CF9AE}" pid="9" name="File_x0020_Type">
    <vt:lpwstr>docx</vt:lpwstr>
  </property>
  <property fmtid="{D5CDD505-2E9C-101B-9397-08002B2CF9AE}" pid="10" name="AutoNumber">
    <vt:lpwstr>02141315</vt:lpwstr>
  </property>
  <property fmtid="{D5CDD505-2E9C-101B-9397-08002B2CF9AE}" pid="11" name="SDCategories">
    <vt:lpwstr>:כללי2:הלשכה המשפטית:ועדות הכנסת:כספים;#</vt:lpwstr>
  </property>
  <property fmtid="{D5CDD505-2E9C-101B-9397-08002B2CF9AE}" pid="12" name="SDAuthor">
    <vt:lpwstr>אילת וולברג</vt:lpwstr>
  </property>
  <property fmtid="{D5CDD505-2E9C-101B-9397-08002B2CF9AE}" pid="13" name="SDDocDate">
    <vt:lpwstr>01/06/2015</vt:lpwstr>
  </property>
  <property fmtid="{D5CDD505-2E9C-101B-9397-08002B2CF9AE}" pid="14" name="SDHebDate">
    <vt:lpwstr>י"ד בסיון, התשע"ה</vt:lpwstr>
  </property>
  <property fmtid="{D5CDD505-2E9C-101B-9397-08002B2CF9AE}" pid="15" name="SDImportance">
    <vt:lpwstr>0</vt:lpwstr>
  </property>
  <property fmtid="{D5CDD505-2E9C-101B-9397-08002B2CF9AE}" pid="16" name="SDDocumentSource">
    <vt:lpwstr>SDFileUpload</vt:lpwstr>
  </property>
  <property fmtid="{D5CDD505-2E9C-101B-9397-08002B2CF9AE}" pid="17" name="ID">
    <vt:lpwstr>19374</vt:lpwstr>
  </property>
  <property fmtid="{D5CDD505-2E9C-101B-9397-08002B2CF9AE}" pid="18" name="Created">
    <vt:lpwstr>01/06/2015</vt:lpwstr>
  </property>
  <property fmtid="{D5CDD505-2E9C-101B-9397-08002B2CF9AE}" pid="19" name="Author">
    <vt:lpwstr>2080;#אילת וולברג</vt:lpwstr>
  </property>
  <property fmtid="{D5CDD505-2E9C-101B-9397-08002B2CF9AE}" pid="20" name="Modified">
    <vt:lpwstr>02/06/2015</vt:lpwstr>
  </property>
  <property fmtid="{D5CDD505-2E9C-101B-9397-08002B2CF9AE}" pid="21" name="Editor">
    <vt:lpwstr>2080;#אילת וולברג</vt:lpwstr>
  </property>
  <property fmtid="{D5CDD505-2E9C-101B-9397-08002B2CF9AE}" pid="22" name="_ModerationStatus">
    <vt:lpwstr>0</vt:lpwstr>
  </property>
  <property fmtid="{D5CDD505-2E9C-101B-9397-08002B2CF9AE}" pid="23" name="FileRef">
    <vt:lpwstr>19374;#sites/glob2/DEPT_HOK_NEW/DocLib/DocLib automatically created by sharedocs 2/02141315.docx</vt:lpwstr>
  </property>
  <property fmtid="{D5CDD505-2E9C-101B-9397-08002B2CF9AE}" pid="24" name="FileDirRef">
    <vt:lpwstr>19374;#sites/glob2/DEPT_HOK_NEW/DocLib/DocLib automatically created by sharedocs 2</vt:lpwstr>
  </property>
  <property fmtid="{D5CDD505-2E9C-101B-9397-08002B2CF9AE}" pid="25" name="Last_x0020_Modified">
    <vt:lpwstr>19374;#2015-06-02 09:50:09</vt:lpwstr>
  </property>
  <property fmtid="{D5CDD505-2E9C-101B-9397-08002B2CF9AE}" pid="26" name="Created_x0020_Date">
    <vt:lpwstr>19374;#2015-06-01 12:05:30</vt:lpwstr>
  </property>
  <property fmtid="{D5CDD505-2E9C-101B-9397-08002B2CF9AE}" pid="27" name="File_x0020_Size">
    <vt:lpwstr>19374;#66464</vt:lpwstr>
  </property>
  <property fmtid="{D5CDD505-2E9C-101B-9397-08002B2CF9AE}" pid="28" name="FSObjType">
    <vt:lpwstr>19374;#0</vt:lpwstr>
  </property>
  <property fmtid="{D5CDD505-2E9C-101B-9397-08002B2CF9AE}" pid="29" name="PermMask">
    <vt:lpwstr>0x1b03c4312ef</vt:lpwstr>
  </property>
  <property fmtid="{D5CDD505-2E9C-101B-9397-08002B2CF9AE}" pid="30" name="CheckedOutUserId">
    <vt:lpwstr>19374;#</vt:lpwstr>
  </property>
  <property fmtid="{D5CDD505-2E9C-101B-9397-08002B2CF9AE}" pid="31" name="IsCheckedoutToLocal">
    <vt:lpwstr>19374;#0</vt:lpwstr>
  </property>
  <property fmtid="{D5CDD505-2E9C-101B-9397-08002B2CF9AE}" pid="32" name="UniqueId">
    <vt:lpwstr>19374;#{57957D15-56FB-4C32-B08D-A0894E51CDB2}</vt:lpwstr>
  </property>
  <property fmtid="{D5CDD505-2E9C-101B-9397-08002B2CF9AE}" pid="33" name="ProgId">
    <vt:lpwstr>19374;#</vt:lpwstr>
  </property>
  <property fmtid="{D5CDD505-2E9C-101B-9397-08002B2CF9AE}" pid="34" name="ScopeId">
    <vt:lpwstr>19374;#{D4FB6348-8162-47AD-BFF4-F67F0704D624}</vt:lpwstr>
  </property>
  <property fmtid="{D5CDD505-2E9C-101B-9397-08002B2CF9AE}" pid="35" name="VirusStatus">
    <vt:lpwstr>19374;#66464</vt:lpwstr>
  </property>
  <property fmtid="{D5CDD505-2E9C-101B-9397-08002B2CF9AE}" pid="36" name="CheckedOutTitle">
    <vt:lpwstr>19374;#</vt:lpwstr>
  </property>
  <property fmtid="{D5CDD505-2E9C-101B-9397-08002B2CF9AE}" pid="37" name="_CheckinComment">
    <vt:lpwstr>19374;#</vt:lpwstr>
  </property>
  <property fmtid="{D5CDD505-2E9C-101B-9397-08002B2CF9AE}" pid="38" name="_EditMenuTableStart">
    <vt:lpwstr>02141315.docx</vt:lpwstr>
  </property>
  <property fmtid="{D5CDD505-2E9C-101B-9397-08002B2CF9AE}" pid="39" name="_EditMenuTableEnd">
    <vt:lpwstr>19374</vt:lpwstr>
  </property>
  <property fmtid="{D5CDD505-2E9C-101B-9397-08002B2CF9AE}" pid="40" name="LinkFilenameNoMenu">
    <vt:lpwstr>02141315.docx</vt:lpwstr>
  </property>
  <property fmtid="{D5CDD505-2E9C-101B-9397-08002B2CF9AE}" pid="41" name="LinkFilename">
    <vt:lpwstr>02141315.docx</vt:lpwstr>
  </property>
  <property fmtid="{D5CDD505-2E9C-101B-9397-08002B2CF9AE}" pid="42" name="DocIcon">
    <vt:lpwstr>docx</vt:lpwstr>
  </property>
  <property fmtid="{D5CDD505-2E9C-101B-9397-08002B2CF9AE}" pid="43" name="ServerUrl">
    <vt:lpwstr>/sites/glob2/DEPT_HOK_NEW/DocLib/DocLib automatically created by sharedocs 2/02141315.docx</vt:lpwstr>
  </property>
  <property fmtid="{D5CDD505-2E9C-101B-9397-08002B2CF9AE}" pid="44" name="EncodedAbsUrl">
    <vt:lpwstr>http://sd3portal/sites/glob2/DEPT_HOK_NEW/DocLib/DocLib%20automatically%20created%20by%20sharedocs%202/02141315.docx</vt:lpwstr>
  </property>
  <property fmtid="{D5CDD505-2E9C-101B-9397-08002B2CF9AE}" pid="45" name="BaseName">
    <vt:lpwstr>02141315</vt:lpwstr>
  </property>
  <property fmtid="{D5CDD505-2E9C-101B-9397-08002B2CF9AE}" pid="46" name="FileSizeDisplay">
    <vt:lpwstr>66464</vt:lpwstr>
  </property>
  <property fmtid="{D5CDD505-2E9C-101B-9397-08002B2CF9AE}" pid="47" name="MetaInfo">
    <vt:lpwstr>19374;#_Level:SW|1
z:SW|#RowsetSchema
Order:SW|1937400.00000000
SDLastSigningDate:EW|
Last Modified:SW|19374;#2015-06-02 09:42:11
vti_author:SR|LAN_KNESSET\\ayeletvo
SelectTitle:SW|19374
SelectFilename:SW|19374
ParentVersionString:SW|19374;#
MetaInfo:LW|1</vt:lpwstr>
  </property>
  <property fmtid="{D5CDD505-2E9C-101B-9397-08002B2CF9AE}" pid="48" name="_Level">
    <vt:lpwstr>1</vt:lpwstr>
  </property>
  <property fmtid="{D5CDD505-2E9C-101B-9397-08002B2CF9AE}" pid="49" name="_IsCurrentVersion">
    <vt:lpwstr>1</vt:lpwstr>
  </property>
  <property fmtid="{D5CDD505-2E9C-101B-9397-08002B2CF9AE}" pid="50" name="SelectTitle">
    <vt:lpwstr>19374</vt:lpwstr>
  </property>
  <property fmtid="{D5CDD505-2E9C-101B-9397-08002B2CF9AE}" pid="51" name="SelectFilename">
    <vt:lpwstr>19374</vt:lpwstr>
  </property>
  <property fmtid="{D5CDD505-2E9C-101B-9397-08002B2CF9AE}" pid="52" name="Edit">
    <vt:lpwstr>0</vt:lpwstr>
  </property>
  <property fmtid="{D5CDD505-2E9C-101B-9397-08002B2CF9AE}" pid="53" name="owshiddenversion">
    <vt:lpwstr>159</vt:lpwstr>
  </property>
  <property fmtid="{D5CDD505-2E9C-101B-9397-08002B2CF9AE}" pid="54" name="_UIVersion">
    <vt:lpwstr>512</vt:lpwstr>
  </property>
  <property fmtid="{D5CDD505-2E9C-101B-9397-08002B2CF9AE}" pid="55" name="Order">
    <vt:lpwstr>1937400.00000000</vt:lpwstr>
  </property>
  <property fmtid="{D5CDD505-2E9C-101B-9397-08002B2CF9AE}" pid="56" name="GUID">
    <vt:lpwstr>{0EC4F220-38B9-44AB-9894-7C548C49E46C}</vt:lpwstr>
  </property>
  <property fmtid="{D5CDD505-2E9C-101B-9397-08002B2CF9AE}" pid="57" name="WorkflowVersion">
    <vt:lpwstr>1</vt:lpwstr>
  </property>
  <property fmtid="{D5CDD505-2E9C-101B-9397-08002B2CF9AE}" pid="58" name="ParentVersionString">
    <vt:lpwstr>19374;#</vt:lpwstr>
  </property>
  <property fmtid="{D5CDD505-2E9C-101B-9397-08002B2CF9AE}" pid="59" name="ParentLeafName">
    <vt:lpwstr>19374;#</vt:lpwstr>
  </property>
  <property fmtid="{D5CDD505-2E9C-101B-9397-08002B2CF9AE}" pid="60" name="Combine">
    <vt:lpwstr>0</vt:lpwstr>
  </property>
  <property fmtid="{D5CDD505-2E9C-101B-9397-08002B2CF9AE}" pid="61" name="RepairDocument">
    <vt:lpwstr>0</vt:lpwstr>
  </property>
  <property fmtid="{D5CDD505-2E9C-101B-9397-08002B2CF9AE}" pid="62" name="ServerRedirected">
    <vt:lpwstr>0</vt:lpwstr>
  </property>
  <property fmtid="{D5CDD505-2E9C-101B-9397-08002B2CF9AE}" pid="63" name="Last Modified">
    <vt:lpwstr>19374;#2015-06-02 09:50:09</vt:lpwstr>
  </property>
  <property fmtid="{D5CDD505-2E9C-101B-9397-08002B2CF9AE}" pid="64" name="Created Date">
    <vt:lpwstr>19374;#2015-06-01 12:05:30</vt:lpwstr>
  </property>
  <property fmtid="{D5CDD505-2E9C-101B-9397-08002B2CF9AE}" pid="65" name="Created By">
    <vt:lpwstr>LAN_KNESSET\ayeletvo</vt:lpwstr>
  </property>
  <property fmtid="{D5CDD505-2E9C-101B-9397-08002B2CF9AE}" pid="66" name="File Type">
    <vt:lpwstr>docx</vt:lpwstr>
  </property>
  <property fmtid="{D5CDD505-2E9C-101B-9397-08002B2CF9AE}" pid="67" name="File Size">
    <vt:lpwstr>19374;#66464</vt:lpwstr>
  </property>
  <property fmtid="{D5CDD505-2E9C-101B-9397-08002B2CF9AE}" pid="68" name="Modified By">
    <vt:lpwstr>LAN_KNESSET\ayeletvo</vt:lpwstr>
  </property>
</Properties>
</file>