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41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419"/>
        <w:gridCol w:w="567"/>
        <w:gridCol w:w="7655"/>
      </w:tblGrid>
      <w:tr w:rsidR="00D043FF" w:rsidRPr="00FC5175" w:rsidTr="00450E36">
        <w:trPr>
          <w:cantSplit/>
          <w:jc w:val="center"/>
        </w:trPr>
        <w:tc>
          <w:tcPr>
            <w:tcW w:w="14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43FF" w:rsidRDefault="00D043FF" w:rsidP="001A3FF1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פיקוח פרלמנטרי</w:t>
            </w:r>
          </w:p>
          <w:p w:rsidR="00D043FF" w:rsidRPr="008577A0" w:rsidRDefault="00D043FF" w:rsidP="001A3FF1">
            <w:pPr>
              <w:pStyle w:val="TableSideHeading"/>
              <w:rPr>
                <w:sz w:val="26"/>
                <w:rtl/>
              </w:rPr>
            </w:pPr>
            <w:r w:rsidRPr="001A3FF1">
              <w:rPr>
                <w:rFonts w:cs="Guttman Yad-Brush" w:hint="eastAsia"/>
                <w:sz w:val="16"/>
                <w:szCs w:val="16"/>
                <w:highlight w:val="yellow"/>
                <w:rtl/>
              </w:rPr>
              <w:t>לא</w:t>
            </w:r>
            <w:r w:rsidRPr="001A3FF1">
              <w:rPr>
                <w:rFonts w:cs="Guttman Yad-Brush"/>
                <w:sz w:val="16"/>
                <w:szCs w:val="16"/>
                <w:highlight w:val="yellow"/>
                <w:rtl/>
              </w:rPr>
              <w:t xml:space="preserve"> </w:t>
            </w:r>
            <w:r w:rsidRPr="001A3FF1">
              <w:rPr>
                <w:rFonts w:cs="Guttman Yad-Brush" w:hint="eastAsia"/>
                <w:sz w:val="16"/>
                <w:szCs w:val="16"/>
                <w:highlight w:val="yellow"/>
                <w:rtl/>
              </w:rPr>
              <w:t>הוצבע</w:t>
            </w:r>
          </w:p>
        </w:tc>
        <w:tc>
          <w:tcPr>
            <w:tcW w:w="56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43FF" w:rsidRPr="008577A0" w:rsidRDefault="00D043FF" w:rsidP="001A3FF1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107א</w:t>
            </w:r>
          </w:p>
        </w:tc>
        <w:tc>
          <w:tcPr>
            <w:tcW w:w="765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43FF" w:rsidRDefault="00D043FF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תקנות וכללים המפורטים להלן יהיו טעונים אישור ועדת הכלכלה של הכנסת </w:t>
            </w:r>
          </w:p>
          <w:p w:rsidR="00D043FF" w:rsidRPr="001A3FF1" w:rsidRDefault="00D043FF" w:rsidP="00370C5F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2- </w:t>
            </w:r>
            <w:r w:rsidRPr="001A3FF1">
              <w:rPr>
                <w:rFonts w:hint="eastAsia"/>
                <w:sz w:val="24"/>
                <w:szCs w:val="24"/>
                <w:rtl/>
              </w:rPr>
              <w:t>הגדרת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370C5F">
              <w:rPr>
                <w:rFonts w:hint="cs"/>
                <w:sz w:val="24"/>
                <w:szCs w:val="24"/>
                <w:rtl/>
              </w:rPr>
              <w:t>"</w:t>
            </w:r>
            <w:r w:rsidRPr="001A3FF1">
              <w:rPr>
                <w:rFonts w:hint="eastAsia"/>
                <w:sz w:val="24"/>
                <w:szCs w:val="24"/>
                <w:rtl/>
              </w:rPr>
              <w:t>נותן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  <w:r w:rsidR="00370C5F">
              <w:rPr>
                <w:rFonts w:hint="cs"/>
                <w:sz w:val="24"/>
                <w:szCs w:val="24"/>
                <w:rtl/>
              </w:rPr>
              <w:t>"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מסוג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שקבע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השר</w:t>
            </w:r>
            <w:r w:rsidRPr="001A3FF1">
              <w:rPr>
                <w:sz w:val="24"/>
                <w:szCs w:val="24"/>
                <w:rtl/>
              </w:rPr>
              <w:t xml:space="preserve"> (לעניין </w:t>
            </w:r>
            <w:r w:rsidRPr="001A3FF1">
              <w:rPr>
                <w:rFonts w:hint="eastAsia"/>
                <w:sz w:val="24"/>
                <w:szCs w:val="24"/>
                <w:rtl/>
              </w:rPr>
              <w:t>מתווך</w:t>
            </w:r>
            <w:r w:rsidRPr="001A3FF1">
              <w:rPr>
                <w:sz w:val="24"/>
                <w:szCs w:val="24"/>
                <w:rtl/>
              </w:rPr>
              <w:t>)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12(ב)- </w:t>
            </w:r>
            <w:r w:rsidRPr="001A3FF1">
              <w:rPr>
                <w:rFonts w:hint="eastAsia"/>
                <w:sz w:val="24"/>
                <w:szCs w:val="24"/>
                <w:rtl/>
              </w:rPr>
              <w:t>עיסוק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נוסף</w:t>
            </w:r>
            <w:r w:rsidR="00370C5F">
              <w:rPr>
                <w:rFonts w:hint="cs"/>
                <w:sz w:val="24"/>
                <w:szCs w:val="24"/>
                <w:rtl/>
              </w:rPr>
              <w:t xml:space="preserve"> מותר ללשכת אשראי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16(א)(9) – גוף חוץ בנקאי שיהיה חייב להעביר מידע למאגר</w:t>
            </w:r>
          </w:p>
          <w:p w:rsidR="00D043FF" w:rsidRPr="001A3FF1" w:rsidRDefault="00C13D15" w:rsidP="001A3FF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16(ב)</w:t>
            </w:r>
            <w:r>
              <w:rPr>
                <w:rFonts w:hint="cs"/>
                <w:sz w:val="24"/>
                <w:szCs w:val="24"/>
                <w:rtl/>
              </w:rPr>
              <w:t xml:space="preserve"> –</w:t>
            </w:r>
            <w:r w:rsidR="00D043FF" w:rsidRPr="001A3FF1">
              <w:rPr>
                <w:sz w:val="24"/>
                <w:szCs w:val="24"/>
                <w:rtl/>
              </w:rPr>
              <w:t xml:space="preserve"> </w:t>
            </w:r>
            <w:r w:rsidR="00D043FF" w:rsidRPr="001A3FF1">
              <w:rPr>
                <w:rFonts w:hint="eastAsia"/>
                <w:sz w:val="24"/>
                <w:szCs w:val="24"/>
                <w:rtl/>
              </w:rPr>
              <w:t>סוג</w:t>
            </w:r>
            <w:r w:rsidR="00D043FF" w:rsidRPr="001A3FF1">
              <w:rPr>
                <w:sz w:val="24"/>
                <w:szCs w:val="24"/>
                <w:rtl/>
              </w:rPr>
              <w:t xml:space="preserve"> </w:t>
            </w:r>
            <w:r w:rsidR="00D043FF" w:rsidRPr="001A3FF1">
              <w:rPr>
                <w:rFonts w:hint="eastAsia"/>
                <w:sz w:val="24"/>
                <w:szCs w:val="24"/>
                <w:rtl/>
              </w:rPr>
              <w:t>נתוני</w:t>
            </w:r>
            <w:r w:rsidR="00D043FF" w:rsidRPr="001A3FF1">
              <w:rPr>
                <w:sz w:val="24"/>
                <w:szCs w:val="24"/>
                <w:rtl/>
              </w:rPr>
              <w:t xml:space="preserve"> </w:t>
            </w:r>
            <w:r w:rsidR="00D043FF" w:rsidRPr="001A3FF1">
              <w:rPr>
                <w:rFonts w:hint="eastAsia"/>
                <w:sz w:val="24"/>
                <w:szCs w:val="24"/>
                <w:rtl/>
              </w:rPr>
              <w:t>האשראי</w:t>
            </w:r>
            <w:r w:rsidR="00370C5F">
              <w:rPr>
                <w:rFonts w:hint="cs"/>
                <w:sz w:val="24"/>
                <w:szCs w:val="24"/>
                <w:rtl/>
              </w:rPr>
              <w:t xml:space="preserve"> שיעבירו מקורות מידע למאגר</w:t>
            </w:r>
          </w:p>
          <w:p w:rsidR="00D043FF" w:rsidRPr="001A3FF1" w:rsidRDefault="00D043FF" w:rsidP="00C13D15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16(ג)(1) – פטור </w:t>
            </w:r>
            <w:r w:rsidR="00370C5F">
              <w:rPr>
                <w:rFonts w:hint="cs"/>
                <w:sz w:val="24"/>
                <w:szCs w:val="24"/>
                <w:rtl/>
              </w:rPr>
              <w:t xml:space="preserve">מקור מידע החייב על פי החוק למסור מידע למאגר </w:t>
            </w:r>
            <w:r w:rsidRPr="001A3FF1">
              <w:rPr>
                <w:sz w:val="24"/>
                <w:szCs w:val="24"/>
                <w:rtl/>
              </w:rPr>
              <w:t xml:space="preserve">מחובה </w:t>
            </w:r>
            <w:r w:rsidR="00C13D15">
              <w:rPr>
                <w:rFonts w:hint="cs"/>
                <w:sz w:val="24"/>
                <w:szCs w:val="24"/>
                <w:rtl/>
              </w:rPr>
              <w:t>זו</w:t>
            </w:r>
          </w:p>
          <w:p w:rsidR="00D043FF" w:rsidRPr="001A3FF1" w:rsidRDefault="00D043FF" w:rsidP="00C13D15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16(ג)(2) – החרגת חברת חשמל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מהחובה למסור מידע</w:t>
            </w:r>
          </w:p>
          <w:p w:rsidR="00D043FF" w:rsidRPr="001A3FF1" w:rsidRDefault="00D043FF" w:rsidP="00C13D15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16(ד) </w:t>
            </w:r>
            <w:r w:rsidR="00C13D15">
              <w:rPr>
                <w:sz w:val="24"/>
                <w:szCs w:val="24"/>
                <w:rtl/>
              </w:rPr>
              <w:softHyphen/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- </w:t>
            </w:r>
            <w:r w:rsidRPr="001A3FF1">
              <w:rPr>
                <w:rFonts w:hint="eastAsia"/>
                <w:sz w:val="24"/>
                <w:szCs w:val="24"/>
                <w:rtl/>
              </w:rPr>
              <w:t>סוג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נתוני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האשראי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שיעביר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מקור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מוסמך</w:t>
            </w:r>
          </w:p>
          <w:p w:rsidR="00D043FF" w:rsidRPr="001A3FF1" w:rsidRDefault="00D043FF" w:rsidP="00C13D15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16(ד)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הוס</w:t>
            </w:r>
            <w:r w:rsidR="00C13D15">
              <w:rPr>
                <w:rFonts w:hint="cs"/>
                <w:sz w:val="24"/>
                <w:szCs w:val="24"/>
                <w:rtl/>
              </w:rPr>
              <w:t>פת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מקורות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שיוכלו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להעביר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מידע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למאגר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16(ה)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הפיכת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מקורות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מוסמכים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למקורות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החייבים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להעביר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מידע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למאגר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19(ה)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נתונים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C13D15">
              <w:rPr>
                <w:rFonts w:hint="cs"/>
                <w:sz w:val="24"/>
                <w:szCs w:val="24"/>
                <w:rtl/>
              </w:rPr>
              <w:t>המעידים על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עמידה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בפ</w:t>
            </w:r>
            <w:r>
              <w:rPr>
                <w:rFonts w:hint="cs"/>
                <w:sz w:val="24"/>
                <w:szCs w:val="24"/>
                <w:rtl/>
              </w:rPr>
              <w:t>י</w:t>
            </w:r>
            <w:r w:rsidRPr="001A3FF1">
              <w:rPr>
                <w:rFonts w:hint="eastAsia"/>
                <w:sz w:val="24"/>
                <w:szCs w:val="24"/>
                <w:rtl/>
              </w:rPr>
              <w:t>רעון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לעניין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בקשה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C13D15">
              <w:rPr>
                <w:rFonts w:hint="cs"/>
                <w:sz w:val="24"/>
                <w:szCs w:val="24"/>
                <w:rtl/>
              </w:rPr>
              <w:t>ל</w:t>
            </w:r>
            <w:r w:rsidRPr="001A3FF1">
              <w:rPr>
                <w:rFonts w:hint="eastAsia"/>
                <w:sz w:val="24"/>
                <w:szCs w:val="24"/>
                <w:rtl/>
              </w:rPr>
              <w:t>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הכללת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נתונים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19(ז) – </w:t>
            </w:r>
            <w:r w:rsidR="00370C5F" w:rsidRPr="00370C5F">
              <w:rPr>
                <w:rFonts w:hint="cs"/>
                <w:sz w:val="24"/>
                <w:szCs w:val="24"/>
                <w:rtl/>
              </w:rPr>
              <w:t xml:space="preserve">הגשת </w:t>
            </w:r>
            <w:r w:rsidRPr="00370C5F">
              <w:rPr>
                <w:rFonts w:hint="eastAsia"/>
                <w:sz w:val="24"/>
                <w:szCs w:val="24"/>
                <w:rtl/>
              </w:rPr>
              <w:t>בקשות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לקוח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שלא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ייאסף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עליו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מידע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בדרך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שקבע</w:t>
            </w:r>
            <w:r w:rsidRPr="00370C5F">
              <w:rPr>
                <w:sz w:val="24"/>
                <w:szCs w:val="24"/>
                <w:rtl/>
              </w:rPr>
              <w:t xml:space="preserve"> </w:t>
            </w:r>
            <w:r w:rsidRPr="00370C5F">
              <w:rPr>
                <w:rFonts w:hint="eastAsia"/>
                <w:sz w:val="24"/>
                <w:szCs w:val="24"/>
                <w:rtl/>
              </w:rPr>
              <w:t>הנגיד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20(ב)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שמירת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מידע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במאגר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בתקופת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התיעוד</w:t>
            </w:r>
            <w:r w:rsidRPr="001A3FF1">
              <w:rPr>
                <w:sz w:val="24"/>
                <w:szCs w:val="24"/>
                <w:rtl/>
              </w:rPr>
              <w:t xml:space="preserve"> "לצרכים </w:t>
            </w:r>
            <w:r w:rsidRPr="001A3FF1">
              <w:rPr>
                <w:rFonts w:hint="eastAsia"/>
                <w:sz w:val="24"/>
                <w:szCs w:val="24"/>
                <w:rtl/>
              </w:rPr>
              <w:t>אחרים</w:t>
            </w:r>
            <w:r w:rsidRPr="001A3FF1">
              <w:rPr>
                <w:sz w:val="24"/>
                <w:szCs w:val="24"/>
                <w:rtl/>
              </w:rPr>
              <w:t>"</w:t>
            </w:r>
          </w:p>
          <w:p w:rsidR="00D043FF" w:rsidRPr="001A3FF1" w:rsidRDefault="00D043FF" w:rsidP="00C13D15">
            <w:pPr>
              <w:pStyle w:val="TableBlock"/>
              <w:rPr>
                <w:sz w:val="24"/>
                <w:szCs w:val="24"/>
                <w:rtl/>
              </w:rPr>
            </w:pPr>
            <w:r w:rsidRPr="00C13D15">
              <w:rPr>
                <w:sz w:val="24"/>
                <w:szCs w:val="24"/>
                <w:rtl/>
              </w:rPr>
              <w:t xml:space="preserve">26(א)(2) – </w:t>
            </w:r>
            <w:r w:rsidR="00C13D15">
              <w:rPr>
                <w:rFonts w:hint="cs"/>
                <w:sz w:val="24"/>
                <w:szCs w:val="24"/>
                <w:rtl/>
              </w:rPr>
              <w:t>נותן אשראי המקבל דוח אשראי למרות שאינו מעביר מידע למאגר, אם</w:t>
            </w:r>
            <w:r w:rsidRPr="00C13D15">
              <w:rPr>
                <w:sz w:val="24"/>
                <w:szCs w:val="24"/>
                <w:rtl/>
              </w:rPr>
              <w:t xml:space="preserve"> </w:t>
            </w:r>
            <w:r w:rsidR="00C13D15">
              <w:rPr>
                <w:rFonts w:hint="cs"/>
                <w:sz w:val="24"/>
                <w:szCs w:val="24"/>
                <w:rtl/>
              </w:rPr>
              <w:t>ה</w:t>
            </w:r>
            <w:r w:rsidRPr="00C13D15">
              <w:rPr>
                <w:sz w:val="24"/>
                <w:szCs w:val="24"/>
                <w:rtl/>
              </w:rPr>
              <w:t>תחייב להעביר מידע למאגר באופן שקבע הממונה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26(א)(3)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נותן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בסיכון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נמוך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שלא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יכול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לקבל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דוח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26(ב)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חריגה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מוחלטת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מעקרון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ההדדיות</w:t>
            </w:r>
          </w:p>
          <w:p w:rsidR="005D1FE3" w:rsidRPr="005D1FE3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26(ג) </w:t>
            </w:r>
            <w:r w:rsidR="00C13D15" w:rsidRPr="001A3FF1">
              <w:rPr>
                <w:sz w:val="24"/>
                <w:szCs w:val="24"/>
                <w:rtl/>
              </w:rPr>
              <w:t>–</w:t>
            </w:r>
            <w:r w:rsidR="00C13D1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תקנות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לעניין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אופן מתן </w:t>
            </w:r>
            <w:r w:rsidRPr="001A3FF1">
              <w:rPr>
                <w:rFonts w:hint="eastAsia"/>
                <w:sz w:val="24"/>
                <w:szCs w:val="24"/>
                <w:rtl/>
              </w:rPr>
              <w:t>הסכמה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לקוח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לדוח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 ולעניין </w:t>
            </w:r>
            <w:r w:rsidR="005D1FE3" w:rsidRPr="005D1FE3">
              <w:rPr>
                <w:rFonts w:hint="cs"/>
                <w:sz w:val="24"/>
                <w:szCs w:val="24"/>
                <w:rtl/>
              </w:rPr>
              <w:t xml:space="preserve">אופן </w:t>
            </w:r>
            <w:r w:rsidR="005D1FE3" w:rsidRPr="005D1FE3">
              <w:rPr>
                <w:rFonts w:hint="eastAsia"/>
                <w:sz w:val="24"/>
                <w:szCs w:val="24"/>
                <w:rtl/>
              </w:rPr>
              <w:t>הוכחת</w:t>
            </w:r>
            <w:r w:rsidR="005D1FE3" w:rsidRPr="005D1FE3">
              <w:rPr>
                <w:sz w:val="24"/>
                <w:szCs w:val="24"/>
                <w:rtl/>
              </w:rPr>
              <w:t xml:space="preserve"> </w:t>
            </w:r>
            <w:r w:rsidR="005D1FE3" w:rsidRPr="005D1FE3">
              <w:rPr>
                <w:rFonts w:hint="eastAsia"/>
                <w:sz w:val="24"/>
                <w:szCs w:val="24"/>
                <w:rtl/>
              </w:rPr>
              <w:t>קיומם</w:t>
            </w:r>
            <w:r w:rsidR="005D1FE3" w:rsidRPr="005D1FE3">
              <w:rPr>
                <w:sz w:val="24"/>
                <w:szCs w:val="24"/>
                <w:rtl/>
              </w:rPr>
              <w:t xml:space="preserve"> </w:t>
            </w:r>
            <w:r w:rsidR="005D1FE3" w:rsidRPr="005D1FE3">
              <w:rPr>
                <w:rFonts w:hint="eastAsia"/>
                <w:sz w:val="24"/>
                <w:szCs w:val="24"/>
                <w:rtl/>
              </w:rPr>
              <w:t>של</w:t>
            </w:r>
            <w:r w:rsidR="005D1FE3" w:rsidRPr="005D1FE3">
              <w:rPr>
                <w:sz w:val="24"/>
                <w:szCs w:val="24"/>
                <w:rtl/>
              </w:rPr>
              <w:t xml:space="preserve"> </w:t>
            </w:r>
            <w:r w:rsidR="005D1FE3" w:rsidRPr="005D1FE3">
              <w:rPr>
                <w:rFonts w:hint="eastAsia"/>
                <w:sz w:val="24"/>
                <w:szCs w:val="24"/>
                <w:rtl/>
              </w:rPr>
              <w:t>התנאים</w:t>
            </w:r>
            <w:r w:rsidR="005D1FE3" w:rsidRPr="005D1FE3">
              <w:rPr>
                <w:sz w:val="24"/>
                <w:szCs w:val="24"/>
                <w:rtl/>
              </w:rPr>
              <w:t xml:space="preserve"> </w:t>
            </w:r>
            <w:r w:rsidR="005D1FE3" w:rsidRPr="005D1FE3">
              <w:rPr>
                <w:rFonts w:hint="eastAsia"/>
                <w:sz w:val="24"/>
                <w:szCs w:val="24"/>
                <w:rtl/>
              </w:rPr>
              <w:t>להעברת</w:t>
            </w:r>
            <w:r w:rsidR="005D1FE3" w:rsidRPr="005D1FE3">
              <w:rPr>
                <w:sz w:val="24"/>
                <w:szCs w:val="24"/>
                <w:rtl/>
              </w:rPr>
              <w:t xml:space="preserve"> </w:t>
            </w:r>
            <w:r w:rsidR="005D1FE3" w:rsidRPr="005D1FE3">
              <w:rPr>
                <w:rFonts w:hint="eastAsia"/>
                <w:sz w:val="24"/>
                <w:szCs w:val="24"/>
                <w:rtl/>
              </w:rPr>
              <w:t>נתונים</w:t>
            </w:r>
          </w:p>
          <w:p w:rsidR="00D043FF" w:rsidRPr="001A3FF1" w:rsidRDefault="00D043FF" w:rsidP="005D1FE3">
            <w:pPr>
              <w:pStyle w:val="TableBlock"/>
              <w:rPr>
                <w:sz w:val="24"/>
                <w:szCs w:val="24"/>
                <w:rtl/>
              </w:rPr>
            </w:pPr>
            <w:r w:rsidRPr="005D1FE3">
              <w:rPr>
                <w:sz w:val="24"/>
                <w:szCs w:val="24"/>
                <w:rtl/>
              </w:rPr>
              <w:t xml:space="preserve">27(ד) </w:t>
            </w:r>
            <w:r w:rsidR="005D1FE3" w:rsidRPr="005D1FE3">
              <w:rPr>
                <w:sz w:val="24"/>
                <w:szCs w:val="24"/>
                <w:rtl/>
              </w:rPr>
              <w:t>–</w:t>
            </w:r>
            <w:r w:rsidR="005D1FE3" w:rsidRPr="005D1FE3">
              <w:rPr>
                <w:rFonts w:hint="cs"/>
                <w:sz w:val="24"/>
                <w:szCs w:val="24"/>
                <w:rtl/>
              </w:rPr>
              <w:t xml:space="preserve"> הדרך להגשת </w:t>
            </w:r>
            <w:r w:rsidRPr="005D1FE3">
              <w:rPr>
                <w:sz w:val="24"/>
                <w:szCs w:val="24"/>
                <w:rtl/>
              </w:rPr>
              <w:t xml:space="preserve">בקשות </w:t>
            </w:r>
            <w:r w:rsidRPr="005D1FE3">
              <w:rPr>
                <w:rFonts w:hint="eastAsia"/>
                <w:sz w:val="24"/>
                <w:szCs w:val="24"/>
                <w:rtl/>
              </w:rPr>
              <w:t>לקוח</w:t>
            </w:r>
            <w:r w:rsidRPr="005D1FE3">
              <w:rPr>
                <w:sz w:val="24"/>
                <w:szCs w:val="24"/>
                <w:rtl/>
              </w:rPr>
              <w:t xml:space="preserve"> </w:t>
            </w:r>
            <w:r w:rsidRPr="005D1FE3">
              <w:rPr>
                <w:rFonts w:hint="eastAsia"/>
                <w:sz w:val="24"/>
                <w:szCs w:val="24"/>
                <w:rtl/>
              </w:rPr>
              <w:t>שלא</w:t>
            </w:r>
            <w:r w:rsidRPr="005D1FE3">
              <w:rPr>
                <w:sz w:val="24"/>
                <w:szCs w:val="24"/>
                <w:rtl/>
              </w:rPr>
              <w:t xml:space="preserve"> </w:t>
            </w:r>
            <w:r w:rsidRPr="005D1FE3">
              <w:rPr>
                <w:rFonts w:hint="eastAsia"/>
                <w:sz w:val="24"/>
                <w:szCs w:val="24"/>
                <w:rtl/>
              </w:rPr>
              <w:t>ימסרו</w:t>
            </w:r>
            <w:r w:rsidRPr="005D1FE3">
              <w:rPr>
                <w:sz w:val="24"/>
                <w:szCs w:val="24"/>
                <w:rtl/>
              </w:rPr>
              <w:t xml:space="preserve"> </w:t>
            </w:r>
            <w:r w:rsidRPr="005D1FE3">
              <w:rPr>
                <w:rFonts w:hint="eastAsia"/>
                <w:sz w:val="24"/>
                <w:szCs w:val="24"/>
                <w:rtl/>
              </w:rPr>
              <w:t>עליו</w:t>
            </w:r>
            <w:r w:rsidRPr="005D1FE3">
              <w:rPr>
                <w:sz w:val="24"/>
                <w:szCs w:val="24"/>
                <w:rtl/>
              </w:rPr>
              <w:t xml:space="preserve"> </w:t>
            </w:r>
            <w:r w:rsidRPr="005D1FE3">
              <w:rPr>
                <w:rFonts w:hint="eastAsia"/>
                <w:sz w:val="24"/>
                <w:szCs w:val="24"/>
                <w:rtl/>
              </w:rPr>
              <w:t>מידע</w:t>
            </w:r>
            <w:r w:rsidRPr="005D1FE3">
              <w:rPr>
                <w:sz w:val="24"/>
                <w:szCs w:val="24"/>
                <w:rtl/>
              </w:rPr>
              <w:t xml:space="preserve"> </w:t>
            </w:r>
          </w:p>
          <w:p w:rsidR="00D043FF" w:rsidRPr="001A3FF1" w:rsidRDefault="00D043FF" w:rsidP="005D1FE3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29(ב) </w:t>
            </w:r>
            <w:r w:rsidR="005D1FE3" w:rsidRPr="005D1FE3">
              <w:rPr>
                <w:sz w:val="24"/>
                <w:szCs w:val="24"/>
                <w:rtl/>
              </w:rPr>
              <w:t>–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נסיבות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בהן </w:t>
            </w:r>
            <w:r w:rsidRPr="001A3FF1">
              <w:rPr>
                <w:rFonts w:hint="eastAsia"/>
                <w:sz w:val="24"/>
                <w:szCs w:val="24"/>
                <w:rtl/>
              </w:rPr>
              <w:t>לשכת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או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נותן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ימסרו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דוח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האשראי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ללקוח</w:t>
            </w:r>
          </w:p>
          <w:p w:rsidR="00D043FF" w:rsidRPr="001A3FF1" w:rsidRDefault="00D043FF" w:rsidP="005D1FE3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30 – </w:t>
            </w:r>
            <w:r w:rsidR="005D1FE3">
              <w:rPr>
                <w:rFonts w:hint="cs"/>
                <w:sz w:val="24"/>
                <w:szCs w:val="24"/>
                <w:rtl/>
              </w:rPr>
              <w:t>מסירת</w:t>
            </w:r>
            <w:r w:rsidRPr="001A3FF1">
              <w:rPr>
                <w:sz w:val="24"/>
                <w:szCs w:val="24"/>
                <w:rtl/>
              </w:rPr>
              <w:t xml:space="preserve"> דוח אשראי </w:t>
            </w:r>
            <w:r w:rsidR="005D1FE3">
              <w:rPr>
                <w:rFonts w:hint="cs"/>
                <w:sz w:val="24"/>
                <w:szCs w:val="24"/>
                <w:rtl/>
              </w:rPr>
              <w:t>למי שאינו</w:t>
            </w:r>
            <w:r w:rsidRPr="001A3FF1">
              <w:rPr>
                <w:sz w:val="24"/>
                <w:szCs w:val="24"/>
                <w:rtl/>
              </w:rPr>
              <w:t xml:space="preserve"> נותן אשראי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33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5D1FE3" w:rsidRPr="005D1FE3">
              <w:rPr>
                <w:sz w:val="24"/>
                <w:szCs w:val="24"/>
                <w:rtl/>
              </w:rPr>
              <w:t>–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נתונים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המעידים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באופן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מובהק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על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עמידה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בפירעון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לעניין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חיווי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אשראי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34 – נתוני אשראי שיימסרו במסגרת חיווי אשראי</w:t>
            </w:r>
          </w:p>
          <w:p w:rsidR="00D043FF" w:rsidRPr="001A3FF1" w:rsidRDefault="00D043FF" w:rsidP="005D1FE3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40(ב) </w:t>
            </w:r>
            <w:r w:rsidR="005D1FE3" w:rsidRPr="005D1FE3">
              <w:rPr>
                <w:sz w:val="24"/>
                <w:szCs w:val="24"/>
                <w:rtl/>
              </w:rPr>
              <w:t>–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תנאים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להעברת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דוח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ריכוז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נתונים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5D1FE3">
              <w:rPr>
                <w:rFonts w:hint="cs"/>
                <w:sz w:val="24"/>
                <w:szCs w:val="24"/>
                <w:rtl/>
              </w:rPr>
              <w:t xml:space="preserve">מלשכת אשראי </w:t>
            </w:r>
            <w:r w:rsidRPr="001A3FF1">
              <w:rPr>
                <w:rFonts w:hint="eastAsia"/>
                <w:sz w:val="24"/>
                <w:szCs w:val="24"/>
                <w:rtl/>
              </w:rPr>
              <w:t>למיופה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כוח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בתמורה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41 – תנאים שעל מיופה כוח לעמוד בהם לשם קבלת דוח ריכוז נתונים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47(א) – תקופה מקסימלית </w:t>
            </w:r>
            <w:r w:rsidR="00450E36">
              <w:rPr>
                <w:rFonts w:hint="cs"/>
                <w:sz w:val="24"/>
                <w:szCs w:val="24"/>
                <w:rtl/>
              </w:rPr>
              <w:t>ש</w:t>
            </w:r>
            <w:r w:rsidR="00450E36" w:rsidRPr="001A3FF1">
              <w:rPr>
                <w:sz w:val="24"/>
                <w:szCs w:val="24"/>
                <w:rtl/>
              </w:rPr>
              <w:t xml:space="preserve">לשכת אשראי 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תהיה רשאית </w:t>
            </w:r>
            <w:r w:rsidRPr="001A3FF1">
              <w:rPr>
                <w:sz w:val="24"/>
                <w:szCs w:val="24"/>
                <w:rtl/>
              </w:rPr>
              <w:t>להחז</w:t>
            </w:r>
            <w:r w:rsidR="00450E36">
              <w:rPr>
                <w:rFonts w:hint="cs"/>
                <w:sz w:val="24"/>
                <w:szCs w:val="24"/>
                <w:rtl/>
              </w:rPr>
              <w:t>י</w:t>
            </w:r>
            <w:r w:rsidRPr="001A3FF1">
              <w:rPr>
                <w:sz w:val="24"/>
                <w:szCs w:val="24"/>
                <w:rtl/>
              </w:rPr>
              <w:t xml:space="preserve">ק מידע מהמאגר 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47(ב) – תקופה מקסימלית </w:t>
            </w:r>
            <w:r w:rsidR="00450E36">
              <w:rPr>
                <w:rFonts w:hint="cs"/>
                <w:sz w:val="24"/>
                <w:szCs w:val="24"/>
                <w:rtl/>
              </w:rPr>
              <w:t>ש</w:t>
            </w:r>
            <w:r w:rsidR="00450E36" w:rsidRPr="001A3FF1">
              <w:rPr>
                <w:sz w:val="24"/>
                <w:szCs w:val="24"/>
                <w:rtl/>
              </w:rPr>
              <w:t xml:space="preserve">מיופה כוח בתמורה 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יהיה רשאי </w:t>
            </w:r>
            <w:r w:rsidRPr="001A3FF1">
              <w:rPr>
                <w:sz w:val="24"/>
                <w:szCs w:val="24"/>
                <w:rtl/>
              </w:rPr>
              <w:t>להחז</w:t>
            </w:r>
            <w:r w:rsidR="00450E36">
              <w:rPr>
                <w:rFonts w:hint="cs"/>
                <w:sz w:val="24"/>
                <w:szCs w:val="24"/>
                <w:rtl/>
              </w:rPr>
              <w:t>י</w:t>
            </w:r>
            <w:r w:rsidRPr="001A3FF1">
              <w:rPr>
                <w:sz w:val="24"/>
                <w:szCs w:val="24"/>
                <w:rtl/>
              </w:rPr>
              <w:t xml:space="preserve">ק מידע </w:t>
            </w:r>
          </w:p>
          <w:p w:rsidR="00450E36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49א – </w:t>
            </w:r>
            <w:r w:rsidR="00450E36" w:rsidRPr="00450E36">
              <w:rPr>
                <w:rFonts w:hint="cs"/>
                <w:sz w:val="24"/>
                <w:szCs w:val="24"/>
                <w:rtl/>
              </w:rPr>
              <w:t>קביעת התקופה שבה ייחשב דוח אשראי כ</w:t>
            </w:r>
            <w:r w:rsidRPr="00450E36">
              <w:rPr>
                <w:rFonts w:hint="eastAsia"/>
                <w:sz w:val="24"/>
                <w:szCs w:val="24"/>
                <w:rtl/>
              </w:rPr>
              <w:t>דוח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  <w:r w:rsidRPr="00450E36">
              <w:rPr>
                <w:rFonts w:hint="eastAsia"/>
                <w:sz w:val="24"/>
                <w:szCs w:val="24"/>
                <w:rtl/>
              </w:rPr>
              <w:t>עדכני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50 – נותן אשראי ימחק את הדוח </w:t>
            </w:r>
            <w:r w:rsidR="00450E36">
              <w:rPr>
                <w:rFonts w:hint="cs"/>
                <w:sz w:val="24"/>
                <w:szCs w:val="24"/>
                <w:rtl/>
              </w:rPr>
              <w:t>ב</w:t>
            </w:r>
            <w:r w:rsidRPr="001A3FF1">
              <w:rPr>
                <w:sz w:val="24"/>
                <w:szCs w:val="24"/>
                <w:rtl/>
              </w:rPr>
              <w:t xml:space="preserve">תוך 60 יום או 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בתוך </w:t>
            </w:r>
            <w:r w:rsidRPr="001A3FF1">
              <w:rPr>
                <w:sz w:val="24"/>
                <w:szCs w:val="24"/>
                <w:rtl/>
              </w:rPr>
              <w:t>תקופה אחרת שקבע השר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60 – </w:t>
            </w:r>
            <w:r w:rsidRPr="00450E36">
              <w:rPr>
                <w:rFonts w:hint="eastAsia"/>
                <w:sz w:val="24"/>
                <w:szCs w:val="24"/>
                <w:rtl/>
              </w:rPr>
              <w:t>תקנות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  <w:r w:rsidRPr="00450E36">
              <w:rPr>
                <w:rFonts w:hint="eastAsia"/>
                <w:sz w:val="24"/>
                <w:szCs w:val="24"/>
                <w:rtl/>
              </w:rPr>
              <w:t>לעניין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  <w:r w:rsidRPr="00450E36">
              <w:rPr>
                <w:rFonts w:hint="eastAsia"/>
                <w:sz w:val="24"/>
                <w:szCs w:val="24"/>
                <w:rtl/>
              </w:rPr>
              <w:t>שירות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  <w:r w:rsidRPr="00450E36">
              <w:rPr>
                <w:rFonts w:hint="eastAsia"/>
                <w:sz w:val="24"/>
                <w:szCs w:val="24"/>
                <w:rtl/>
              </w:rPr>
              <w:t>מידע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  <w:r w:rsidRPr="00450E36">
              <w:rPr>
                <w:rFonts w:hint="eastAsia"/>
                <w:sz w:val="24"/>
                <w:szCs w:val="24"/>
                <w:rtl/>
              </w:rPr>
              <w:t>על</w:t>
            </w:r>
            <w:r w:rsidRPr="00450E36">
              <w:rPr>
                <w:sz w:val="24"/>
                <w:szCs w:val="24"/>
                <w:rtl/>
              </w:rPr>
              <w:t xml:space="preserve"> </w:t>
            </w:r>
            <w:r w:rsidRPr="00450E36">
              <w:rPr>
                <w:rFonts w:hint="eastAsia"/>
                <w:sz w:val="24"/>
                <w:szCs w:val="24"/>
                <w:rtl/>
              </w:rPr>
              <w:t>עוסקים</w:t>
            </w:r>
          </w:p>
          <w:p w:rsidR="00D043FF" w:rsidRPr="001A3FF1" w:rsidRDefault="00450E36" w:rsidP="00450E36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90 – תקנות הפחת</w:t>
            </w:r>
            <w:r>
              <w:rPr>
                <w:rFonts w:hint="cs"/>
                <w:sz w:val="24"/>
                <w:szCs w:val="24"/>
                <w:rtl/>
              </w:rPr>
              <w:t>ה של סכומי עיצום כספי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100 – פרטים מזהים שייכללו בנתוני האשראי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101 –מסירת מידע ללשכת אשראי מסויימת בלבד</w:t>
            </w:r>
            <w:r w:rsidR="00450E36" w:rsidRPr="001A3FF1">
              <w:rPr>
                <w:sz w:val="24"/>
                <w:szCs w:val="24"/>
                <w:rtl/>
              </w:rPr>
              <w:t xml:space="preserve"> </w:t>
            </w:r>
            <w:r w:rsidR="00450E36">
              <w:rPr>
                <w:rFonts w:hint="cs"/>
                <w:sz w:val="24"/>
                <w:szCs w:val="24"/>
                <w:rtl/>
              </w:rPr>
              <w:t>(</w:t>
            </w:r>
            <w:r w:rsidR="00450E36" w:rsidRPr="001A3FF1">
              <w:rPr>
                <w:sz w:val="24"/>
                <w:szCs w:val="24"/>
                <w:rtl/>
              </w:rPr>
              <w:t>חדרים נפרדים</w:t>
            </w:r>
            <w:r w:rsidRPr="001A3FF1">
              <w:rPr>
                <w:sz w:val="24"/>
                <w:szCs w:val="24"/>
                <w:rtl/>
              </w:rPr>
              <w:t>)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>104</w:t>
            </w:r>
            <w:r w:rsidR="00450E36" w:rsidRPr="005D1FE3">
              <w:rPr>
                <w:sz w:val="24"/>
                <w:szCs w:val="24"/>
                <w:rtl/>
              </w:rPr>
              <w:t>–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הגבלה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על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הכללת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נתונים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במאגר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מטעמי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ביטחון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450E36">
              <w:rPr>
                <w:sz w:val="24"/>
                <w:szCs w:val="24"/>
                <w:rtl/>
              </w:rPr>
              <w:t>105 – הרחב</w:t>
            </w:r>
            <w:r w:rsidR="00450E36" w:rsidRPr="00450E36">
              <w:rPr>
                <w:rFonts w:hint="cs"/>
                <w:sz w:val="24"/>
                <w:szCs w:val="24"/>
                <w:rtl/>
              </w:rPr>
              <w:t>ת</w:t>
            </w:r>
            <w:r w:rsidRPr="00450E36">
              <w:rPr>
                <w:sz w:val="24"/>
                <w:szCs w:val="24"/>
                <w:rtl/>
              </w:rPr>
              <w:t xml:space="preserve"> החובה למסור מידע למאגר גם על תאגידים</w:t>
            </w:r>
          </w:p>
          <w:p w:rsidR="00D043FF" w:rsidRPr="001A3FF1" w:rsidRDefault="00D043FF" w:rsidP="001A3FF1">
            <w:pPr>
              <w:pStyle w:val="TableBlock"/>
              <w:rPr>
                <w:sz w:val="24"/>
                <w:szCs w:val="24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108(א) </w:t>
            </w:r>
            <w:r w:rsidR="00450E36" w:rsidRPr="005D1FE3">
              <w:rPr>
                <w:sz w:val="24"/>
                <w:szCs w:val="24"/>
                <w:rtl/>
              </w:rPr>
              <w:t>–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sz w:val="24"/>
                <w:szCs w:val="24"/>
                <w:rtl/>
              </w:rPr>
              <w:t xml:space="preserve">אגרות </w:t>
            </w:r>
          </w:p>
          <w:p w:rsidR="00D043FF" w:rsidRDefault="00D043FF" w:rsidP="00450E36">
            <w:pPr>
              <w:pStyle w:val="TableBlock"/>
              <w:rPr>
                <w:sz w:val="26"/>
                <w:rtl/>
              </w:rPr>
            </w:pPr>
            <w:r w:rsidRPr="001A3FF1">
              <w:rPr>
                <w:sz w:val="24"/>
                <w:szCs w:val="24"/>
                <w:rtl/>
              </w:rPr>
              <w:t xml:space="preserve">115- </w:t>
            </w:r>
            <w:r w:rsidRPr="001A3FF1">
              <w:rPr>
                <w:rFonts w:hint="eastAsia"/>
                <w:sz w:val="24"/>
                <w:szCs w:val="24"/>
                <w:rtl/>
              </w:rPr>
              <w:t>דחיית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התחילה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של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החוק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מעבר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לחצי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שנה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ועד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לארבע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שנים</w:t>
            </w:r>
          </w:p>
          <w:p w:rsidR="00D043FF" w:rsidRPr="001A3FF1" w:rsidRDefault="00D043FF" w:rsidP="00450E36">
            <w:pPr>
              <w:pStyle w:val="TableBlock"/>
              <w:rPr>
                <w:sz w:val="24"/>
                <w:szCs w:val="24"/>
                <w:rtl/>
              </w:rPr>
            </w:pPr>
            <w:r w:rsidRPr="00450E36">
              <w:rPr>
                <w:sz w:val="24"/>
                <w:szCs w:val="24"/>
                <w:rtl/>
              </w:rPr>
              <w:t>115 – הקדמת תח</w:t>
            </w:r>
            <w:r w:rsidR="00450E36" w:rsidRPr="00450E36">
              <w:rPr>
                <w:rFonts w:hint="cs"/>
                <w:sz w:val="24"/>
                <w:szCs w:val="24"/>
                <w:rtl/>
              </w:rPr>
              <w:t>י</w:t>
            </w:r>
            <w:r w:rsidRPr="00450E36">
              <w:rPr>
                <w:sz w:val="24"/>
                <w:szCs w:val="24"/>
                <w:rtl/>
              </w:rPr>
              <w:t xml:space="preserve">לת החוק על מקורות </w:t>
            </w:r>
            <w:r w:rsidR="006F6B51" w:rsidRPr="00450E36">
              <w:rPr>
                <w:rFonts w:hint="cs"/>
                <w:sz w:val="24"/>
                <w:szCs w:val="24"/>
                <w:rtl/>
              </w:rPr>
              <w:t xml:space="preserve">מידע </w:t>
            </w:r>
            <w:r w:rsidRPr="00450E36">
              <w:rPr>
                <w:sz w:val="24"/>
                <w:szCs w:val="24"/>
                <w:rtl/>
              </w:rPr>
              <w:t>מסויימים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</w:p>
          <w:p w:rsidR="00D043FF" w:rsidRPr="00FC5175" w:rsidRDefault="00D043FF" w:rsidP="00450E36">
            <w:pPr>
              <w:pStyle w:val="TableBlock"/>
              <w:rPr>
                <w:sz w:val="26"/>
                <w:rtl/>
              </w:rPr>
            </w:pPr>
            <w:r w:rsidRPr="001A3FF1">
              <w:rPr>
                <w:sz w:val="24"/>
                <w:szCs w:val="24"/>
                <w:rtl/>
              </w:rPr>
              <w:t>117(</w:t>
            </w:r>
            <w:r w:rsidR="006F6B51">
              <w:rPr>
                <w:rFonts w:hint="cs"/>
                <w:sz w:val="24"/>
                <w:szCs w:val="24"/>
                <w:rtl/>
              </w:rPr>
              <w:t>ד</w:t>
            </w:r>
            <w:r w:rsidRPr="001A3FF1">
              <w:rPr>
                <w:sz w:val="24"/>
                <w:szCs w:val="24"/>
                <w:rtl/>
              </w:rPr>
              <w:t>)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450E36" w:rsidRPr="005D1FE3">
              <w:rPr>
                <w:sz w:val="24"/>
                <w:szCs w:val="24"/>
                <w:rtl/>
              </w:rPr>
              <w:t>–</w:t>
            </w:r>
            <w:r w:rsidR="00450E3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קביעת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Pr="001A3FF1">
              <w:rPr>
                <w:rFonts w:hint="eastAsia"/>
                <w:sz w:val="24"/>
                <w:szCs w:val="24"/>
                <w:rtl/>
              </w:rPr>
              <w:t>התקופה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6F6B51">
              <w:rPr>
                <w:rFonts w:hint="cs"/>
                <w:sz w:val="24"/>
                <w:szCs w:val="24"/>
                <w:rtl/>
              </w:rPr>
              <w:t>ש</w:t>
            </w:r>
            <w:r w:rsidRPr="001A3FF1">
              <w:rPr>
                <w:rFonts w:hint="eastAsia"/>
                <w:sz w:val="24"/>
                <w:szCs w:val="24"/>
                <w:rtl/>
              </w:rPr>
              <w:t>לגביה</w:t>
            </w:r>
            <w:r w:rsidRPr="001A3FF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יתייחסו</w:t>
            </w:r>
            <w:r w:rsidR="006F6B51" w:rsidRPr="006F6B5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נתוני</w:t>
            </w:r>
            <w:r w:rsidR="006F6B51" w:rsidRPr="006F6B5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האשראי</w:t>
            </w:r>
            <w:r w:rsidR="006F6B51" w:rsidRPr="006F6B5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שיועברו</w:t>
            </w:r>
            <w:r w:rsidR="006F6B51" w:rsidRPr="006F6B5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למאגר</w:t>
            </w:r>
            <w:r w:rsidR="006F6B51" w:rsidRPr="006F6B5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ביום</w:t>
            </w:r>
            <w:r w:rsidR="006F6B51" w:rsidRPr="006F6B51">
              <w:rPr>
                <w:sz w:val="24"/>
                <w:szCs w:val="24"/>
                <w:rtl/>
              </w:rPr>
              <w:t xml:space="preserve"> </w:t>
            </w:r>
            <w:r w:rsidR="006F6B51" w:rsidRPr="006F6B51">
              <w:rPr>
                <w:rFonts w:hint="eastAsia"/>
                <w:sz w:val="24"/>
                <w:szCs w:val="24"/>
                <w:rtl/>
              </w:rPr>
              <w:t>התחילה</w:t>
            </w:r>
          </w:p>
        </w:tc>
      </w:tr>
    </w:tbl>
    <w:p w:rsidR="006511C0" w:rsidRPr="00D043FF" w:rsidRDefault="006511C0" w:rsidP="00D043FF"/>
    <w:sectPr w:rsidR="006511C0" w:rsidRPr="00D043FF" w:rsidSect="00450E36">
      <w:pgSz w:w="11906" w:h="16838"/>
      <w:pgMar w:top="1134" w:right="1797" w:bottom="1077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1EB"/>
    <w:rsid w:val="00016DB0"/>
    <w:rsid w:val="00017CEB"/>
    <w:rsid w:val="0002225F"/>
    <w:rsid w:val="0005144E"/>
    <w:rsid w:val="00055A2C"/>
    <w:rsid w:val="000609F7"/>
    <w:rsid w:val="00080318"/>
    <w:rsid w:val="000D37B2"/>
    <w:rsid w:val="000E13C2"/>
    <w:rsid w:val="000E588F"/>
    <w:rsid w:val="000F2024"/>
    <w:rsid w:val="000F2BAC"/>
    <w:rsid w:val="000F3045"/>
    <w:rsid w:val="000F66AC"/>
    <w:rsid w:val="000F6BA9"/>
    <w:rsid w:val="001152E6"/>
    <w:rsid w:val="0011709A"/>
    <w:rsid w:val="00162007"/>
    <w:rsid w:val="00186167"/>
    <w:rsid w:val="001D74B8"/>
    <w:rsid w:val="001F3E44"/>
    <w:rsid w:val="00200E56"/>
    <w:rsid w:val="00214C7B"/>
    <w:rsid w:val="00216B0A"/>
    <w:rsid w:val="00222883"/>
    <w:rsid w:val="00235367"/>
    <w:rsid w:val="00245DD5"/>
    <w:rsid w:val="00246E86"/>
    <w:rsid w:val="00294A71"/>
    <w:rsid w:val="002C32A2"/>
    <w:rsid w:val="002D5426"/>
    <w:rsid w:val="002E0531"/>
    <w:rsid w:val="002E3900"/>
    <w:rsid w:val="002E4AC0"/>
    <w:rsid w:val="002F5641"/>
    <w:rsid w:val="00301710"/>
    <w:rsid w:val="003161EB"/>
    <w:rsid w:val="00341318"/>
    <w:rsid w:val="003422A7"/>
    <w:rsid w:val="003626AA"/>
    <w:rsid w:val="00367414"/>
    <w:rsid w:val="00370C5F"/>
    <w:rsid w:val="00372EBC"/>
    <w:rsid w:val="00381FF9"/>
    <w:rsid w:val="00391550"/>
    <w:rsid w:val="003A5E4E"/>
    <w:rsid w:val="003C2039"/>
    <w:rsid w:val="003D5328"/>
    <w:rsid w:val="003F300F"/>
    <w:rsid w:val="00420511"/>
    <w:rsid w:val="00423F31"/>
    <w:rsid w:val="00443459"/>
    <w:rsid w:val="00450E36"/>
    <w:rsid w:val="004517DE"/>
    <w:rsid w:val="0046417E"/>
    <w:rsid w:val="004A4934"/>
    <w:rsid w:val="004C267B"/>
    <w:rsid w:val="004D36CB"/>
    <w:rsid w:val="004E11AC"/>
    <w:rsid w:val="004E2DBC"/>
    <w:rsid w:val="004E48AB"/>
    <w:rsid w:val="004E79F3"/>
    <w:rsid w:val="00500013"/>
    <w:rsid w:val="00501290"/>
    <w:rsid w:val="0051061B"/>
    <w:rsid w:val="005278DA"/>
    <w:rsid w:val="005339AE"/>
    <w:rsid w:val="00554A49"/>
    <w:rsid w:val="0055678D"/>
    <w:rsid w:val="0057618C"/>
    <w:rsid w:val="005837C1"/>
    <w:rsid w:val="00586FDE"/>
    <w:rsid w:val="00587B1B"/>
    <w:rsid w:val="00594708"/>
    <w:rsid w:val="005A7087"/>
    <w:rsid w:val="005C004A"/>
    <w:rsid w:val="005C089E"/>
    <w:rsid w:val="005D1FE3"/>
    <w:rsid w:val="005F168D"/>
    <w:rsid w:val="00623366"/>
    <w:rsid w:val="00636779"/>
    <w:rsid w:val="006368FC"/>
    <w:rsid w:val="006464B9"/>
    <w:rsid w:val="006506F2"/>
    <w:rsid w:val="006511C0"/>
    <w:rsid w:val="00690327"/>
    <w:rsid w:val="006A2F5F"/>
    <w:rsid w:val="006D4751"/>
    <w:rsid w:val="006E221E"/>
    <w:rsid w:val="006F6B51"/>
    <w:rsid w:val="00712863"/>
    <w:rsid w:val="00720E69"/>
    <w:rsid w:val="00723809"/>
    <w:rsid w:val="007255FB"/>
    <w:rsid w:val="007357E0"/>
    <w:rsid w:val="0074452C"/>
    <w:rsid w:val="0075065B"/>
    <w:rsid w:val="0077413F"/>
    <w:rsid w:val="00776B77"/>
    <w:rsid w:val="007871F3"/>
    <w:rsid w:val="007C3CB2"/>
    <w:rsid w:val="007E5259"/>
    <w:rsid w:val="007E6A08"/>
    <w:rsid w:val="007E70E8"/>
    <w:rsid w:val="007F164C"/>
    <w:rsid w:val="00805587"/>
    <w:rsid w:val="0081615E"/>
    <w:rsid w:val="00823DEF"/>
    <w:rsid w:val="008279FE"/>
    <w:rsid w:val="0086482E"/>
    <w:rsid w:val="00882EDB"/>
    <w:rsid w:val="008941B6"/>
    <w:rsid w:val="008F2383"/>
    <w:rsid w:val="008F3EF7"/>
    <w:rsid w:val="008F7CC0"/>
    <w:rsid w:val="00901BE7"/>
    <w:rsid w:val="0090252F"/>
    <w:rsid w:val="009333A5"/>
    <w:rsid w:val="009448A1"/>
    <w:rsid w:val="00947135"/>
    <w:rsid w:val="0098341A"/>
    <w:rsid w:val="009B2A7E"/>
    <w:rsid w:val="009D49B5"/>
    <w:rsid w:val="009D6679"/>
    <w:rsid w:val="009E1A97"/>
    <w:rsid w:val="00A04036"/>
    <w:rsid w:val="00A07F39"/>
    <w:rsid w:val="00A44776"/>
    <w:rsid w:val="00A75919"/>
    <w:rsid w:val="00A76F48"/>
    <w:rsid w:val="00AA2248"/>
    <w:rsid w:val="00AB44E2"/>
    <w:rsid w:val="00AC28B3"/>
    <w:rsid w:val="00AF01F9"/>
    <w:rsid w:val="00AF14D5"/>
    <w:rsid w:val="00B06B4B"/>
    <w:rsid w:val="00B53CAC"/>
    <w:rsid w:val="00B72499"/>
    <w:rsid w:val="00B75EAF"/>
    <w:rsid w:val="00BA05D5"/>
    <w:rsid w:val="00BA7925"/>
    <w:rsid w:val="00BD296C"/>
    <w:rsid w:val="00BE1233"/>
    <w:rsid w:val="00BE2DFE"/>
    <w:rsid w:val="00C05859"/>
    <w:rsid w:val="00C13D15"/>
    <w:rsid w:val="00C27D36"/>
    <w:rsid w:val="00C35453"/>
    <w:rsid w:val="00C47AAF"/>
    <w:rsid w:val="00C57694"/>
    <w:rsid w:val="00C60FAD"/>
    <w:rsid w:val="00C7199E"/>
    <w:rsid w:val="00C951A7"/>
    <w:rsid w:val="00CD52B2"/>
    <w:rsid w:val="00D02A04"/>
    <w:rsid w:val="00D043FF"/>
    <w:rsid w:val="00D254C9"/>
    <w:rsid w:val="00D31D61"/>
    <w:rsid w:val="00D46F79"/>
    <w:rsid w:val="00D47501"/>
    <w:rsid w:val="00D52E26"/>
    <w:rsid w:val="00D61668"/>
    <w:rsid w:val="00D71453"/>
    <w:rsid w:val="00D93D3B"/>
    <w:rsid w:val="00DA25C4"/>
    <w:rsid w:val="00DD02DD"/>
    <w:rsid w:val="00DD26E5"/>
    <w:rsid w:val="00DD6CCA"/>
    <w:rsid w:val="00E26675"/>
    <w:rsid w:val="00E26CD5"/>
    <w:rsid w:val="00E32CA0"/>
    <w:rsid w:val="00E41D1A"/>
    <w:rsid w:val="00E43120"/>
    <w:rsid w:val="00E57764"/>
    <w:rsid w:val="00E57D2B"/>
    <w:rsid w:val="00E60F81"/>
    <w:rsid w:val="00E63A7D"/>
    <w:rsid w:val="00E64AD1"/>
    <w:rsid w:val="00E66BA6"/>
    <w:rsid w:val="00E74D78"/>
    <w:rsid w:val="00E77BC6"/>
    <w:rsid w:val="00E84E65"/>
    <w:rsid w:val="00E9096D"/>
    <w:rsid w:val="00E92BA7"/>
    <w:rsid w:val="00EC68D9"/>
    <w:rsid w:val="00EC6A09"/>
    <w:rsid w:val="00EC6D8F"/>
    <w:rsid w:val="00ED2AF2"/>
    <w:rsid w:val="00ED4763"/>
    <w:rsid w:val="00EF017F"/>
    <w:rsid w:val="00F016D5"/>
    <w:rsid w:val="00F01E39"/>
    <w:rsid w:val="00F113ED"/>
    <w:rsid w:val="00F26629"/>
    <w:rsid w:val="00F27798"/>
    <w:rsid w:val="00F312BE"/>
    <w:rsid w:val="00F33218"/>
    <w:rsid w:val="00F510B0"/>
    <w:rsid w:val="00F63847"/>
    <w:rsid w:val="00F70727"/>
    <w:rsid w:val="00F73EE3"/>
    <w:rsid w:val="00FD0B86"/>
    <w:rsid w:val="00FD5645"/>
    <w:rsid w:val="00FD6452"/>
    <w:rsid w:val="00FE1FBF"/>
    <w:rsid w:val="00FE2592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EB"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3161E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3161EB"/>
    <w:pPr>
      <w:ind w:right="0"/>
      <w:jc w:val="both"/>
    </w:pPr>
  </w:style>
  <w:style w:type="paragraph" w:customStyle="1" w:styleId="TableSideHeading">
    <w:name w:val="Table SideHeading"/>
    <w:basedOn w:val="TableText"/>
    <w:link w:val="TableSideHeading0"/>
    <w:rsid w:val="003161EB"/>
  </w:style>
  <w:style w:type="character" w:customStyle="1" w:styleId="TableText0">
    <w:name w:val="Table Text תו"/>
    <w:link w:val="TableText"/>
    <w:locked/>
    <w:rsid w:val="003161EB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SideHeading0">
    <w:name w:val="Table SideHeading תו"/>
    <w:link w:val="TableSideHeading"/>
    <w:locked/>
    <w:rsid w:val="003161EB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EB"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3161E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3161EB"/>
    <w:pPr>
      <w:ind w:right="0"/>
      <w:jc w:val="both"/>
    </w:pPr>
  </w:style>
  <w:style w:type="paragraph" w:customStyle="1" w:styleId="TableSideHeading">
    <w:name w:val="Table SideHeading"/>
    <w:basedOn w:val="TableText"/>
    <w:link w:val="TableSideHeading0"/>
    <w:rsid w:val="003161EB"/>
  </w:style>
  <w:style w:type="character" w:customStyle="1" w:styleId="TableText0">
    <w:name w:val="Table Text תו"/>
    <w:link w:val="TableText"/>
    <w:locked/>
    <w:rsid w:val="003161EB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SideHeading0">
    <w:name w:val="Table SideHeading תו"/>
    <w:link w:val="TableSideHeading"/>
    <w:locked/>
    <w:rsid w:val="003161EB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B093B3-E87F-4057-9085-5974685FB5E0}"/>
</file>

<file path=customXml/itemProps2.xml><?xml version="1.0" encoding="utf-8"?>
<ds:datastoreItem xmlns:ds="http://schemas.openxmlformats.org/officeDocument/2006/customXml" ds:itemID="{FB368385-CCA8-469D-9394-F636B64B9031}"/>
</file>

<file path=customXml/itemProps3.xml><?xml version="1.0" encoding="utf-8"?>
<ds:datastoreItem xmlns:ds="http://schemas.openxmlformats.org/officeDocument/2006/customXml" ds:itemID="{FCFB320E-AC66-4882-836B-0ACDF72704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אתי בנדלר</dc:creator>
  <cp:lastModifiedBy>כוכי שבתאי</cp:lastModifiedBy>
  <cp:revision>2</cp:revision>
  <dcterms:created xsi:type="dcterms:W3CDTF">2016-03-10T06:48:00Z</dcterms:created>
  <dcterms:modified xsi:type="dcterms:W3CDTF">2016-03-10T06:48:00Z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