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F81" w:rsidRPr="00A270C6" w:rsidRDefault="00EF7F81" w:rsidP="00EF7F81">
      <w:pPr>
        <w:spacing w:after="0" w:line="240" w:lineRule="auto"/>
        <w:jc w:val="both"/>
        <w:rPr>
          <w:rFonts w:cs="David" w:hint="cs"/>
          <w:sz w:val="24"/>
          <w:szCs w:val="24"/>
          <w:rtl/>
        </w:rPr>
      </w:pPr>
      <w:bookmarkStart w:id="0" w:name="_GoBack"/>
      <w:bookmarkEnd w:id="0"/>
    </w:p>
    <w:p w:rsidR="00DF344E" w:rsidRPr="00D93992" w:rsidRDefault="00DF344E" w:rsidP="00DF344E">
      <w:pPr>
        <w:spacing w:after="0" w:line="240" w:lineRule="auto"/>
        <w:jc w:val="right"/>
        <w:rPr>
          <w:rFonts w:cs="David"/>
          <w:rtl/>
        </w:rPr>
      </w:pPr>
      <w:r w:rsidRPr="00D93992">
        <w:rPr>
          <w:rFonts w:cs="David" w:hint="cs"/>
          <w:rtl/>
        </w:rPr>
        <w:t>כ"ב בטבת התשע"ו</w:t>
      </w:r>
    </w:p>
    <w:p w:rsidR="00DF344E" w:rsidRPr="00D93992" w:rsidRDefault="00DF344E" w:rsidP="00DF344E">
      <w:pPr>
        <w:spacing w:after="0" w:line="240" w:lineRule="auto"/>
        <w:jc w:val="right"/>
        <w:rPr>
          <w:rFonts w:cs="David"/>
          <w:rtl/>
        </w:rPr>
      </w:pPr>
      <w:r w:rsidRPr="00D93992">
        <w:rPr>
          <w:rFonts w:cs="David" w:hint="cs"/>
          <w:rtl/>
        </w:rPr>
        <w:t>3 בינואר 2016</w:t>
      </w:r>
    </w:p>
    <w:p w:rsidR="00EF7F81" w:rsidRPr="00CA16EC" w:rsidRDefault="00EF7F81" w:rsidP="00EF7F81">
      <w:pPr>
        <w:spacing w:after="0" w:line="240" w:lineRule="auto"/>
        <w:jc w:val="both"/>
        <w:rPr>
          <w:rFonts w:cs="David"/>
          <w:rtl/>
        </w:rPr>
      </w:pPr>
      <w:r w:rsidRPr="00D93992">
        <w:rPr>
          <w:rFonts w:cs="David" w:hint="cs"/>
          <w:u w:val="single"/>
          <w:rtl/>
        </w:rPr>
        <w:t>אל</w:t>
      </w:r>
      <w:r w:rsidRPr="00D93992">
        <w:rPr>
          <w:rFonts w:cs="David" w:hint="cs"/>
          <w:rtl/>
        </w:rPr>
        <w:t>: חברי ועדת החוקה, חוק ומשפט</w:t>
      </w:r>
    </w:p>
    <w:p w:rsidR="00EF7F81" w:rsidRPr="00CA16EC" w:rsidRDefault="00EF7F81" w:rsidP="00EF7F81">
      <w:pPr>
        <w:spacing w:after="0" w:line="240" w:lineRule="auto"/>
        <w:jc w:val="both"/>
        <w:rPr>
          <w:rFonts w:cs="David"/>
          <w:rtl/>
        </w:rPr>
      </w:pPr>
      <w:r w:rsidRPr="00EF7F81">
        <w:rPr>
          <w:rFonts w:cs="David" w:hint="cs"/>
          <w:u w:val="single"/>
          <w:rtl/>
        </w:rPr>
        <w:t>מאת</w:t>
      </w:r>
      <w:r w:rsidRPr="00CA16EC">
        <w:rPr>
          <w:rFonts w:cs="David" w:hint="cs"/>
          <w:rtl/>
        </w:rPr>
        <w:t>: הייעוץ המשפטי לוועדה</w:t>
      </w:r>
    </w:p>
    <w:p w:rsidR="00EF7F81" w:rsidRPr="00CA16EC" w:rsidRDefault="00EF7F81" w:rsidP="00EF7F81">
      <w:pPr>
        <w:spacing w:after="0" w:line="240" w:lineRule="auto"/>
        <w:jc w:val="both"/>
        <w:rPr>
          <w:rFonts w:cs="David"/>
          <w:rtl/>
        </w:rPr>
      </w:pPr>
    </w:p>
    <w:p w:rsidR="00EF7F81" w:rsidRPr="00CA16EC" w:rsidRDefault="00EF7F81" w:rsidP="00EF7F81">
      <w:pPr>
        <w:spacing w:after="0" w:line="240" w:lineRule="auto"/>
        <w:jc w:val="both"/>
        <w:rPr>
          <w:rFonts w:cs="David"/>
          <w:rtl/>
        </w:rPr>
      </w:pPr>
    </w:p>
    <w:p w:rsidR="00EF7F81" w:rsidRPr="00CA16EC" w:rsidRDefault="00EF7F81" w:rsidP="00EF7F81">
      <w:pPr>
        <w:spacing w:after="120" w:line="240" w:lineRule="auto"/>
        <w:jc w:val="center"/>
        <w:rPr>
          <w:rFonts w:cs="David"/>
          <w:b/>
          <w:bCs/>
          <w:sz w:val="28"/>
          <w:szCs w:val="28"/>
          <w:u w:val="single"/>
          <w:rtl/>
        </w:rPr>
      </w:pPr>
      <w:r>
        <w:rPr>
          <w:rFonts w:cs="David" w:hint="cs"/>
          <w:b/>
          <w:bCs/>
          <w:sz w:val="28"/>
          <w:szCs w:val="28"/>
          <w:u w:val="single"/>
          <w:rtl/>
        </w:rPr>
        <w:t xml:space="preserve">סעיף 2 להצעת חוק להעמקת גביית המסים ולהגברת האכיפה (אמצעים לאכיפת תשלום מסים ולהרתעה מפני הלבנת הון) (תיקוני חקיקה), התשע"ה-2015 </w:t>
      </w:r>
      <w:r>
        <w:rPr>
          <w:rFonts w:cs="David"/>
          <w:b/>
          <w:bCs/>
          <w:sz w:val="28"/>
          <w:szCs w:val="28"/>
          <w:u w:val="single"/>
          <w:rtl/>
        </w:rPr>
        <w:t>–</w:t>
      </w:r>
      <w:r>
        <w:rPr>
          <w:rFonts w:cs="David" w:hint="cs"/>
          <w:b/>
          <w:bCs/>
          <w:sz w:val="28"/>
          <w:szCs w:val="28"/>
          <w:u w:val="single"/>
          <w:rtl/>
        </w:rPr>
        <w:t xml:space="preserve">           מסמך רקע כללי בנושא הלבנת הון </w:t>
      </w:r>
    </w:p>
    <w:p w:rsidR="00EF7F81" w:rsidRPr="008D6A3F" w:rsidRDefault="00EF7F81" w:rsidP="00C327EE">
      <w:pPr>
        <w:shd w:val="clear" w:color="auto" w:fill="A6A6A6" w:themeFill="background1" w:themeFillShade="A6"/>
        <w:spacing w:after="120" w:line="240" w:lineRule="auto"/>
        <w:jc w:val="center"/>
        <w:rPr>
          <w:rFonts w:cs="David"/>
          <w:b/>
          <w:bCs/>
          <w:sz w:val="28"/>
          <w:szCs w:val="28"/>
          <w:rtl/>
        </w:rPr>
      </w:pPr>
      <w:r w:rsidRPr="008D6A3F">
        <w:rPr>
          <w:rFonts w:cs="David" w:hint="cs"/>
          <w:b/>
          <w:bCs/>
          <w:sz w:val="28"/>
          <w:szCs w:val="28"/>
          <w:rtl/>
        </w:rPr>
        <w:t xml:space="preserve">הלבנת הון </w:t>
      </w:r>
      <w:r>
        <w:rPr>
          <w:rFonts w:cs="David"/>
          <w:b/>
          <w:bCs/>
          <w:sz w:val="28"/>
          <w:szCs w:val="28"/>
          <w:rtl/>
        </w:rPr>
        <w:t>–</w:t>
      </w:r>
      <w:r>
        <w:rPr>
          <w:rFonts w:cs="David" w:hint="cs"/>
          <w:b/>
          <w:bCs/>
          <w:sz w:val="28"/>
          <w:szCs w:val="28"/>
          <w:rtl/>
        </w:rPr>
        <w:t xml:space="preserve"> </w:t>
      </w:r>
      <w:r w:rsidRPr="008D6A3F">
        <w:rPr>
          <w:rFonts w:cs="David" w:hint="cs"/>
          <w:b/>
          <w:bCs/>
          <w:sz w:val="28"/>
          <w:szCs w:val="28"/>
          <w:rtl/>
        </w:rPr>
        <w:t>רקע</w:t>
      </w:r>
      <w:r w:rsidRPr="0045210D">
        <w:rPr>
          <w:rStyle w:val="a3"/>
          <w:rFonts w:cs="David"/>
          <w:sz w:val="20"/>
          <w:szCs w:val="20"/>
          <w:rtl/>
        </w:rPr>
        <w:footnoteReference w:id="1"/>
      </w:r>
    </w:p>
    <w:p w:rsidR="00EF7F81" w:rsidRPr="00CE54BE" w:rsidRDefault="00EF7F81" w:rsidP="00CE54BE">
      <w:pPr>
        <w:shd w:val="clear" w:color="auto" w:fill="D9D9D9" w:themeFill="background1" w:themeFillShade="D9"/>
        <w:spacing w:after="120" w:line="240" w:lineRule="auto"/>
        <w:jc w:val="center"/>
        <w:rPr>
          <w:rFonts w:cs="David"/>
          <w:b/>
          <w:bCs/>
          <w:sz w:val="24"/>
          <w:szCs w:val="24"/>
          <w:rtl/>
        </w:rPr>
      </w:pPr>
      <w:r w:rsidRPr="00CE54BE">
        <w:rPr>
          <w:rFonts w:cs="David" w:hint="cs"/>
          <w:b/>
          <w:bCs/>
          <w:sz w:val="24"/>
          <w:szCs w:val="24"/>
          <w:rtl/>
        </w:rPr>
        <w:t xml:space="preserve">הלבנת הון </w:t>
      </w:r>
      <w:r w:rsidRPr="00CE54BE">
        <w:rPr>
          <w:rFonts w:cs="David"/>
          <w:b/>
          <w:bCs/>
          <w:sz w:val="24"/>
          <w:szCs w:val="24"/>
          <w:rtl/>
        </w:rPr>
        <w:t>–</w:t>
      </w:r>
      <w:r w:rsidRPr="00CE54BE">
        <w:rPr>
          <w:rFonts w:cs="David" w:hint="cs"/>
          <w:b/>
          <w:bCs/>
          <w:sz w:val="24"/>
          <w:szCs w:val="24"/>
          <w:rtl/>
        </w:rPr>
        <w:t xml:space="preserve"> החקיקה בישראל</w:t>
      </w:r>
    </w:p>
    <w:p w:rsidR="00EF7F81" w:rsidRPr="000D3E72" w:rsidRDefault="00EF7F81" w:rsidP="00C327EE">
      <w:pPr>
        <w:spacing w:after="120" w:line="360" w:lineRule="auto"/>
        <w:jc w:val="both"/>
        <w:rPr>
          <w:rFonts w:cs="David"/>
          <w:sz w:val="24"/>
          <w:szCs w:val="24"/>
          <w:rtl/>
        </w:rPr>
      </w:pPr>
      <w:r w:rsidRPr="000D3E72">
        <w:rPr>
          <w:rFonts w:cs="David"/>
          <w:sz w:val="24"/>
          <w:szCs w:val="24"/>
          <w:rtl/>
        </w:rPr>
        <w:t>בשנת 2000</w:t>
      </w:r>
      <w:r w:rsidRPr="000D3E72">
        <w:rPr>
          <w:rFonts w:cs="David" w:hint="cs"/>
          <w:sz w:val="24"/>
          <w:szCs w:val="24"/>
          <w:rtl/>
        </w:rPr>
        <w:t>,</w:t>
      </w:r>
      <w:r w:rsidRPr="000D3E72">
        <w:rPr>
          <w:rFonts w:cs="David"/>
          <w:sz w:val="24"/>
          <w:szCs w:val="24"/>
          <w:rtl/>
        </w:rPr>
        <w:t xml:space="preserve"> נחקק חוק איסור הלבנת הון</w:t>
      </w:r>
      <w:r w:rsidRPr="000D3E72">
        <w:rPr>
          <w:rFonts w:cs="David" w:hint="cs"/>
          <w:sz w:val="24"/>
          <w:szCs w:val="24"/>
          <w:rtl/>
        </w:rPr>
        <w:t xml:space="preserve">, התש"ס-2000 (להלן </w:t>
      </w:r>
      <w:r w:rsidRPr="000D3E72">
        <w:rPr>
          <w:rFonts w:cs="David"/>
          <w:sz w:val="24"/>
          <w:szCs w:val="24"/>
          <w:rtl/>
        </w:rPr>
        <w:t>–</w:t>
      </w:r>
      <w:r w:rsidRPr="000D3E72">
        <w:rPr>
          <w:rFonts w:cs="David" w:hint="cs"/>
          <w:sz w:val="24"/>
          <w:szCs w:val="24"/>
          <w:rtl/>
        </w:rPr>
        <w:t xml:space="preserve"> חוק איסור הלבנת הון או החוק), המבוסס </w:t>
      </w:r>
      <w:r w:rsidRPr="000D3E72">
        <w:rPr>
          <w:rFonts w:cs="David"/>
          <w:sz w:val="24"/>
          <w:szCs w:val="24"/>
          <w:rtl/>
        </w:rPr>
        <w:t>–</w:t>
      </w:r>
      <w:r w:rsidRPr="000D3E72">
        <w:rPr>
          <w:rFonts w:cs="David" w:hint="cs"/>
          <w:sz w:val="24"/>
          <w:szCs w:val="24"/>
          <w:rtl/>
        </w:rPr>
        <w:t xml:space="preserve"> בעיקרו </w:t>
      </w:r>
      <w:r w:rsidRPr="000D3E72">
        <w:rPr>
          <w:rFonts w:cs="David"/>
          <w:sz w:val="24"/>
          <w:szCs w:val="24"/>
          <w:rtl/>
        </w:rPr>
        <w:t>–</w:t>
      </w:r>
      <w:r w:rsidRPr="000D3E72">
        <w:rPr>
          <w:rFonts w:cs="David" w:hint="cs"/>
          <w:sz w:val="24"/>
          <w:szCs w:val="24"/>
          <w:rtl/>
        </w:rPr>
        <w:t xml:space="preserve"> על ההמלצות שפרסם </w:t>
      </w:r>
      <w:r w:rsidRPr="000D3E72">
        <w:rPr>
          <w:rFonts w:cs="David"/>
          <w:sz w:val="24"/>
          <w:szCs w:val="24"/>
          <w:rtl/>
        </w:rPr>
        <w:t>ארגון ה-</w:t>
      </w:r>
      <w:r w:rsidRPr="000D3E72">
        <w:rPr>
          <w:rFonts w:cs="David"/>
          <w:sz w:val="20"/>
          <w:szCs w:val="20"/>
        </w:rPr>
        <w:t>FATF</w:t>
      </w:r>
      <w:r w:rsidRPr="000D3E72">
        <w:rPr>
          <w:rStyle w:val="a3"/>
          <w:rFonts w:cs="David"/>
          <w:sz w:val="24"/>
          <w:szCs w:val="24"/>
          <w:rtl/>
        </w:rPr>
        <w:footnoteReference w:id="2"/>
      </w:r>
      <w:r w:rsidRPr="000D3E72">
        <w:rPr>
          <w:rFonts w:cs="David" w:hint="cs"/>
          <w:sz w:val="24"/>
          <w:szCs w:val="24"/>
          <w:rtl/>
        </w:rPr>
        <w:t xml:space="preserve">. פעילותו של החוק הינה בשלושה מישורים מרכזיים: </w:t>
      </w:r>
    </w:p>
    <w:p w:rsidR="00EF7F81" w:rsidRPr="000D3E72" w:rsidRDefault="00EF7F81" w:rsidP="00C327EE">
      <w:pPr>
        <w:spacing w:after="120" w:line="360" w:lineRule="auto"/>
        <w:jc w:val="both"/>
        <w:rPr>
          <w:rFonts w:cs="David"/>
          <w:sz w:val="24"/>
          <w:szCs w:val="24"/>
          <w:rtl/>
        </w:rPr>
      </w:pPr>
      <w:r w:rsidRPr="000D3E72">
        <w:rPr>
          <w:rFonts w:cs="David" w:hint="cs"/>
          <w:sz w:val="24"/>
          <w:szCs w:val="24"/>
          <w:u w:val="single"/>
          <w:rtl/>
        </w:rPr>
        <w:t xml:space="preserve">המישור הראשון </w:t>
      </w:r>
      <w:r w:rsidRPr="000D3E72">
        <w:rPr>
          <w:rFonts w:cs="David"/>
          <w:sz w:val="24"/>
          <w:szCs w:val="24"/>
          <w:u w:val="single"/>
          <w:rtl/>
        </w:rPr>
        <w:t>–</w:t>
      </w:r>
      <w:r w:rsidRPr="000D3E72">
        <w:rPr>
          <w:rFonts w:cs="David" w:hint="cs"/>
          <w:sz w:val="24"/>
          <w:szCs w:val="24"/>
          <w:u w:val="single"/>
          <w:rtl/>
        </w:rPr>
        <w:t xml:space="preserve"> ענישה</w:t>
      </w:r>
      <w:r w:rsidRPr="000D3E72">
        <w:rPr>
          <w:rFonts w:cs="David" w:hint="cs"/>
          <w:sz w:val="24"/>
          <w:szCs w:val="24"/>
          <w:rtl/>
        </w:rPr>
        <w:t xml:space="preserve">: </w:t>
      </w:r>
      <w:r w:rsidRPr="009A6892">
        <w:rPr>
          <w:rFonts w:cs="David" w:hint="cs"/>
          <w:sz w:val="24"/>
          <w:szCs w:val="24"/>
          <w:rtl/>
        </w:rPr>
        <w:t xml:space="preserve">נוכח ההשלכות הכלכליות המשמעותיות שיש להלבנת ההון, התגבשה התפיסה, לפיה בנוסף למלחמה בעבריינים מבצעי העבירות, יש להפנות משאבים למלחמה ישירה גם בתופעה של הלבנת ההון המצטבר כתוצאה מאותן העבירות. </w:t>
      </w:r>
      <w:r>
        <w:rPr>
          <w:rFonts w:cs="David" w:hint="cs"/>
          <w:sz w:val="24"/>
          <w:szCs w:val="24"/>
          <w:rtl/>
        </w:rPr>
        <w:t xml:space="preserve">כתוצאה מכך, </w:t>
      </w:r>
      <w:r w:rsidRPr="000D3E72">
        <w:rPr>
          <w:rFonts w:cs="David" w:hint="cs"/>
          <w:sz w:val="24"/>
          <w:szCs w:val="24"/>
          <w:rtl/>
        </w:rPr>
        <w:t xml:space="preserve">החוק קובע עבירות פליליות עצמאיות של הלבנת הון, וקובע להן עונש </w:t>
      </w:r>
      <w:r w:rsidRPr="000D3E72">
        <w:rPr>
          <w:rFonts w:cs="David" w:hint="cs"/>
          <w:b/>
          <w:bCs/>
          <w:sz w:val="24"/>
          <w:szCs w:val="24"/>
          <w:rtl/>
        </w:rPr>
        <w:t>בנוסף</w:t>
      </w:r>
      <w:r w:rsidRPr="000D3E72">
        <w:rPr>
          <w:rFonts w:cs="David" w:hint="cs"/>
          <w:sz w:val="24"/>
          <w:szCs w:val="24"/>
          <w:rtl/>
        </w:rPr>
        <w:t xml:space="preserve"> לעונש בגין עבירת המקור ממנה הופקו רווחי הפשיעה (ראו פירוט להלן). </w:t>
      </w:r>
    </w:p>
    <w:p w:rsidR="00EF7F81" w:rsidRPr="000D3E72" w:rsidRDefault="00EF7F81" w:rsidP="00C327EE">
      <w:pPr>
        <w:spacing w:after="120" w:line="360" w:lineRule="auto"/>
        <w:jc w:val="both"/>
        <w:rPr>
          <w:rFonts w:cs="David"/>
          <w:sz w:val="24"/>
          <w:szCs w:val="24"/>
          <w:rtl/>
        </w:rPr>
      </w:pPr>
      <w:r w:rsidRPr="000D3E72">
        <w:rPr>
          <w:rFonts w:cs="David" w:hint="cs"/>
          <w:sz w:val="24"/>
          <w:szCs w:val="24"/>
          <w:u w:val="single"/>
          <w:rtl/>
        </w:rPr>
        <w:t xml:space="preserve">המישור השני </w:t>
      </w:r>
      <w:r w:rsidRPr="000D3E72">
        <w:rPr>
          <w:rFonts w:cs="David"/>
          <w:sz w:val="24"/>
          <w:szCs w:val="24"/>
          <w:u w:val="single"/>
          <w:rtl/>
        </w:rPr>
        <w:t>–</w:t>
      </w:r>
      <w:r w:rsidRPr="000D3E72">
        <w:rPr>
          <w:rFonts w:cs="David" w:hint="cs"/>
          <w:sz w:val="24"/>
          <w:szCs w:val="24"/>
          <w:u w:val="single"/>
          <w:rtl/>
        </w:rPr>
        <w:t xml:space="preserve"> מניעה</w:t>
      </w:r>
      <w:r w:rsidRPr="000D3E72">
        <w:rPr>
          <w:rFonts w:cs="David" w:hint="cs"/>
          <w:sz w:val="24"/>
          <w:szCs w:val="24"/>
          <w:rtl/>
        </w:rPr>
        <w:t xml:space="preserve">: החוק מטיל </w:t>
      </w:r>
      <w:r w:rsidRPr="000D3E72">
        <w:rPr>
          <w:rFonts w:cs="David"/>
          <w:sz w:val="24"/>
          <w:szCs w:val="24"/>
          <w:rtl/>
        </w:rPr>
        <w:t xml:space="preserve">על הסקטור </w:t>
      </w:r>
      <w:r w:rsidRPr="000D3E72">
        <w:rPr>
          <w:rFonts w:cs="David" w:hint="cs"/>
          <w:sz w:val="24"/>
          <w:szCs w:val="24"/>
          <w:rtl/>
        </w:rPr>
        <w:t xml:space="preserve">הפיננסי </w:t>
      </w:r>
      <w:r w:rsidRPr="000D3E72">
        <w:rPr>
          <w:rFonts w:cs="David"/>
          <w:sz w:val="24"/>
          <w:szCs w:val="24"/>
          <w:rtl/>
        </w:rPr>
        <w:t>–</w:t>
      </w:r>
      <w:r w:rsidRPr="000D3E72">
        <w:rPr>
          <w:rFonts w:cs="David" w:hint="cs"/>
          <w:sz w:val="24"/>
          <w:szCs w:val="24"/>
          <w:rtl/>
        </w:rPr>
        <w:t xml:space="preserve"> תאגידים בנקאיים, חברי בורסה, מנהלי תיקים, חברות ביטוח, נותני שירותי מטבע, בנק הדואר ועוד </w:t>
      </w:r>
      <w:r w:rsidRPr="000D3E72">
        <w:rPr>
          <w:rFonts w:cs="David"/>
          <w:sz w:val="24"/>
          <w:szCs w:val="24"/>
          <w:rtl/>
        </w:rPr>
        <w:t>–</w:t>
      </w:r>
      <w:r w:rsidRPr="000D3E72">
        <w:rPr>
          <w:rFonts w:cs="David" w:hint="cs"/>
          <w:sz w:val="24"/>
          <w:szCs w:val="24"/>
          <w:rtl/>
        </w:rPr>
        <w:t xml:space="preserve"> </w:t>
      </w:r>
      <w:r w:rsidRPr="000D3E72">
        <w:rPr>
          <w:rFonts w:cs="David"/>
          <w:sz w:val="24"/>
          <w:szCs w:val="24"/>
          <w:rtl/>
        </w:rPr>
        <w:t>תפקיד אקטיבי באכיפת החוק</w:t>
      </w:r>
      <w:r>
        <w:rPr>
          <w:rFonts w:cs="David" w:hint="cs"/>
          <w:sz w:val="24"/>
          <w:szCs w:val="24"/>
          <w:rtl/>
        </w:rPr>
        <w:t xml:space="preserve">. החוק, והצווים שהוצאו מכוחו, מטילים על הגופים האמורים </w:t>
      </w:r>
      <w:r w:rsidRPr="000D3E72">
        <w:rPr>
          <w:rFonts w:cs="David" w:hint="cs"/>
          <w:sz w:val="24"/>
          <w:szCs w:val="24"/>
          <w:rtl/>
        </w:rPr>
        <w:t xml:space="preserve">חובות </w:t>
      </w:r>
      <w:r>
        <w:rPr>
          <w:rFonts w:cs="David" w:hint="cs"/>
          <w:sz w:val="24"/>
          <w:szCs w:val="24"/>
          <w:rtl/>
        </w:rPr>
        <w:t>לזהות את הלקוח, לאמת את הזיהוי, לרשום את פרטי הלקוח ולשמור מסמכים. כמו כן, נדרשים הגופים האמורים</w:t>
      </w:r>
      <w:r w:rsidRPr="000D3E72">
        <w:rPr>
          <w:rFonts w:cs="David" w:hint="cs"/>
          <w:sz w:val="24"/>
          <w:szCs w:val="24"/>
          <w:rtl/>
        </w:rPr>
        <w:t xml:space="preserve"> </w:t>
      </w:r>
      <w:r>
        <w:rPr>
          <w:rFonts w:cs="David" w:hint="cs"/>
          <w:sz w:val="24"/>
          <w:szCs w:val="24"/>
          <w:rtl/>
        </w:rPr>
        <w:t xml:space="preserve">לדווח לרשות לאיסור הלבנת הון (להלן </w:t>
      </w:r>
      <w:r>
        <w:rPr>
          <w:rFonts w:cs="David"/>
          <w:sz w:val="24"/>
          <w:szCs w:val="24"/>
          <w:rtl/>
        </w:rPr>
        <w:t>–</w:t>
      </w:r>
      <w:r>
        <w:rPr>
          <w:rFonts w:cs="David" w:hint="cs"/>
          <w:sz w:val="24"/>
          <w:szCs w:val="24"/>
          <w:rtl/>
        </w:rPr>
        <w:t xml:space="preserve"> הרשות) על הפעילות הפיננסית של לקוחותיהם, ובכלל זה </w:t>
      </w:r>
      <w:r w:rsidRPr="000D3E72">
        <w:rPr>
          <w:rFonts w:cs="David" w:hint="cs"/>
          <w:sz w:val="24"/>
          <w:szCs w:val="24"/>
          <w:rtl/>
        </w:rPr>
        <w:t xml:space="preserve">על פעולות פיננסיות "רגילות" </w:t>
      </w:r>
      <w:r>
        <w:rPr>
          <w:rFonts w:cs="David" w:hint="cs"/>
          <w:sz w:val="24"/>
          <w:szCs w:val="24"/>
          <w:rtl/>
        </w:rPr>
        <w:t xml:space="preserve">של הלקוח </w:t>
      </w:r>
      <w:r w:rsidRPr="000D3E72">
        <w:rPr>
          <w:rFonts w:cs="David" w:hint="cs"/>
          <w:sz w:val="24"/>
          <w:szCs w:val="24"/>
          <w:rtl/>
        </w:rPr>
        <w:t>(בהתאם לסוג הפעולה וסכומה) ועל פעולות פיננסיות "בלתי רגילות</w:t>
      </w:r>
      <w:r>
        <w:rPr>
          <w:rFonts w:cs="David" w:hint="cs"/>
          <w:sz w:val="24"/>
          <w:szCs w:val="24"/>
          <w:rtl/>
        </w:rPr>
        <w:t>"</w:t>
      </w:r>
      <w:r w:rsidRPr="000D3E72">
        <w:rPr>
          <w:rFonts w:cs="David" w:hint="cs"/>
          <w:sz w:val="24"/>
          <w:szCs w:val="24"/>
          <w:rtl/>
        </w:rPr>
        <w:t xml:space="preserve"> </w:t>
      </w:r>
      <w:r>
        <w:rPr>
          <w:rFonts w:cs="David" w:hint="cs"/>
          <w:sz w:val="24"/>
          <w:szCs w:val="24"/>
          <w:rtl/>
        </w:rPr>
        <w:t xml:space="preserve">של הלקוח </w:t>
      </w:r>
      <w:r w:rsidRPr="000D3E72">
        <w:rPr>
          <w:rFonts w:cs="David" w:hint="cs"/>
          <w:sz w:val="24"/>
          <w:szCs w:val="24"/>
          <w:rtl/>
        </w:rPr>
        <w:t xml:space="preserve">(בהתבסס על היכרותו של הגוף עם הלקוח ודפוסי התנהגותו) (ראו פירוט להלן). </w:t>
      </w:r>
      <w:r>
        <w:rPr>
          <w:rFonts w:cs="David" w:hint="cs"/>
          <w:sz w:val="24"/>
          <w:szCs w:val="24"/>
          <w:rtl/>
        </w:rPr>
        <w:t>הדיווחים מועברים אל המאגר שמנהלת הרשות, והחוק קובע מהם השימושים המותרים שניתן לעשות במידע הרב שמצטבר במאגר, ומיהם הגופים שזכאים לקבל ממנו מידע.</w:t>
      </w:r>
    </w:p>
    <w:p w:rsidR="00EF7F81" w:rsidRPr="000D3E72" w:rsidRDefault="00EF7F81" w:rsidP="00C327EE">
      <w:pPr>
        <w:spacing w:after="120" w:line="360" w:lineRule="auto"/>
        <w:jc w:val="both"/>
        <w:rPr>
          <w:rFonts w:cs="David"/>
          <w:sz w:val="24"/>
          <w:szCs w:val="24"/>
          <w:rtl/>
        </w:rPr>
      </w:pPr>
      <w:bookmarkStart w:id="1" w:name="_Toc152987833"/>
      <w:r w:rsidRPr="000D3E72">
        <w:rPr>
          <w:rFonts w:cs="David" w:hint="cs"/>
          <w:sz w:val="24"/>
          <w:szCs w:val="24"/>
          <w:u w:val="single"/>
          <w:rtl/>
        </w:rPr>
        <w:t xml:space="preserve">המישור השלישי </w:t>
      </w:r>
      <w:r w:rsidRPr="000D3E72">
        <w:rPr>
          <w:rFonts w:cs="David"/>
          <w:sz w:val="24"/>
          <w:szCs w:val="24"/>
          <w:u w:val="single"/>
          <w:rtl/>
        </w:rPr>
        <w:t>–</w:t>
      </w:r>
      <w:r w:rsidRPr="000D3E72">
        <w:rPr>
          <w:rFonts w:cs="David" w:hint="cs"/>
          <w:sz w:val="24"/>
          <w:szCs w:val="24"/>
          <w:u w:val="single"/>
          <w:rtl/>
        </w:rPr>
        <w:t xml:space="preserve"> חילוט</w:t>
      </w:r>
      <w:bookmarkEnd w:id="1"/>
      <w:r w:rsidRPr="000D3E72">
        <w:rPr>
          <w:rFonts w:cs="David" w:hint="cs"/>
          <w:sz w:val="24"/>
          <w:szCs w:val="24"/>
          <w:rtl/>
        </w:rPr>
        <w:t xml:space="preserve">: החוק </w:t>
      </w:r>
      <w:r w:rsidRPr="000D3E72">
        <w:rPr>
          <w:rFonts w:cs="David" w:hint="cs"/>
          <w:noProof/>
          <w:sz w:val="24"/>
          <w:szCs w:val="24"/>
          <w:rtl/>
        </w:rPr>
        <w:t xml:space="preserve">מצווה על בית המשפט לחלט מתוך רכושו של אדם שנדון בפניו והורשע בעבירה של הלבנת הון, רכוש </w:t>
      </w:r>
      <w:r w:rsidRPr="00507760">
        <w:rPr>
          <w:rFonts w:cs="David" w:hint="cs"/>
          <w:b/>
          <w:bCs/>
          <w:noProof/>
          <w:sz w:val="24"/>
          <w:szCs w:val="24"/>
          <w:rtl/>
        </w:rPr>
        <w:t>בשווי</w:t>
      </w:r>
      <w:r w:rsidRPr="000D3E72">
        <w:rPr>
          <w:rFonts w:cs="David" w:hint="cs"/>
          <w:noProof/>
          <w:sz w:val="24"/>
          <w:szCs w:val="24"/>
          <w:rtl/>
        </w:rPr>
        <w:t xml:space="preserve"> של הרכוש הקשור בעבירה. מטרתו של החילוט היא </w:t>
      </w:r>
      <w:r w:rsidRPr="000D3E72">
        <w:rPr>
          <w:rFonts w:cs="David" w:hint="cs"/>
          <w:noProof/>
          <w:sz w:val="24"/>
          <w:szCs w:val="24"/>
          <w:rtl/>
        </w:rPr>
        <w:lastRenderedPageBreak/>
        <w:t xml:space="preserve">לשלול מן העבריין את הרווח הכלכלי אשר למענו בוצעה העבירה, לכן, שלילה זו באה </w:t>
      </w:r>
      <w:r w:rsidRPr="000D3E72">
        <w:rPr>
          <w:rFonts w:cs="David" w:hint="cs"/>
          <w:b/>
          <w:bCs/>
          <w:noProof/>
          <w:sz w:val="24"/>
          <w:szCs w:val="24"/>
          <w:rtl/>
        </w:rPr>
        <w:t>בנוסף</w:t>
      </w:r>
      <w:r w:rsidRPr="000D3E72">
        <w:rPr>
          <w:rFonts w:cs="David" w:hint="cs"/>
          <w:noProof/>
          <w:sz w:val="24"/>
          <w:szCs w:val="24"/>
          <w:rtl/>
        </w:rPr>
        <w:t xml:space="preserve"> ולא </w:t>
      </w:r>
      <w:r w:rsidRPr="000D3E72">
        <w:rPr>
          <w:rFonts w:cs="David" w:hint="cs"/>
          <w:b/>
          <w:bCs/>
          <w:noProof/>
          <w:sz w:val="24"/>
          <w:szCs w:val="24"/>
          <w:rtl/>
        </w:rPr>
        <w:t>במקום</w:t>
      </w:r>
      <w:r w:rsidRPr="000D3E72">
        <w:rPr>
          <w:rFonts w:cs="David" w:hint="cs"/>
          <w:noProof/>
          <w:sz w:val="24"/>
          <w:szCs w:val="24"/>
          <w:rtl/>
        </w:rPr>
        <w:t xml:space="preserve"> כל עונש, כאשר המטרה היא למנוע מהעבריין ליהנות מפירות העבירה, בנפרד ובנוסף לענישה. </w:t>
      </w:r>
      <w:r>
        <w:rPr>
          <w:rFonts w:cs="David" w:hint="cs"/>
          <w:noProof/>
          <w:sz w:val="24"/>
          <w:szCs w:val="24"/>
          <w:rtl/>
        </w:rPr>
        <w:t xml:space="preserve">יוער, כי </w:t>
      </w:r>
      <w:r w:rsidRPr="000D3E72">
        <w:rPr>
          <w:rFonts w:cs="David" w:hint="cs"/>
          <w:noProof/>
          <w:sz w:val="24"/>
          <w:szCs w:val="24"/>
          <w:rtl/>
        </w:rPr>
        <w:t xml:space="preserve">בית המשפט </w:t>
      </w:r>
      <w:r>
        <w:rPr>
          <w:rFonts w:cs="David" w:hint="cs"/>
          <w:noProof/>
          <w:sz w:val="24"/>
          <w:szCs w:val="24"/>
          <w:rtl/>
        </w:rPr>
        <w:t xml:space="preserve">מוסמך </w:t>
      </w:r>
      <w:r w:rsidRPr="000D3E72">
        <w:rPr>
          <w:rFonts w:cs="David" w:hint="cs"/>
          <w:noProof/>
          <w:sz w:val="24"/>
          <w:szCs w:val="24"/>
          <w:rtl/>
        </w:rPr>
        <w:t xml:space="preserve">להורות על חילוט זמני </w:t>
      </w:r>
      <w:r>
        <w:rPr>
          <w:rFonts w:cs="David" w:hint="cs"/>
          <w:noProof/>
          <w:sz w:val="24"/>
          <w:szCs w:val="24"/>
          <w:rtl/>
        </w:rPr>
        <w:t xml:space="preserve">של רכוש גם </w:t>
      </w:r>
      <w:r w:rsidRPr="000D3E72">
        <w:rPr>
          <w:rFonts w:cs="David" w:hint="cs"/>
          <w:noProof/>
          <w:sz w:val="24"/>
          <w:szCs w:val="24"/>
          <w:rtl/>
        </w:rPr>
        <w:t>במקביל לקיום ההליך הפלילי נגד נאשם, ובמגבלות מסוימות אף בטרם הוגש כתב אישום.</w:t>
      </w:r>
    </w:p>
    <w:p w:rsidR="00EF7F81" w:rsidRPr="001B5E06" w:rsidRDefault="00EF7F81" w:rsidP="00C327EE">
      <w:pPr>
        <w:spacing w:after="120" w:line="360" w:lineRule="auto"/>
        <w:jc w:val="both"/>
        <w:rPr>
          <w:rFonts w:cs="David"/>
          <w:sz w:val="24"/>
          <w:szCs w:val="24"/>
          <w:rtl/>
        </w:rPr>
      </w:pPr>
      <w:r w:rsidRPr="000D3E72">
        <w:rPr>
          <w:rFonts w:cs="David" w:hint="cs"/>
          <w:sz w:val="24"/>
          <w:szCs w:val="24"/>
          <w:rtl/>
        </w:rPr>
        <w:t xml:space="preserve">כדי ליישם ולבצע את החוק, הוקמה במשרד המשפטים, בשנת 2002,  הרשות לאיסור הלבנת הון. מטרתה המרכזית של הרשות הינה קליטה וריכוז של </w:t>
      </w:r>
      <w:r w:rsidRPr="001B5E06">
        <w:rPr>
          <w:rFonts w:cs="David" w:hint="cs"/>
          <w:sz w:val="24"/>
          <w:szCs w:val="24"/>
          <w:rtl/>
        </w:rPr>
        <w:t>הדיווחים המתקבלים מהמוסדות פיננסיים הקבועים בחוק, ניתוח ועיבוד של המידע, והעברתו אל רשויות אכיפת החוק</w:t>
      </w:r>
      <w:r w:rsidR="00020CEA">
        <w:rPr>
          <w:rFonts w:cs="David" w:hint="cs"/>
          <w:sz w:val="24"/>
          <w:szCs w:val="24"/>
          <w:rtl/>
        </w:rPr>
        <w:t>, בצורה מידתית ורק למטרות ולשימושים המותרים בחוק</w:t>
      </w:r>
      <w:r w:rsidRPr="001B5E06">
        <w:rPr>
          <w:rFonts w:cs="David" w:hint="cs"/>
          <w:sz w:val="24"/>
          <w:szCs w:val="24"/>
          <w:rtl/>
        </w:rPr>
        <w:t xml:space="preserve">. </w:t>
      </w:r>
    </w:p>
    <w:p w:rsidR="00EF7F81" w:rsidRPr="001B5E06" w:rsidRDefault="00EF7F81" w:rsidP="00C327EE">
      <w:pPr>
        <w:spacing w:after="0" w:line="360" w:lineRule="auto"/>
        <w:jc w:val="both"/>
        <w:rPr>
          <w:rFonts w:cs="David"/>
          <w:sz w:val="24"/>
          <w:szCs w:val="24"/>
          <w:rtl/>
        </w:rPr>
      </w:pPr>
    </w:p>
    <w:p w:rsidR="00EF7F81" w:rsidRPr="001B5E06" w:rsidRDefault="00EF7F81" w:rsidP="00CE54BE">
      <w:pPr>
        <w:shd w:val="clear" w:color="auto" w:fill="D9D9D9" w:themeFill="background1" w:themeFillShade="D9"/>
        <w:spacing w:after="120" w:line="240" w:lineRule="auto"/>
        <w:jc w:val="center"/>
        <w:rPr>
          <w:rFonts w:cs="David"/>
          <w:b/>
          <w:bCs/>
          <w:sz w:val="24"/>
          <w:szCs w:val="24"/>
          <w:rtl/>
        </w:rPr>
      </w:pPr>
      <w:r w:rsidRPr="00CE54BE">
        <w:rPr>
          <w:rFonts w:cs="David" w:hint="cs"/>
          <w:b/>
          <w:bCs/>
          <w:sz w:val="24"/>
          <w:szCs w:val="24"/>
          <w:rtl/>
        </w:rPr>
        <w:t xml:space="preserve">ענישה </w:t>
      </w:r>
      <w:r w:rsidRPr="00CE54BE">
        <w:rPr>
          <w:rFonts w:cs="David"/>
          <w:b/>
          <w:bCs/>
          <w:sz w:val="24"/>
          <w:szCs w:val="24"/>
          <w:rtl/>
        </w:rPr>
        <w:t>–</w:t>
      </w:r>
      <w:r w:rsidRPr="00CE54BE">
        <w:rPr>
          <w:rFonts w:cs="David" w:hint="cs"/>
          <w:b/>
          <w:bCs/>
          <w:sz w:val="24"/>
          <w:szCs w:val="24"/>
          <w:rtl/>
        </w:rPr>
        <w:t xml:space="preserve"> העבירות הפלילית בחוק</w:t>
      </w:r>
    </w:p>
    <w:p w:rsidR="00CE54BE" w:rsidRDefault="00CE54BE" w:rsidP="00CE54BE">
      <w:pPr>
        <w:spacing w:after="120" w:line="240" w:lineRule="auto"/>
        <w:jc w:val="both"/>
        <w:rPr>
          <w:rFonts w:cs="David"/>
          <w:sz w:val="24"/>
          <w:szCs w:val="24"/>
          <w:rtl/>
        </w:rPr>
      </w:pPr>
      <w:r>
        <w:rPr>
          <w:rFonts w:cs="David" w:hint="cs"/>
          <w:b/>
          <w:bCs/>
          <w:sz w:val="24"/>
          <w:szCs w:val="24"/>
          <w:rtl/>
        </w:rPr>
        <w:t>1</w:t>
      </w:r>
      <w:r w:rsidR="00EF7F81" w:rsidRPr="001B5E06">
        <w:rPr>
          <w:rFonts w:cs="David" w:hint="cs"/>
          <w:b/>
          <w:bCs/>
          <w:sz w:val="24"/>
          <w:szCs w:val="24"/>
          <w:rtl/>
        </w:rPr>
        <w:t>. מונחי יסוד</w:t>
      </w:r>
      <w:r w:rsidR="00EF7F81" w:rsidRPr="001B5E06">
        <w:rPr>
          <w:rFonts w:cs="David" w:hint="cs"/>
          <w:sz w:val="24"/>
          <w:szCs w:val="24"/>
          <w:rtl/>
        </w:rPr>
        <w:t xml:space="preserve"> </w:t>
      </w:r>
    </w:p>
    <w:p w:rsidR="00EF7F81" w:rsidRPr="001B5E06" w:rsidRDefault="00EF7F81" w:rsidP="00CE54BE">
      <w:pPr>
        <w:spacing w:after="120" w:line="360" w:lineRule="auto"/>
        <w:jc w:val="both"/>
        <w:rPr>
          <w:rFonts w:cs="David"/>
          <w:sz w:val="24"/>
          <w:szCs w:val="24"/>
          <w:rtl/>
        </w:rPr>
      </w:pPr>
      <w:r w:rsidRPr="001B5E06">
        <w:rPr>
          <w:rFonts w:cs="David" w:hint="cs"/>
          <w:sz w:val="24"/>
          <w:szCs w:val="24"/>
          <w:rtl/>
        </w:rPr>
        <w:t>בטרם נתאר את העבירות הפליליות השונות שהחוק קובע, יש להבהיר כמה מונחים בסיסים שהחוק עושה בהם שימוש:</w:t>
      </w:r>
    </w:p>
    <w:p w:rsidR="00EF7F81" w:rsidRPr="001B5E06" w:rsidRDefault="00EF7F81" w:rsidP="00C327EE">
      <w:pPr>
        <w:spacing w:after="120" w:line="360" w:lineRule="auto"/>
        <w:jc w:val="both"/>
        <w:rPr>
          <w:rFonts w:cs="David"/>
          <w:sz w:val="24"/>
          <w:szCs w:val="24"/>
          <w:rtl/>
        </w:rPr>
      </w:pPr>
      <w:r w:rsidRPr="001B5E06">
        <w:rPr>
          <w:rFonts w:cs="David" w:hint="cs"/>
          <w:i/>
          <w:iCs/>
          <w:sz w:val="24"/>
          <w:szCs w:val="24"/>
          <w:u w:val="single"/>
          <w:rtl/>
        </w:rPr>
        <w:t>"עבירות מקור"</w:t>
      </w:r>
      <w:r w:rsidRPr="001B5E06">
        <w:rPr>
          <w:rFonts w:cs="David" w:hint="cs"/>
          <w:sz w:val="24"/>
          <w:szCs w:val="24"/>
          <w:rtl/>
        </w:rPr>
        <w:t xml:space="preserve"> </w:t>
      </w:r>
      <w:r w:rsidRPr="001B5E06">
        <w:rPr>
          <w:rFonts w:cs="David"/>
          <w:sz w:val="24"/>
          <w:szCs w:val="24"/>
          <w:rtl/>
        </w:rPr>
        <w:t>–</w:t>
      </w:r>
      <w:r w:rsidRPr="001B5E06">
        <w:rPr>
          <w:rFonts w:cs="David" w:hint="cs"/>
          <w:sz w:val="24"/>
          <w:szCs w:val="24"/>
          <w:rtl/>
        </w:rPr>
        <w:t xml:space="preserve"> לא כל רווח שהופק כתוצאה מפעילות בלתי חוקית נחשב ל"הון שחור" שחוק איסור הלבנת הון חל עליו. רק רווח שהופק מביצוע של אחת מהעבירות המנויות בתוספת הראשונה לחוק, ייחשב ל"הון שחור". עבירות אלה הן "עבירות מקור"</w:t>
      </w:r>
      <w:r>
        <w:rPr>
          <w:rFonts w:cs="David" w:hint="cs"/>
          <w:sz w:val="24"/>
          <w:szCs w:val="24"/>
          <w:rtl/>
        </w:rPr>
        <w:t xml:space="preserve">, קרי: </w:t>
      </w:r>
      <w:r w:rsidRPr="00446E75">
        <w:rPr>
          <w:rFonts w:cs="David" w:hint="cs"/>
          <w:b/>
          <w:bCs/>
          <w:sz w:val="24"/>
          <w:szCs w:val="24"/>
          <w:rtl/>
        </w:rPr>
        <w:t>עבירות שהן המקור לקיומו של ההון השחור שלגביו מבוצעת פעולת ההלבנה</w:t>
      </w:r>
      <w:r w:rsidRPr="001B5E06">
        <w:rPr>
          <w:rFonts w:cs="David" w:hint="cs"/>
          <w:sz w:val="24"/>
          <w:szCs w:val="24"/>
          <w:rtl/>
        </w:rPr>
        <w:t>. למשל, עבירה של סחר בסמים מנויה בתוספת הראשונה לחוק, ועל כן היא נחשבת ל"עבירת מקור"</w:t>
      </w:r>
      <w:r>
        <w:rPr>
          <w:rFonts w:cs="David" w:hint="cs"/>
          <w:sz w:val="24"/>
          <w:szCs w:val="24"/>
          <w:rtl/>
        </w:rPr>
        <w:t>.</w:t>
      </w:r>
      <w:r w:rsidRPr="001B5E06">
        <w:rPr>
          <w:rFonts w:cs="David" w:hint="cs"/>
          <w:sz w:val="24"/>
          <w:szCs w:val="24"/>
          <w:rtl/>
        </w:rPr>
        <w:t xml:space="preserve"> הרווח המופק כתוצאה </w:t>
      </w:r>
      <w:r>
        <w:rPr>
          <w:rFonts w:cs="David" w:hint="cs"/>
          <w:sz w:val="24"/>
          <w:szCs w:val="24"/>
          <w:rtl/>
        </w:rPr>
        <w:t xml:space="preserve">מאותה עבירת סמים </w:t>
      </w:r>
      <w:r w:rsidRPr="001B5E06">
        <w:rPr>
          <w:rFonts w:cs="David" w:hint="cs"/>
          <w:sz w:val="24"/>
          <w:szCs w:val="24"/>
          <w:rtl/>
        </w:rPr>
        <w:t>הוא "הון שחור"</w:t>
      </w:r>
      <w:r>
        <w:rPr>
          <w:rFonts w:cs="David" w:hint="cs"/>
          <w:sz w:val="24"/>
          <w:szCs w:val="24"/>
          <w:rtl/>
        </w:rPr>
        <w:t>, שהסתרתו היא עבירה עצמאית ונפרדת של הלבנת הון.</w:t>
      </w:r>
      <w:r w:rsidRPr="001B5E06">
        <w:rPr>
          <w:rFonts w:cs="David" w:hint="cs"/>
          <w:sz w:val="24"/>
          <w:szCs w:val="24"/>
          <w:rtl/>
        </w:rPr>
        <w:t xml:space="preserve"> מנגד, עבירה של גניבת חשמל, מים או גז</w:t>
      </w:r>
      <w:r w:rsidRPr="001B5E06">
        <w:rPr>
          <w:rStyle w:val="a3"/>
          <w:rFonts w:cs="David"/>
          <w:sz w:val="24"/>
          <w:szCs w:val="24"/>
          <w:rtl/>
        </w:rPr>
        <w:footnoteReference w:id="3"/>
      </w:r>
      <w:r w:rsidRPr="001B5E06">
        <w:rPr>
          <w:rFonts w:cs="David" w:hint="cs"/>
          <w:sz w:val="24"/>
          <w:szCs w:val="24"/>
          <w:rtl/>
        </w:rPr>
        <w:t xml:space="preserve"> אינה מנויה בתוספת הראשונה לחוק, ועל כן היא אינה נחשבת ל"עבירת מקור" ולפיכך הרווח המופק ממנה אינו נחשב ל"הון שחור"</w:t>
      </w:r>
      <w:r>
        <w:rPr>
          <w:rFonts w:cs="David" w:hint="cs"/>
          <w:sz w:val="24"/>
          <w:szCs w:val="24"/>
          <w:rtl/>
        </w:rPr>
        <w:t>, והסתרתו לא תהווה עבירה עצמאית ונפרדת של הלבנה</w:t>
      </w:r>
      <w:r w:rsidRPr="001B5E06">
        <w:rPr>
          <w:rFonts w:cs="David" w:hint="cs"/>
          <w:sz w:val="24"/>
          <w:szCs w:val="24"/>
          <w:rtl/>
        </w:rPr>
        <w:t>. ודוק, בשני המקרים העבריין יישא בעונש על הפעילות העבריינית שביצע (סחר בסמים או גניבת חשמל, מים או גז</w:t>
      </w:r>
      <w:r>
        <w:rPr>
          <w:rFonts w:cs="David" w:hint="cs"/>
          <w:sz w:val="24"/>
          <w:szCs w:val="24"/>
          <w:rtl/>
        </w:rPr>
        <w:t>, לפי העניין</w:t>
      </w:r>
      <w:r w:rsidRPr="001B5E06">
        <w:rPr>
          <w:rFonts w:cs="David" w:hint="cs"/>
          <w:sz w:val="24"/>
          <w:szCs w:val="24"/>
          <w:rtl/>
        </w:rPr>
        <w:t>), ההבדל בין העבירות מתייחס למעמדו של הרווח שהופק כתוצאה מהעבירה.</w:t>
      </w:r>
      <w:r w:rsidR="00653709">
        <w:rPr>
          <w:rFonts w:cs="David" w:hint="cs"/>
          <w:sz w:val="24"/>
          <w:szCs w:val="24"/>
          <w:rtl/>
        </w:rPr>
        <w:t xml:space="preserve"> בחירת עבירות המקור נעשתה מתוך מדיניות של בלימת ארגוני פשיעה, מימון טרור ועניינים דומים, בשל חריפות הענישה הפלילית והסנקציות הכלכליות שלפי החוק.</w:t>
      </w:r>
    </w:p>
    <w:p w:rsidR="00EF7F81" w:rsidRPr="001B5E06" w:rsidRDefault="00EF7F81" w:rsidP="00C327EE">
      <w:pPr>
        <w:spacing w:after="0" w:line="360" w:lineRule="auto"/>
        <w:jc w:val="both"/>
        <w:rPr>
          <w:rFonts w:cs="David"/>
          <w:sz w:val="24"/>
          <w:szCs w:val="24"/>
          <w:rtl/>
        </w:rPr>
      </w:pPr>
      <w:r w:rsidRPr="001B5E06">
        <w:rPr>
          <w:rFonts w:cs="David" w:hint="cs"/>
          <w:i/>
          <w:iCs/>
          <w:sz w:val="24"/>
          <w:szCs w:val="24"/>
          <w:u w:val="single"/>
          <w:rtl/>
        </w:rPr>
        <w:t>"רכוש אסור"</w:t>
      </w:r>
      <w:r w:rsidRPr="001B5E06">
        <w:rPr>
          <w:rFonts w:cs="David" w:hint="cs"/>
          <w:sz w:val="24"/>
          <w:szCs w:val="24"/>
          <w:rtl/>
        </w:rPr>
        <w:t xml:space="preserve"> </w:t>
      </w:r>
      <w:r w:rsidRPr="001B5E06">
        <w:rPr>
          <w:rFonts w:cs="David"/>
          <w:sz w:val="24"/>
          <w:szCs w:val="24"/>
          <w:rtl/>
        </w:rPr>
        <w:t>–</w:t>
      </w:r>
      <w:r w:rsidRPr="001B5E06">
        <w:rPr>
          <w:rFonts w:cs="David" w:hint="cs"/>
          <w:sz w:val="24"/>
          <w:szCs w:val="24"/>
          <w:rtl/>
        </w:rPr>
        <w:t xml:space="preserve"> סעיף 3(א) לחוק קובע, כי כל אחד מסוגי הרכוש הבאים נחשב ל"רכוש אסור": </w:t>
      </w:r>
    </w:p>
    <w:p w:rsidR="00EF7F81" w:rsidRPr="001B5E06" w:rsidRDefault="00EF7F81" w:rsidP="00C327EE">
      <w:pPr>
        <w:pStyle w:val="a6"/>
        <w:numPr>
          <w:ilvl w:val="0"/>
          <w:numId w:val="1"/>
        </w:numPr>
        <w:spacing w:after="0" w:line="360" w:lineRule="auto"/>
        <w:jc w:val="both"/>
        <w:rPr>
          <w:rFonts w:cs="David"/>
          <w:sz w:val="24"/>
          <w:szCs w:val="24"/>
        </w:rPr>
      </w:pPr>
      <w:r w:rsidRPr="001B5E06">
        <w:rPr>
          <w:rFonts w:cs="David" w:hint="cs"/>
          <w:sz w:val="24"/>
          <w:szCs w:val="24"/>
          <w:rtl/>
        </w:rPr>
        <w:t xml:space="preserve">רכוש </w:t>
      </w:r>
      <w:r w:rsidRPr="001B5E06">
        <w:rPr>
          <w:rFonts w:cs="David" w:hint="cs"/>
          <w:sz w:val="24"/>
          <w:szCs w:val="24"/>
          <w:u w:val="single"/>
          <w:rtl/>
        </w:rPr>
        <w:t>שמקורו בעבירה</w:t>
      </w:r>
      <w:r w:rsidRPr="001B5E06">
        <w:rPr>
          <w:rFonts w:cs="David" w:hint="cs"/>
          <w:sz w:val="24"/>
          <w:szCs w:val="24"/>
          <w:rtl/>
        </w:rPr>
        <w:t xml:space="preserve"> (למשל, </w:t>
      </w:r>
      <w:r>
        <w:rPr>
          <w:rFonts w:cs="David" w:hint="cs"/>
          <w:sz w:val="24"/>
          <w:szCs w:val="24"/>
          <w:rtl/>
        </w:rPr>
        <w:t>כסף</w:t>
      </w:r>
      <w:r w:rsidRPr="001B5E06">
        <w:rPr>
          <w:rFonts w:cs="David" w:hint="cs"/>
          <w:sz w:val="24"/>
          <w:szCs w:val="24"/>
          <w:rtl/>
        </w:rPr>
        <w:t xml:space="preserve"> </w:t>
      </w:r>
      <w:r>
        <w:rPr>
          <w:rFonts w:cs="David" w:hint="cs"/>
          <w:sz w:val="24"/>
          <w:szCs w:val="24"/>
          <w:rtl/>
        </w:rPr>
        <w:t xml:space="preserve">שהתקבל </w:t>
      </w:r>
      <w:r w:rsidRPr="001B5E06">
        <w:rPr>
          <w:rFonts w:cs="David" w:hint="cs"/>
          <w:sz w:val="24"/>
          <w:szCs w:val="24"/>
          <w:rtl/>
        </w:rPr>
        <w:t xml:space="preserve">כתוצאה </w:t>
      </w:r>
      <w:r>
        <w:rPr>
          <w:rFonts w:cs="David" w:hint="cs"/>
          <w:sz w:val="24"/>
          <w:szCs w:val="24"/>
          <w:rtl/>
        </w:rPr>
        <w:t xml:space="preserve">ממכירת </w:t>
      </w:r>
      <w:r w:rsidRPr="001B5E06">
        <w:rPr>
          <w:rFonts w:cs="David" w:hint="cs"/>
          <w:sz w:val="24"/>
          <w:szCs w:val="24"/>
          <w:rtl/>
        </w:rPr>
        <w:t xml:space="preserve">סמים); </w:t>
      </w:r>
    </w:p>
    <w:p w:rsidR="00EF7F81" w:rsidRPr="001B5E06" w:rsidRDefault="00EF7F81" w:rsidP="00C327EE">
      <w:pPr>
        <w:pStyle w:val="a6"/>
        <w:numPr>
          <w:ilvl w:val="0"/>
          <w:numId w:val="1"/>
        </w:numPr>
        <w:spacing w:after="0" w:line="360" w:lineRule="auto"/>
        <w:jc w:val="both"/>
        <w:rPr>
          <w:rFonts w:cs="David"/>
          <w:sz w:val="24"/>
          <w:szCs w:val="24"/>
        </w:rPr>
      </w:pPr>
      <w:r w:rsidRPr="001B5E06">
        <w:rPr>
          <w:rFonts w:cs="David" w:hint="cs"/>
          <w:sz w:val="24"/>
          <w:szCs w:val="24"/>
          <w:rtl/>
        </w:rPr>
        <w:t xml:space="preserve">רכוש </w:t>
      </w:r>
      <w:r w:rsidRPr="001B5E06">
        <w:rPr>
          <w:rFonts w:cs="David" w:hint="cs"/>
          <w:sz w:val="24"/>
          <w:szCs w:val="24"/>
          <w:u w:val="single"/>
          <w:rtl/>
        </w:rPr>
        <w:t>ששימש לביצוע עבירה</w:t>
      </w:r>
      <w:r w:rsidRPr="001B5E06">
        <w:rPr>
          <w:rFonts w:cs="David" w:hint="cs"/>
          <w:sz w:val="24"/>
          <w:szCs w:val="24"/>
          <w:rtl/>
        </w:rPr>
        <w:t xml:space="preserve"> (למשל, מכונות ששימשו לזיוף כסף); </w:t>
      </w:r>
    </w:p>
    <w:p w:rsidR="00EF7F81" w:rsidRPr="001B5E06" w:rsidRDefault="00EF7F81" w:rsidP="00C327EE">
      <w:pPr>
        <w:pStyle w:val="a6"/>
        <w:numPr>
          <w:ilvl w:val="0"/>
          <w:numId w:val="1"/>
        </w:numPr>
        <w:spacing w:after="0" w:line="360" w:lineRule="auto"/>
        <w:jc w:val="both"/>
        <w:rPr>
          <w:rFonts w:cs="David"/>
          <w:sz w:val="24"/>
          <w:szCs w:val="24"/>
        </w:rPr>
      </w:pPr>
      <w:r w:rsidRPr="001B5E06">
        <w:rPr>
          <w:rFonts w:cs="David" w:hint="cs"/>
          <w:sz w:val="24"/>
          <w:szCs w:val="24"/>
          <w:rtl/>
        </w:rPr>
        <w:t xml:space="preserve">רכוש </w:t>
      </w:r>
      <w:r w:rsidRPr="001B5E06">
        <w:rPr>
          <w:rFonts w:cs="David" w:hint="cs"/>
          <w:sz w:val="24"/>
          <w:szCs w:val="24"/>
          <w:u w:val="single"/>
          <w:rtl/>
        </w:rPr>
        <w:t>שאיפשר את ביצוע עבירה</w:t>
      </w:r>
      <w:r w:rsidRPr="001B5E06">
        <w:rPr>
          <w:rFonts w:cs="David" w:hint="cs"/>
          <w:sz w:val="24"/>
          <w:szCs w:val="24"/>
          <w:rtl/>
        </w:rPr>
        <w:t xml:space="preserve"> (למשל, אקדח שהעבריין השתמש בו במסגרת שוד); </w:t>
      </w:r>
    </w:p>
    <w:p w:rsidR="00EF7F81" w:rsidRPr="001B5E06" w:rsidRDefault="00EF7F81" w:rsidP="00C327EE">
      <w:pPr>
        <w:pStyle w:val="a6"/>
        <w:numPr>
          <w:ilvl w:val="0"/>
          <w:numId w:val="1"/>
        </w:numPr>
        <w:spacing w:after="120" w:line="360" w:lineRule="auto"/>
        <w:jc w:val="both"/>
        <w:rPr>
          <w:rFonts w:cs="David"/>
          <w:sz w:val="24"/>
          <w:szCs w:val="24"/>
          <w:rtl/>
        </w:rPr>
      </w:pPr>
      <w:r w:rsidRPr="001B5E06">
        <w:rPr>
          <w:rFonts w:cs="David" w:hint="cs"/>
          <w:sz w:val="24"/>
          <w:szCs w:val="24"/>
          <w:rtl/>
        </w:rPr>
        <w:t xml:space="preserve">רכוש </w:t>
      </w:r>
      <w:r w:rsidRPr="001B5E06">
        <w:rPr>
          <w:rFonts w:cs="David" w:hint="cs"/>
          <w:sz w:val="24"/>
          <w:szCs w:val="24"/>
          <w:u w:val="single"/>
          <w:rtl/>
        </w:rPr>
        <w:t>שנעברה בו עבירה</w:t>
      </w:r>
      <w:r w:rsidRPr="001B5E06">
        <w:rPr>
          <w:rFonts w:cs="David" w:hint="cs"/>
          <w:sz w:val="24"/>
          <w:szCs w:val="24"/>
          <w:rtl/>
        </w:rPr>
        <w:t xml:space="preserve"> (למשל, מכונית שנגנבה).</w:t>
      </w:r>
    </w:p>
    <w:p w:rsidR="00EF7F81" w:rsidRDefault="00EF7F81" w:rsidP="00C327EE">
      <w:pPr>
        <w:spacing w:after="120" w:line="360" w:lineRule="auto"/>
        <w:jc w:val="both"/>
        <w:rPr>
          <w:rFonts w:cs="David"/>
          <w:sz w:val="24"/>
          <w:szCs w:val="24"/>
          <w:rtl/>
        </w:rPr>
      </w:pPr>
      <w:r w:rsidRPr="001B5E06">
        <w:rPr>
          <w:rFonts w:cs="David" w:hint="cs"/>
          <w:i/>
          <w:iCs/>
          <w:sz w:val="24"/>
          <w:szCs w:val="24"/>
          <w:u w:val="single"/>
          <w:rtl/>
        </w:rPr>
        <w:t>"פעולה ברכוש"</w:t>
      </w:r>
      <w:r w:rsidRPr="001B5E06">
        <w:rPr>
          <w:rFonts w:cs="David" w:hint="cs"/>
          <w:sz w:val="24"/>
          <w:szCs w:val="24"/>
          <w:rtl/>
        </w:rPr>
        <w:t xml:space="preserve"> </w:t>
      </w:r>
      <w:r w:rsidRPr="001B5E06">
        <w:rPr>
          <w:rFonts w:cs="David"/>
          <w:sz w:val="24"/>
          <w:szCs w:val="24"/>
          <w:rtl/>
        </w:rPr>
        <w:t>–</w:t>
      </w:r>
      <w:r w:rsidRPr="001B5E06">
        <w:rPr>
          <w:rFonts w:cs="David" w:hint="cs"/>
          <w:sz w:val="24"/>
          <w:szCs w:val="24"/>
          <w:rtl/>
        </w:rPr>
        <w:t xml:space="preserve"> כמעט כל פעילות פיזית (למשל, מסירה, קבלה, החזקה) או משפטית (למשל, הקנייה, המרה, פעולה בנקאית) שנעשית ברכוש נחשבת, לפי החוק, ל"פעולה ברכוש".</w:t>
      </w:r>
    </w:p>
    <w:p w:rsidR="00CE54BE" w:rsidRDefault="00CE54BE" w:rsidP="00C327EE">
      <w:pPr>
        <w:spacing w:after="120" w:line="360" w:lineRule="auto"/>
        <w:jc w:val="both"/>
        <w:rPr>
          <w:rFonts w:cs="David"/>
          <w:sz w:val="24"/>
          <w:szCs w:val="24"/>
          <w:rtl/>
        </w:rPr>
      </w:pPr>
    </w:p>
    <w:p w:rsidR="00CE54BE" w:rsidRDefault="00EF7F81" w:rsidP="00CE54BE">
      <w:pPr>
        <w:spacing w:after="120" w:line="240" w:lineRule="auto"/>
        <w:jc w:val="both"/>
        <w:rPr>
          <w:rFonts w:cs="David"/>
          <w:sz w:val="24"/>
          <w:szCs w:val="24"/>
          <w:rtl/>
        </w:rPr>
      </w:pPr>
      <w:r w:rsidRPr="001B5E06">
        <w:rPr>
          <w:rFonts w:cs="David" w:hint="cs"/>
          <w:b/>
          <w:bCs/>
          <w:sz w:val="24"/>
          <w:szCs w:val="24"/>
          <w:rtl/>
        </w:rPr>
        <w:t>2. העבירות הפליליות</w:t>
      </w:r>
      <w:r w:rsidRPr="001B5E06">
        <w:rPr>
          <w:rFonts w:cs="David" w:hint="cs"/>
          <w:sz w:val="24"/>
          <w:szCs w:val="24"/>
          <w:rtl/>
        </w:rPr>
        <w:t xml:space="preserve"> </w:t>
      </w:r>
    </w:p>
    <w:p w:rsidR="00EF7F81" w:rsidRPr="001B5E06" w:rsidRDefault="00EF7F81" w:rsidP="00CE54BE">
      <w:pPr>
        <w:spacing w:after="120" w:line="360" w:lineRule="auto"/>
        <w:jc w:val="both"/>
        <w:rPr>
          <w:rFonts w:cs="David"/>
          <w:sz w:val="24"/>
          <w:szCs w:val="24"/>
          <w:rtl/>
        </w:rPr>
      </w:pPr>
      <w:r w:rsidRPr="001B5E06">
        <w:rPr>
          <w:rFonts w:cs="David" w:hint="cs"/>
          <w:sz w:val="24"/>
          <w:szCs w:val="24"/>
          <w:rtl/>
        </w:rPr>
        <w:t>החוק קובע 3 עבירות פליליות בתחום הלבנת ההון:</w:t>
      </w:r>
    </w:p>
    <w:p w:rsidR="00EF7F81" w:rsidRPr="001B5E06" w:rsidRDefault="00EF7F81" w:rsidP="00C327EE">
      <w:pPr>
        <w:spacing w:after="120" w:line="360" w:lineRule="auto"/>
        <w:jc w:val="both"/>
        <w:rPr>
          <w:rFonts w:cs="David"/>
          <w:sz w:val="24"/>
          <w:szCs w:val="24"/>
          <w:rtl/>
        </w:rPr>
      </w:pPr>
      <w:r>
        <w:rPr>
          <w:rFonts w:cs="David" w:hint="cs"/>
          <w:i/>
          <w:iCs/>
          <w:sz w:val="24"/>
          <w:szCs w:val="24"/>
          <w:u w:val="single"/>
          <w:rtl/>
        </w:rPr>
        <w:lastRenderedPageBreak/>
        <w:t>(1)</w:t>
      </w:r>
      <w:r w:rsidRPr="001B5E06">
        <w:rPr>
          <w:rFonts w:cs="David" w:hint="cs"/>
          <w:i/>
          <w:iCs/>
          <w:sz w:val="24"/>
          <w:szCs w:val="24"/>
          <w:u w:val="single"/>
          <w:rtl/>
        </w:rPr>
        <w:t xml:space="preserve"> סעיף 3(א): עשיית פעולה ברכוש אסור במטרה להסתיר (10 שנות מאסר)</w:t>
      </w:r>
      <w:r w:rsidRPr="001B5E06">
        <w:rPr>
          <w:rFonts w:cs="David" w:hint="cs"/>
          <w:sz w:val="24"/>
          <w:szCs w:val="24"/>
          <w:rtl/>
        </w:rPr>
        <w:t xml:space="preserve"> </w:t>
      </w:r>
      <w:r w:rsidRPr="001B5E06">
        <w:rPr>
          <w:rFonts w:cs="David"/>
          <w:sz w:val="24"/>
          <w:szCs w:val="24"/>
          <w:rtl/>
        </w:rPr>
        <w:t>–</w:t>
      </w:r>
      <w:r w:rsidRPr="001B5E06">
        <w:rPr>
          <w:rFonts w:cs="David" w:hint="cs"/>
          <w:sz w:val="24"/>
          <w:szCs w:val="24"/>
          <w:rtl/>
        </w:rPr>
        <w:t xml:space="preserve"> הסעיף אוסר לבצע כל פעולה שמטרתה להסתיר או להסוות מידע הנוגע ל"רכוש אסור", ובכלל זה </w:t>
      </w:r>
      <w:r>
        <w:rPr>
          <w:rFonts w:cs="David" w:hint="cs"/>
          <w:sz w:val="24"/>
          <w:szCs w:val="24"/>
          <w:rtl/>
        </w:rPr>
        <w:t xml:space="preserve">להסתיר מידע אודות </w:t>
      </w:r>
      <w:r w:rsidRPr="001B5E06">
        <w:rPr>
          <w:rFonts w:cs="David" w:hint="cs"/>
          <w:sz w:val="24"/>
          <w:szCs w:val="24"/>
          <w:rtl/>
        </w:rPr>
        <w:t xml:space="preserve">מקורו של הרכוש, זהות בעל הזכויות בו, מיקומו וכו'. מדובר </w:t>
      </w:r>
      <w:r w:rsidRPr="008D0DD3">
        <w:rPr>
          <w:rFonts w:cs="David" w:hint="cs"/>
          <w:sz w:val="24"/>
          <w:szCs w:val="24"/>
          <w:rtl/>
        </w:rPr>
        <w:t xml:space="preserve">בעבירה עצמאית, ולכן מלבין </w:t>
      </w:r>
      <w:r w:rsidRPr="001B5E06">
        <w:rPr>
          <w:rFonts w:cs="David" w:hint="cs"/>
          <w:sz w:val="24"/>
          <w:szCs w:val="24"/>
          <w:rtl/>
        </w:rPr>
        <w:t>ההון אינו חייב להיות שותף לביצוע "עבירת המקור". כך, למשל, שימוש בכסף שהושג ממכירת סמים במסגרת פעילות של תאגיד</w:t>
      </w:r>
      <w:r>
        <w:rPr>
          <w:rFonts w:cs="David" w:hint="cs"/>
          <w:sz w:val="24"/>
          <w:szCs w:val="24"/>
          <w:rtl/>
        </w:rPr>
        <w:t>,</w:t>
      </w:r>
      <w:r w:rsidRPr="001B5E06">
        <w:rPr>
          <w:rFonts w:cs="David" w:hint="cs"/>
          <w:sz w:val="24"/>
          <w:szCs w:val="24"/>
          <w:rtl/>
        </w:rPr>
        <w:t xml:space="preserve"> </w:t>
      </w:r>
      <w:r>
        <w:rPr>
          <w:rFonts w:cs="David" w:hint="cs"/>
          <w:sz w:val="24"/>
          <w:szCs w:val="24"/>
          <w:rtl/>
        </w:rPr>
        <w:t xml:space="preserve">באופן שמטרתו היא </w:t>
      </w:r>
      <w:r w:rsidRPr="001B5E06">
        <w:rPr>
          <w:rFonts w:cs="David" w:hint="cs"/>
          <w:sz w:val="24"/>
          <w:szCs w:val="24"/>
          <w:rtl/>
        </w:rPr>
        <w:t xml:space="preserve">להסוות את העובדה שמקור הכסף הוא במכירת סמים, הוא עבירה על סעיף 3(א) לחוק, וזאת גם אם מי שהשתמש בכסף בפעילות התאגיד לא ביצע בעצמו את </w:t>
      </w:r>
      <w:r>
        <w:rPr>
          <w:rFonts w:cs="David" w:hint="cs"/>
          <w:sz w:val="24"/>
          <w:szCs w:val="24"/>
          <w:rtl/>
        </w:rPr>
        <w:t xml:space="preserve">העבירה של </w:t>
      </w:r>
      <w:r w:rsidRPr="001B5E06">
        <w:rPr>
          <w:rFonts w:cs="David" w:hint="cs"/>
          <w:sz w:val="24"/>
          <w:szCs w:val="24"/>
          <w:rtl/>
        </w:rPr>
        <w:t xml:space="preserve">מכירת הסמים. </w:t>
      </w:r>
    </w:p>
    <w:p w:rsidR="00EF7F81" w:rsidRPr="001B5E06" w:rsidRDefault="00EF7F81" w:rsidP="00C327EE">
      <w:pPr>
        <w:spacing w:after="120" w:line="360" w:lineRule="auto"/>
        <w:jc w:val="both"/>
        <w:rPr>
          <w:rFonts w:cs="David"/>
          <w:sz w:val="24"/>
          <w:szCs w:val="24"/>
          <w:rtl/>
        </w:rPr>
      </w:pPr>
      <w:r>
        <w:rPr>
          <w:rFonts w:cs="David" w:hint="cs"/>
          <w:i/>
          <w:iCs/>
          <w:sz w:val="24"/>
          <w:szCs w:val="24"/>
          <w:u w:val="single"/>
          <w:rtl/>
        </w:rPr>
        <w:t>(2)</w:t>
      </w:r>
      <w:r w:rsidRPr="001B5E06">
        <w:rPr>
          <w:rFonts w:cs="David" w:hint="cs"/>
          <w:i/>
          <w:iCs/>
          <w:sz w:val="24"/>
          <w:szCs w:val="24"/>
          <w:u w:val="single"/>
          <w:rtl/>
        </w:rPr>
        <w:t xml:space="preserve"> סעיף 3(ב): עשיית פעולה </w:t>
      </w:r>
      <w:r>
        <w:rPr>
          <w:rFonts w:cs="David" w:hint="cs"/>
          <w:i/>
          <w:iCs/>
          <w:sz w:val="24"/>
          <w:szCs w:val="24"/>
          <w:u w:val="single"/>
          <w:rtl/>
        </w:rPr>
        <w:t xml:space="preserve">ברכוש </w:t>
      </w:r>
      <w:r w:rsidRPr="001B5E06">
        <w:rPr>
          <w:rFonts w:cs="David" w:hint="cs"/>
          <w:i/>
          <w:iCs/>
          <w:sz w:val="24"/>
          <w:szCs w:val="24"/>
          <w:u w:val="single"/>
          <w:rtl/>
        </w:rPr>
        <w:t>במטרה שלא יהיה דיווח (10 שנות מאסר)</w:t>
      </w:r>
      <w:r w:rsidRPr="001B5E06">
        <w:rPr>
          <w:rFonts w:cs="David" w:hint="cs"/>
          <w:sz w:val="24"/>
          <w:szCs w:val="24"/>
          <w:rtl/>
        </w:rPr>
        <w:t xml:space="preserve"> </w:t>
      </w:r>
      <w:r w:rsidRPr="001B5E06">
        <w:rPr>
          <w:rFonts w:cs="David"/>
          <w:sz w:val="24"/>
          <w:szCs w:val="24"/>
          <w:rtl/>
        </w:rPr>
        <w:t>–</w:t>
      </w:r>
      <w:r w:rsidRPr="001B5E06">
        <w:rPr>
          <w:rFonts w:cs="David" w:hint="cs"/>
          <w:sz w:val="24"/>
          <w:szCs w:val="24"/>
          <w:rtl/>
        </w:rPr>
        <w:t xml:space="preserve"> </w:t>
      </w:r>
      <w:r>
        <w:rPr>
          <w:rFonts w:cs="David" w:hint="cs"/>
          <w:sz w:val="24"/>
          <w:szCs w:val="24"/>
          <w:rtl/>
        </w:rPr>
        <w:t>ה</w:t>
      </w:r>
      <w:r w:rsidRPr="001B5E06">
        <w:rPr>
          <w:rFonts w:cs="David" w:hint="cs"/>
          <w:sz w:val="24"/>
          <w:szCs w:val="24"/>
          <w:rtl/>
        </w:rPr>
        <w:t xml:space="preserve">חוק הקים מערך </w:t>
      </w:r>
      <w:r>
        <w:rPr>
          <w:rFonts w:cs="David" w:hint="cs"/>
          <w:sz w:val="24"/>
          <w:szCs w:val="24"/>
          <w:rtl/>
        </w:rPr>
        <w:t xml:space="preserve">של </w:t>
      </w:r>
      <w:r w:rsidRPr="001B5E06">
        <w:rPr>
          <w:rFonts w:cs="David" w:hint="cs"/>
          <w:sz w:val="24"/>
          <w:szCs w:val="24"/>
          <w:rtl/>
        </w:rPr>
        <w:t xml:space="preserve">זיהוי ודיווח, שבמסגרתו הוטל על גופים פיננסים שונים, חובה לדווח לרשות לאיסור הלבנת הון על פעולות </w:t>
      </w:r>
      <w:r>
        <w:rPr>
          <w:rFonts w:cs="David" w:hint="cs"/>
          <w:sz w:val="24"/>
          <w:szCs w:val="24"/>
          <w:rtl/>
        </w:rPr>
        <w:t>פיננסיות של לקוחותיהם</w:t>
      </w:r>
      <w:r w:rsidRPr="001B5E06">
        <w:rPr>
          <w:rFonts w:cs="David" w:hint="cs"/>
          <w:sz w:val="24"/>
          <w:szCs w:val="24"/>
          <w:rtl/>
        </w:rPr>
        <w:t>. סעיף 3(ב) לחוק עוסק בסיטואציה שבה אדם מבצע פעולה שמטרתה למנוע מ</w:t>
      </w:r>
      <w:r>
        <w:rPr>
          <w:rFonts w:cs="David" w:hint="cs"/>
          <w:sz w:val="24"/>
          <w:szCs w:val="24"/>
          <w:rtl/>
        </w:rPr>
        <w:t>ה</w:t>
      </w:r>
      <w:r w:rsidRPr="001B5E06">
        <w:rPr>
          <w:rFonts w:cs="David" w:hint="cs"/>
          <w:sz w:val="24"/>
          <w:szCs w:val="24"/>
          <w:rtl/>
        </w:rPr>
        <w:t>גוף פיננסי מלדווח לרשות לאיסור הלבנת הון</w:t>
      </w:r>
      <w:r w:rsidRPr="001B5E06">
        <w:rPr>
          <w:rStyle w:val="a3"/>
          <w:rFonts w:cs="David"/>
          <w:sz w:val="24"/>
          <w:szCs w:val="24"/>
          <w:rtl/>
        </w:rPr>
        <w:footnoteReference w:id="4"/>
      </w:r>
      <w:r w:rsidRPr="001B5E06">
        <w:rPr>
          <w:rFonts w:cs="David" w:hint="cs"/>
          <w:sz w:val="24"/>
          <w:szCs w:val="24"/>
          <w:rtl/>
        </w:rPr>
        <w:t xml:space="preserve">. כך, למשל, הפקדה בבנק של סכום של 500 אלף ₪ במספר הפקדות שקטנות מ-50 אלף ₪ (שהוא הסכום שבדרך כלל חלה לגביו חובת דיווח) כל אחת, כדי </w:t>
      </w:r>
      <w:r>
        <w:rPr>
          <w:rFonts w:cs="David" w:hint="cs"/>
          <w:sz w:val="24"/>
          <w:szCs w:val="24"/>
          <w:rtl/>
        </w:rPr>
        <w:t xml:space="preserve">לגרום לכך שהבנק לא ידווח לרשות לאיסור הלבנת הון </w:t>
      </w:r>
      <w:r w:rsidRPr="001B5E06">
        <w:rPr>
          <w:rFonts w:cs="David" w:hint="cs"/>
          <w:sz w:val="24"/>
          <w:szCs w:val="24"/>
          <w:rtl/>
        </w:rPr>
        <w:t xml:space="preserve">על ההפקדות, היא עבירה על סעיף 3(ב) לחוק. </w:t>
      </w:r>
    </w:p>
    <w:p w:rsidR="00EF7F81" w:rsidRPr="001B5E06" w:rsidRDefault="00EF7F81" w:rsidP="00C327EE">
      <w:pPr>
        <w:spacing w:after="0" w:line="360" w:lineRule="auto"/>
        <w:jc w:val="both"/>
        <w:rPr>
          <w:rFonts w:cs="David"/>
          <w:sz w:val="24"/>
          <w:szCs w:val="24"/>
          <w:rtl/>
        </w:rPr>
      </w:pPr>
      <w:r>
        <w:rPr>
          <w:rFonts w:cs="David" w:hint="cs"/>
          <w:i/>
          <w:iCs/>
          <w:sz w:val="24"/>
          <w:szCs w:val="24"/>
          <w:u w:val="single"/>
          <w:rtl/>
        </w:rPr>
        <w:t xml:space="preserve">(3) </w:t>
      </w:r>
      <w:r w:rsidRPr="001B5E06">
        <w:rPr>
          <w:rFonts w:cs="David" w:hint="cs"/>
          <w:i/>
          <w:iCs/>
          <w:sz w:val="24"/>
          <w:szCs w:val="24"/>
          <w:u w:val="single"/>
          <w:rtl/>
        </w:rPr>
        <w:t>סעיף 4: עשיית פעולה ברכוש אסור (7 שנות מאסר)</w:t>
      </w:r>
      <w:r w:rsidRPr="001B5E06">
        <w:rPr>
          <w:rFonts w:cs="David" w:hint="cs"/>
          <w:sz w:val="24"/>
          <w:szCs w:val="24"/>
          <w:rtl/>
        </w:rPr>
        <w:t xml:space="preserve"> </w:t>
      </w:r>
      <w:r w:rsidRPr="001B5E06">
        <w:rPr>
          <w:rFonts w:cs="David"/>
          <w:sz w:val="24"/>
          <w:szCs w:val="24"/>
          <w:rtl/>
        </w:rPr>
        <w:t>–</w:t>
      </w:r>
      <w:r w:rsidRPr="001B5E06">
        <w:rPr>
          <w:rFonts w:cs="David" w:hint="cs"/>
          <w:sz w:val="24"/>
          <w:szCs w:val="24"/>
          <w:rtl/>
        </w:rPr>
        <w:t xml:space="preserve"> סעיף 4 לחוק אוסר על ביצוע של פעולה ב"רכוש אסור" מתוך ידיעה שמדובר ברכוש אסור, וזאת בתנאי שהרכוש הוא מסוג ובשווי הרכוש שמפורט בתוספת השנייה לחוק</w:t>
      </w:r>
      <w:r w:rsidRPr="001B5E06">
        <w:rPr>
          <w:rStyle w:val="a3"/>
          <w:rFonts w:cs="David"/>
          <w:sz w:val="24"/>
          <w:szCs w:val="24"/>
          <w:rtl/>
        </w:rPr>
        <w:footnoteReference w:id="5"/>
      </w:r>
      <w:r w:rsidRPr="001B5E06">
        <w:rPr>
          <w:rFonts w:cs="David" w:hint="cs"/>
          <w:sz w:val="24"/>
          <w:szCs w:val="24"/>
          <w:rtl/>
        </w:rPr>
        <w:t>. עבירה זו נועדה להתמודד עם חוליות בשרשרת ההלבנה שפעולתם סייעה לנתק את הקשר שבין העבריין לבין ההון, בלא שהוכח שמבצעה פעל מתוך כוונה מיוחדת או מטרה של הסתרה כמו שנדרש בסעיף 3(א). למשל, מכירה של מכוניות גנובות ששווים המצטבר עולה על 150 אלף ₪, בידיעה שמדובר במכוניות גנובות, היא עבירה על סעיף 4 לחוק.</w:t>
      </w:r>
    </w:p>
    <w:p w:rsidR="00EF7F81" w:rsidRPr="001B5E06" w:rsidRDefault="00EF7F81" w:rsidP="00C327EE">
      <w:pPr>
        <w:spacing w:after="120" w:line="360" w:lineRule="auto"/>
        <w:jc w:val="both"/>
        <w:rPr>
          <w:rFonts w:cs="David"/>
          <w:sz w:val="24"/>
          <w:szCs w:val="24"/>
          <w:highlight w:val="yellow"/>
          <w:rtl/>
        </w:rPr>
      </w:pPr>
    </w:p>
    <w:p w:rsidR="00EF7F81" w:rsidRPr="00F50D9B" w:rsidRDefault="00EF7F81" w:rsidP="00C327EE">
      <w:pPr>
        <w:shd w:val="clear" w:color="auto" w:fill="A6A6A6" w:themeFill="background1" w:themeFillShade="A6"/>
        <w:spacing w:after="120" w:line="240" w:lineRule="auto"/>
        <w:jc w:val="center"/>
        <w:rPr>
          <w:rFonts w:cs="David"/>
          <w:b/>
          <w:bCs/>
          <w:sz w:val="28"/>
          <w:szCs w:val="28"/>
          <w:rtl/>
        </w:rPr>
      </w:pPr>
      <w:r>
        <w:rPr>
          <w:rFonts w:cs="David" w:hint="cs"/>
          <w:b/>
          <w:bCs/>
          <w:sz w:val="28"/>
          <w:szCs w:val="28"/>
          <w:rtl/>
        </w:rPr>
        <w:t xml:space="preserve">מאגר המידע ברשות לאיסור הלבנת הון </w:t>
      </w:r>
      <w:r>
        <w:rPr>
          <w:rFonts w:cs="David"/>
          <w:b/>
          <w:bCs/>
          <w:sz w:val="28"/>
          <w:szCs w:val="28"/>
          <w:rtl/>
        </w:rPr>
        <w:t>–</w:t>
      </w:r>
      <w:r>
        <w:rPr>
          <w:rFonts w:cs="David" w:hint="cs"/>
          <w:b/>
          <w:bCs/>
          <w:sz w:val="28"/>
          <w:szCs w:val="28"/>
          <w:rtl/>
        </w:rPr>
        <w:t xml:space="preserve"> רקע </w:t>
      </w:r>
    </w:p>
    <w:p w:rsidR="00EF7F81" w:rsidRDefault="00EF7F81" w:rsidP="00C327EE">
      <w:pPr>
        <w:spacing w:after="120" w:line="360" w:lineRule="auto"/>
        <w:jc w:val="both"/>
        <w:rPr>
          <w:rFonts w:cs="David"/>
          <w:sz w:val="24"/>
          <w:szCs w:val="24"/>
          <w:rtl/>
        </w:rPr>
      </w:pPr>
      <w:r>
        <w:rPr>
          <w:rFonts w:cs="David" w:hint="cs"/>
          <w:sz w:val="24"/>
          <w:szCs w:val="24"/>
          <w:rtl/>
        </w:rPr>
        <w:t xml:space="preserve">כפי שצוין לעיל, </w:t>
      </w:r>
      <w:r w:rsidRPr="00353405">
        <w:rPr>
          <w:rFonts w:cs="David" w:hint="cs"/>
          <w:sz w:val="24"/>
          <w:szCs w:val="24"/>
          <w:rtl/>
        </w:rPr>
        <w:t xml:space="preserve">אחד מההסדרים המרכזיים </w:t>
      </w:r>
      <w:r>
        <w:rPr>
          <w:rFonts w:cs="David" w:hint="cs"/>
          <w:sz w:val="24"/>
          <w:szCs w:val="24"/>
          <w:rtl/>
        </w:rPr>
        <w:t>שנקבעו ב</w:t>
      </w:r>
      <w:r w:rsidRPr="00353405">
        <w:rPr>
          <w:rFonts w:cs="David" w:hint="cs"/>
          <w:sz w:val="24"/>
          <w:szCs w:val="24"/>
          <w:rtl/>
        </w:rPr>
        <w:t>חוק, נוגע לחובות החלות מכוח החוק על גופים בסקטור הפיננסי</w:t>
      </w:r>
      <w:r>
        <w:rPr>
          <w:rStyle w:val="a3"/>
          <w:rFonts w:cs="David"/>
          <w:sz w:val="24"/>
          <w:szCs w:val="24"/>
          <w:rtl/>
        </w:rPr>
        <w:footnoteReference w:id="6"/>
      </w:r>
      <w:r w:rsidRPr="00353405">
        <w:rPr>
          <w:rFonts w:cs="David" w:hint="cs"/>
          <w:sz w:val="24"/>
          <w:szCs w:val="24"/>
          <w:rtl/>
        </w:rPr>
        <w:t xml:space="preserve"> </w:t>
      </w:r>
      <w:r>
        <w:rPr>
          <w:rFonts w:cs="David" w:hint="cs"/>
          <w:sz w:val="24"/>
          <w:szCs w:val="24"/>
          <w:rtl/>
        </w:rPr>
        <w:t>לדווח</w:t>
      </w:r>
      <w:r w:rsidRPr="00353405">
        <w:rPr>
          <w:rFonts w:cs="David" w:hint="cs"/>
          <w:sz w:val="24"/>
          <w:szCs w:val="24"/>
          <w:rtl/>
        </w:rPr>
        <w:t xml:space="preserve"> לרשות לאיסור הלבנת הון על </w:t>
      </w:r>
      <w:r>
        <w:rPr>
          <w:rFonts w:cs="David" w:hint="cs"/>
          <w:sz w:val="24"/>
          <w:szCs w:val="24"/>
          <w:rtl/>
        </w:rPr>
        <w:t>ה</w:t>
      </w:r>
      <w:r w:rsidRPr="00353405">
        <w:rPr>
          <w:rFonts w:cs="David" w:hint="cs"/>
          <w:sz w:val="24"/>
          <w:szCs w:val="24"/>
          <w:rtl/>
        </w:rPr>
        <w:t xml:space="preserve">פעולות </w:t>
      </w:r>
      <w:r>
        <w:rPr>
          <w:rFonts w:cs="David" w:hint="cs"/>
          <w:sz w:val="24"/>
          <w:szCs w:val="24"/>
          <w:rtl/>
        </w:rPr>
        <w:t>ה</w:t>
      </w:r>
      <w:r w:rsidRPr="00353405">
        <w:rPr>
          <w:rFonts w:cs="David" w:hint="cs"/>
          <w:sz w:val="24"/>
          <w:szCs w:val="24"/>
          <w:rtl/>
        </w:rPr>
        <w:t>פיננסיות של לקוחותיהם. גוף פיננסי שאינו עומד בחובות המוטלות עליו, צפוי להטלת עיצום כספי.</w:t>
      </w:r>
      <w:r>
        <w:rPr>
          <w:rFonts w:cs="David" w:hint="cs"/>
          <w:sz w:val="24"/>
          <w:szCs w:val="24"/>
          <w:rtl/>
        </w:rPr>
        <w:t xml:space="preserve"> </w:t>
      </w:r>
    </w:p>
    <w:p w:rsidR="00EF7F81" w:rsidRDefault="00EF7F81" w:rsidP="00C327EE">
      <w:pPr>
        <w:spacing w:after="120" w:line="360" w:lineRule="auto"/>
        <w:jc w:val="both"/>
        <w:rPr>
          <w:rFonts w:cs="David"/>
          <w:sz w:val="24"/>
          <w:szCs w:val="24"/>
          <w:rtl/>
        </w:rPr>
      </w:pPr>
      <w:r w:rsidRPr="00353405">
        <w:rPr>
          <w:rFonts w:cs="David" w:hint="cs"/>
          <w:sz w:val="24"/>
          <w:szCs w:val="24"/>
          <w:rtl/>
        </w:rPr>
        <w:t>להלן סקירה תמציתית על החובות המרכזיים החלים על הגופים האמורים:</w:t>
      </w:r>
    </w:p>
    <w:p w:rsidR="00CE54BE" w:rsidRDefault="00CE54BE" w:rsidP="00C327EE">
      <w:pPr>
        <w:spacing w:after="120" w:line="360" w:lineRule="auto"/>
        <w:jc w:val="both"/>
        <w:rPr>
          <w:rFonts w:cs="David"/>
          <w:sz w:val="24"/>
          <w:szCs w:val="24"/>
          <w:rtl/>
        </w:rPr>
      </w:pPr>
    </w:p>
    <w:p w:rsidR="00CE54BE" w:rsidRDefault="00EF7F81" w:rsidP="00CE54BE">
      <w:pPr>
        <w:shd w:val="clear" w:color="auto" w:fill="D9D9D9" w:themeFill="background1" w:themeFillShade="D9"/>
        <w:spacing w:after="120" w:line="360" w:lineRule="auto"/>
        <w:jc w:val="center"/>
        <w:rPr>
          <w:rFonts w:cs="David"/>
          <w:sz w:val="24"/>
          <w:szCs w:val="24"/>
          <w:rtl/>
        </w:rPr>
      </w:pPr>
      <w:r w:rsidRPr="00353405">
        <w:rPr>
          <w:rFonts w:cs="David" w:hint="cs"/>
          <w:b/>
          <w:bCs/>
          <w:sz w:val="24"/>
          <w:szCs w:val="24"/>
          <w:rtl/>
        </w:rPr>
        <w:t>חובות זיהוי, רישום פרטים ושמירת מסמכים</w:t>
      </w:r>
    </w:p>
    <w:p w:rsidR="00EF7F81" w:rsidRDefault="00EF7F81" w:rsidP="00CE54BE">
      <w:pPr>
        <w:spacing w:after="120" w:line="360" w:lineRule="auto"/>
        <w:jc w:val="both"/>
        <w:rPr>
          <w:rFonts w:cs="David"/>
          <w:sz w:val="24"/>
          <w:szCs w:val="24"/>
          <w:rtl/>
        </w:rPr>
      </w:pPr>
      <w:r w:rsidRPr="00353405">
        <w:rPr>
          <w:rFonts w:cs="David" w:hint="cs"/>
          <w:sz w:val="24"/>
          <w:szCs w:val="24"/>
          <w:rtl/>
        </w:rPr>
        <w:t xml:space="preserve">כל אחד מהגופים הפיננסיים נדרש </w:t>
      </w:r>
      <w:r w:rsidRPr="00353405">
        <w:rPr>
          <w:rFonts w:cs="David" w:hint="cs"/>
          <w:sz w:val="24"/>
          <w:szCs w:val="24"/>
          <w:u w:val="single"/>
          <w:rtl/>
        </w:rPr>
        <w:t>לזהות את הלקוח</w:t>
      </w:r>
      <w:r w:rsidRPr="00353405">
        <w:rPr>
          <w:rFonts w:cs="David" w:hint="cs"/>
          <w:sz w:val="24"/>
          <w:szCs w:val="24"/>
          <w:rtl/>
        </w:rPr>
        <w:t xml:space="preserve"> פנים אל פנים ו</w:t>
      </w:r>
      <w:r w:rsidRPr="00353405">
        <w:rPr>
          <w:rFonts w:cs="David" w:hint="cs"/>
          <w:sz w:val="24"/>
          <w:szCs w:val="24"/>
          <w:u w:val="single"/>
          <w:rtl/>
        </w:rPr>
        <w:t>לרשום את פרטי הזיהוי</w:t>
      </w:r>
      <w:r w:rsidRPr="00353405">
        <w:rPr>
          <w:rFonts w:cs="David" w:hint="cs"/>
          <w:sz w:val="24"/>
          <w:szCs w:val="24"/>
          <w:rtl/>
        </w:rPr>
        <w:t xml:space="preserve"> שלו (שם, מספר זהות, תאריך לידה ומען) על פי תעודת זהות, ואם הלקוח הוא תאגיד על פי מסמכי התאגיד. הגוף הפיננסי נדרש </w:t>
      </w:r>
      <w:r w:rsidRPr="00353405">
        <w:rPr>
          <w:rFonts w:cs="David" w:hint="cs"/>
          <w:sz w:val="24"/>
          <w:szCs w:val="24"/>
          <w:u w:val="single"/>
          <w:rtl/>
        </w:rPr>
        <w:t>לאמת את הזיהוי</w:t>
      </w:r>
      <w:r w:rsidRPr="00353405">
        <w:rPr>
          <w:rFonts w:cs="David" w:hint="cs"/>
          <w:sz w:val="24"/>
          <w:szCs w:val="24"/>
          <w:rtl/>
        </w:rPr>
        <w:t xml:space="preserve"> שביצע, תוך הצלבה עם מקורות מידע נוספים (בדיקה מול מרשם האוכלוסין, שימוש במסמכים נוספים שיש בהם תמונה ומספר זהות וכו'). נוסף על כך, נדרש הגוף הפיננסי </w:t>
      </w:r>
      <w:r w:rsidRPr="00353405">
        <w:rPr>
          <w:rFonts w:cs="David" w:hint="cs"/>
          <w:sz w:val="24"/>
          <w:szCs w:val="24"/>
          <w:u w:val="single"/>
          <w:rtl/>
        </w:rPr>
        <w:t>לשמור את המסמכים</w:t>
      </w:r>
      <w:r w:rsidRPr="00353405">
        <w:rPr>
          <w:rFonts w:cs="David" w:hint="cs"/>
          <w:sz w:val="24"/>
          <w:szCs w:val="24"/>
          <w:rtl/>
        </w:rPr>
        <w:t xml:space="preserve"> השונים המתעדים את זיהויו של הלקוח. במסגרת הליך </w:t>
      </w:r>
      <w:r w:rsidRPr="00353405">
        <w:rPr>
          <w:rFonts w:cs="David" w:hint="cs"/>
          <w:sz w:val="24"/>
          <w:szCs w:val="24"/>
          <w:rtl/>
        </w:rPr>
        <w:lastRenderedPageBreak/>
        <w:t xml:space="preserve">הזיהוי, נדרש הלקוח להצהיר האם </w:t>
      </w:r>
      <w:r>
        <w:rPr>
          <w:rFonts w:cs="David" w:hint="cs"/>
          <w:sz w:val="24"/>
          <w:szCs w:val="24"/>
          <w:rtl/>
        </w:rPr>
        <w:t>החשבון י</w:t>
      </w:r>
      <w:r w:rsidRPr="00353405">
        <w:rPr>
          <w:rFonts w:cs="David" w:hint="cs"/>
          <w:sz w:val="24"/>
          <w:szCs w:val="24"/>
          <w:rtl/>
        </w:rPr>
        <w:t>נ</w:t>
      </w:r>
      <w:r>
        <w:rPr>
          <w:rFonts w:cs="David" w:hint="cs"/>
          <w:sz w:val="24"/>
          <w:szCs w:val="24"/>
          <w:rtl/>
        </w:rPr>
        <w:t>ו</w:t>
      </w:r>
      <w:r w:rsidRPr="00353405">
        <w:rPr>
          <w:rFonts w:cs="David" w:hint="cs"/>
          <w:sz w:val="24"/>
          <w:szCs w:val="24"/>
          <w:rtl/>
        </w:rPr>
        <w:t xml:space="preserve">הל בעבור עצמו או בעבור אדם אחר (=נהנה), ולמסור את פרטיו של </w:t>
      </w:r>
      <w:r>
        <w:rPr>
          <w:rFonts w:cs="David" w:hint="cs"/>
          <w:sz w:val="24"/>
          <w:szCs w:val="24"/>
          <w:rtl/>
        </w:rPr>
        <w:t>הנהנה</w:t>
      </w:r>
      <w:r w:rsidRPr="00353405">
        <w:rPr>
          <w:rFonts w:cs="David" w:hint="cs"/>
          <w:sz w:val="24"/>
          <w:szCs w:val="24"/>
          <w:rtl/>
        </w:rPr>
        <w:t xml:space="preserve">, אם ישנו. אם הלקוח הוא תאגיד הוא נדרש למסור את פרטי הזיהוי של בעלי השליטה בתאגיד. כמו כן, נדרש הגוף הפיננסי, בעת פתיחת החשבון, לבצע </w:t>
      </w:r>
      <w:r w:rsidRPr="00353405">
        <w:rPr>
          <w:rFonts w:cs="David" w:hint="cs"/>
          <w:sz w:val="24"/>
          <w:szCs w:val="24"/>
          <w:u w:val="single"/>
          <w:rtl/>
        </w:rPr>
        <w:t>הליך של "הכרת הלקוח"</w:t>
      </w:r>
      <w:r w:rsidRPr="00353405">
        <w:rPr>
          <w:rFonts w:cs="David" w:hint="cs"/>
          <w:sz w:val="24"/>
          <w:szCs w:val="24"/>
          <w:rtl/>
        </w:rPr>
        <w:t xml:space="preserve">, שבמסגרתו הוא נדרש לברר מה מקור הכספים שאמורים להיות מופקדים בחשבון, מה עיסוקו של הלקוח, מה מטרת פתיחת החשבון והפעילות המתוכננת בו, אם מדובר על עסק </w:t>
      </w:r>
      <w:r w:rsidRPr="00353405">
        <w:rPr>
          <w:rFonts w:cs="David"/>
          <w:sz w:val="24"/>
          <w:szCs w:val="24"/>
          <w:rtl/>
        </w:rPr>
        <w:t>–</w:t>
      </w:r>
      <w:r w:rsidRPr="00353405">
        <w:rPr>
          <w:rFonts w:cs="David" w:hint="cs"/>
          <w:sz w:val="24"/>
          <w:szCs w:val="24"/>
          <w:rtl/>
        </w:rPr>
        <w:t xml:space="preserve"> מה סוג העסק, ואם מדובר על איש ציבור זר </w:t>
      </w:r>
      <w:r w:rsidRPr="00353405">
        <w:rPr>
          <w:rFonts w:cs="David"/>
          <w:sz w:val="24"/>
          <w:szCs w:val="24"/>
          <w:rtl/>
        </w:rPr>
        <w:t>–</w:t>
      </w:r>
      <w:r w:rsidRPr="00353405">
        <w:rPr>
          <w:rFonts w:cs="David" w:hint="cs"/>
          <w:sz w:val="24"/>
          <w:szCs w:val="24"/>
          <w:rtl/>
        </w:rPr>
        <w:t xml:space="preserve"> מה זיקתו לישראל. </w:t>
      </w:r>
    </w:p>
    <w:p w:rsidR="00CE54BE" w:rsidRPr="00353405" w:rsidRDefault="00CE54BE" w:rsidP="00CE54BE">
      <w:pPr>
        <w:spacing w:after="120" w:line="360" w:lineRule="auto"/>
        <w:jc w:val="both"/>
        <w:rPr>
          <w:rFonts w:cs="David"/>
          <w:sz w:val="24"/>
          <w:szCs w:val="24"/>
          <w:rtl/>
        </w:rPr>
      </w:pPr>
    </w:p>
    <w:p w:rsidR="00CE54BE" w:rsidRDefault="00EF7F81" w:rsidP="00CE54BE">
      <w:pPr>
        <w:shd w:val="clear" w:color="auto" w:fill="D9D9D9" w:themeFill="background1" w:themeFillShade="D9"/>
        <w:spacing w:after="0" w:line="360" w:lineRule="auto"/>
        <w:jc w:val="center"/>
        <w:rPr>
          <w:rFonts w:cs="David"/>
          <w:sz w:val="24"/>
          <w:szCs w:val="24"/>
          <w:rtl/>
        </w:rPr>
      </w:pPr>
      <w:r w:rsidRPr="00353405">
        <w:rPr>
          <w:rFonts w:cs="David" w:hint="cs"/>
          <w:b/>
          <w:bCs/>
          <w:sz w:val="24"/>
          <w:szCs w:val="24"/>
          <w:rtl/>
        </w:rPr>
        <w:t>חובות דיווח לרשות לאיסור הלבנת הון</w:t>
      </w:r>
    </w:p>
    <w:p w:rsidR="00EF7F81" w:rsidRPr="00353405" w:rsidRDefault="00EF7F81" w:rsidP="00CE54BE">
      <w:pPr>
        <w:spacing w:after="0" w:line="360" w:lineRule="auto"/>
        <w:jc w:val="both"/>
        <w:rPr>
          <w:rFonts w:cs="David"/>
          <w:sz w:val="24"/>
          <w:szCs w:val="24"/>
          <w:rtl/>
        </w:rPr>
      </w:pPr>
      <w:r w:rsidRPr="00353405">
        <w:rPr>
          <w:rFonts w:cs="David" w:hint="cs"/>
          <w:sz w:val="24"/>
          <w:szCs w:val="24"/>
          <w:rtl/>
        </w:rPr>
        <w:t>כל אחד מהגופים הפיננסיים האמורים</w:t>
      </w:r>
      <w:r>
        <w:rPr>
          <w:rFonts w:cs="David" w:hint="cs"/>
          <w:sz w:val="24"/>
          <w:szCs w:val="24"/>
          <w:rtl/>
        </w:rPr>
        <w:t>,</w:t>
      </w:r>
      <w:r w:rsidRPr="00353405">
        <w:rPr>
          <w:rFonts w:cs="David" w:hint="cs"/>
          <w:sz w:val="24"/>
          <w:szCs w:val="24"/>
          <w:rtl/>
        </w:rPr>
        <w:t xml:space="preserve"> מחויב לדווח לרשות לאיסור הלבנת הון שני סוגי דיווחים:</w:t>
      </w:r>
    </w:p>
    <w:p w:rsidR="00EF7F81" w:rsidRPr="00353405" w:rsidRDefault="00EF7F81" w:rsidP="00C327EE">
      <w:pPr>
        <w:pStyle w:val="a6"/>
        <w:numPr>
          <w:ilvl w:val="0"/>
          <w:numId w:val="2"/>
        </w:numPr>
        <w:spacing w:after="0" w:line="360" w:lineRule="auto"/>
        <w:jc w:val="both"/>
        <w:rPr>
          <w:rFonts w:cs="David"/>
          <w:sz w:val="24"/>
          <w:szCs w:val="24"/>
        </w:rPr>
      </w:pPr>
      <w:r w:rsidRPr="00353405">
        <w:rPr>
          <w:rFonts w:cs="David" w:hint="cs"/>
          <w:sz w:val="24"/>
          <w:szCs w:val="24"/>
          <w:u w:val="single"/>
          <w:rtl/>
        </w:rPr>
        <w:t>דיווח על פעולות רגילות</w:t>
      </w:r>
      <w:r w:rsidRPr="00353405">
        <w:rPr>
          <w:rFonts w:cs="David" w:hint="cs"/>
          <w:sz w:val="24"/>
          <w:szCs w:val="24"/>
          <w:rtl/>
        </w:rPr>
        <w:t xml:space="preserve"> </w:t>
      </w:r>
      <w:r w:rsidRPr="00353405">
        <w:rPr>
          <w:rFonts w:cs="David"/>
          <w:sz w:val="24"/>
          <w:szCs w:val="24"/>
          <w:rtl/>
        </w:rPr>
        <w:t>–</w:t>
      </w:r>
      <w:r w:rsidRPr="00353405">
        <w:rPr>
          <w:rFonts w:cs="David" w:hint="cs"/>
          <w:sz w:val="24"/>
          <w:szCs w:val="24"/>
          <w:rtl/>
        </w:rPr>
        <w:t xml:space="preserve"> המוגדרות לפי סוג הפעולה וסכומה, ללא שיקול דעת מצד הגוף המדווח. כך, בדרך כלל נדרש הגוף הפיננסי לדווח לרשות על פעולות שמבצע הלקוח בסכום העולה על 50,000 ₪</w:t>
      </w:r>
      <w:r>
        <w:rPr>
          <w:rFonts w:cs="David" w:hint="cs"/>
          <w:sz w:val="24"/>
          <w:szCs w:val="24"/>
          <w:rtl/>
        </w:rPr>
        <w:t>.</w:t>
      </w:r>
      <w:r w:rsidRPr="00353405">
        <w:rPr>
          <w:rFonts w:cs="David" w:hint="cs"/>
          <w:sz w:val="24"/>
          <w:szCs w:val="24"/>
          <w:rtl/>
        </w:rPr>
        <w:t xml:space="preserve"> </w:t>
      </w:r>
      <w:r>
        <w:rPr>
          <w:rFonts w:cs="David" w:hint="cs"/>
          <w:sz w:val="24"/>
          <w:szCs w:val="24"/>
          <w:rtl/>
        </w:rPr>
        <w:t xml:space="preserve">כך, </w:t>
      </w:r>
      <w:r w:rsidRPr="00353405">
        <w:rPr>
          <w:rFonts w:cs="David" w:hint="cs"/>
          <w:sz w:val="24"/>
          <w:szCs w:val="24"/>
          <w:rtl/>
        </w:rPr>
        <w:t xml:space="preserve">למשל, </w:t>
      </w:r>
      <w:r>
        <w:rPr>
          <w:rFonts w:cs="David" w:hint="cs"/>
          <w:sz w:val="24"/>
          <w:szCs w:val="24"/>
          <w:rtl/>
        </w:rPr>
        <w:t xml:space="preserve">על </w:t>
      </w:r>
      <w:r w:rsidRPr="00353405">
        <w:rPr>
          <w:rFonts w:cs="David" w:hint="cs"/>
          <w:sz w:val="24"/>
          <w:szCs w:val="24"/>
          <w:rtl/>
        </w:rPr>
        <w:t>כל הפקדה של סכום העולה על 50 אלף ₪</w:t>
      </w:r>
      <w:r>
        <w:rPr>
          <w:rFonts w:cs="David" w:hint="cs"/>
          <w:sz w:val="24"/>
          <w:szCs w:val="24"/>
          <w:rtl/>
        </w:rPr>
        <w:t xml:space="preserve"> בחשבון הבנק</w:t>
      </w:r>
      <w:r w:rsidRPr="00353405">
        <w:rPr>
          <w:rFonts w:cs="David" w:hint="cs"/>
          <w:sz w:val="24"/>
          <w:szCs w:val="24"/>
          <w:rtl/>
        </w:rPr>
        <w:t>, הבנק מחויב לדווח לרשות</w:t>
      </w:r>
      <w:r>
        <w:rPr>
          <w:rFonts w:cs="David" w:hint="cs"/>
          <w:sz w:val="24"/>
          <w:szCs w:val="24"/>
          <w:rtl/>
        </w:rPr>
        <w:t>,</w:t>
      </w:r>
      <w:r w:rsidRPr="00353405">
        <w:rPr>
          <w:rFonts w:cs="David" w:hint="cs"/>
          <w:sz w:val="24"/>
          <w:szCs w:val="24"/>
          <w:rtl/>
        </w:rPr>
        <w:t xml:space="preserve"> ללא שיקול דעת. אם הפעולות נעשות אל מול אחת מהמדינות שמוגדרות כמדינות בעלות סיכון גבוה (מדינות כמו, איראן, לוב, פקיסטאן וכו'), </w:t>
      </w:r>
      <w:r>
        <w:rPr>
          <w:rFonts w:cs="David" w:hint="cs"/>
          <w:sz w:val="24"/>
          <w:szCs w:val="24"/>
          <w:rtl/>
        </w:rPr>
        <w:t xml:space="preserve">חובת הדיווח היא על פעולות </w:t>
      </w:r>
      <w:r w:rsidRPr="00353405">
        <w:rPr>
          <w:rFonts w:cs="David" w:hint="cs"/>
          <w:sz w:val="24"/>
          <w:szCs w:val="24"/>
          <w:rtl/>
        </w:rPr>
        <w:t xml:space="preserve">בסכום העולה על 5,000 ₪. </w:t>
      </w:r>
    </w:p>
    <w:p w:rsidR="00EF7F81" w:rsidRPr="00353405" w:rsidRDefault="00EF7F81" w:rsidP="00C327EE">
      <w:pPr>
        <w:pStyle w:val="a6"/>
        <w:numPr>
          <w:ilvl w:val="0"/>
          <w:numId w:val="2"/>
        </w:numPr>
        <w:spacing w:after="120" w:line="360" w:lineRule="auto"/>
        <w:jc w:val="both"/>
        <w:rPr>
          <w:rFonts w:cs="David"/>
          <w:sz w:val="24"/>
          <w:szCs w:val="24"/>
          <w:rtl/>
        </w:rPr>
      </w:pPr>
      <w:r w:rsidRPr="00353405">
        <w:rPr>
          <w:rFonts w:cs="David" w:hint="cs"/>
          <w:sz w:val="24"/>
          <w:szCs w:val="24"/>
          <w:u w:val="single"/>
          <w:rtl/>
        </w:rPr>
        <w:t>דיווח על פעולות בלתי רגילות</w:t>
      </w:r>
      <w:r w:rsidRPr="00353405">
        <w:rPr>
          <w:rFonts w:cs="David" w:hint="cs"/>
          <w:sz w:val="24"/>
          <w:szCs w:val="24"/>
          <w:rtl/>
        </w:rPr>
        <w:t xml:space="preserve"> </w:t>
      </w:r>
      <w:r w:rsidRPr="00353405">
        <w:rPr>
          <w:rFonts w:cs="David"/>
          <w:sz w:val="24"/>
          <w:szCs w:val="24"/>
          <w:rtl/>
        </w:rPr>
        <w:t>–</w:t>
      </w:r>
      <w:r w:rsidRPr="00353405">
        <w:rPr>
          <w:rFonts w:cs="David" w:hint="cs"/>
          <w:sz w:val="24"/>
          <w:szCs w:val="24"/>
          <w:rtl/>
        </w:rPr>
        <w:t>כל אחד מהגופים הפיננסיים נדרש לדווח לרשות על פעולות שנחזות בעיניו כ"בלתי רגילות", וזאת בהתאם לשיקול דעתו של הגוף המדווח ובהתבסס על היכרותו עם הלקוח ודפוסי התנהגותו.</w:t>
      </w:r>
      <w:r>
        <w:rPr>
          <w:rFonts w:cs="David" w:hint="cs"/>
          <w:sz w:val="24"/>
          <w:szCs w:val="24"/>
          <w:rtl/>
        </w:rPr>
        <w:t xml:space="preserve"> </w:t>
      </w:r>
      <w:r w:rsidRPr="00353405">
        <w:rPr>
          <w:rFonts w:cs="David" w:hint="cs"/>
          <w:sz w:val="24"/>
          <w:szCs w:val="24"/>
          <w:rtl/>
        </w:rPr>
        <w:t>הצווים שחלים על כל אחד מהגופים הפיננסיים, כוללים רשימה לא סגורה של תסמינים של פעילות פיננסית בלתי רגילה, למשל: פעילות שנראה שמטרתה לעקוף את חובת הדיווח; פעולה שנראית חסרת היגיון כלכלי או עסקי, בהתאם לסוג החשבון; הפקדה ומשיכה מיידית של כספים או ניירות ערך בחשבון ללא סיבה הנראית לעין; היקף פעילות יוצא דופן או לא אופייני לבעל החשבון וכו'. לדוגמא, בנק הרואה כי אדם מפקיד 10 הפקדות של 49 אלף ₪ כ"א באופן שמנסה לעקוף את חובת הדיווח, או שהוא מזהה חשבון עו"ש רגיל שבפרק זמן של יומיים-שלושה מופקדים בו ונמשכים ממנו סכומי כסף גדולים בהיקפים שאינם רגילים לחשבון, נדרש לדווח על כך לרשות לאיסור הלבנת הון.</w:t>
      </w:r>
    </w:p>
    <w:p w:rsidR="00EF7F81" w:rsidRDefault="00EF7F81" w:rsidP="00C327EE">
      <w:pPr>
        <w:spacing w:after="120" w:line="360" w:lineRule="auto"/>
        <w:jc w:val="both"/>
        <w:rPr>
          <w:rFonts w:cs="David"/>
          <w:sz w:val="24"/>
          <w:szCs w:val="24"/>
          <w:rtl/>
        </w:rPr>
      </w:pPr>
      <w:r w:rsidRPr="005B5CBC">
        <w:rPr>
          <w:rFonts w:cs="David" w:hint="cs"/>
          <w:sz w:val="24"/>
          <w:szCs w:val="24"/>
          <w:rtl/>
        </w:rPr>
        <w:t xml:space="preserve">ביחס לחובות אלה יש להדגיש </w:t>
      </w:r>
      <w:r>
        <w:rPr>
          <w:rFonts w:cs="David" w:hint="cs"/>
          <w:sz w:val="24"/>
          <w:szCs w:val="24"/>
          <w:rtl/>
        </w:rPr>
        <w:t>ש</w:t>
      </w:r>
      <w:r w:rsidRPr="005B5CBC">
        <w:rPr>
          <w:rFonts w:cs="David" w:hint="cs"/>
          <w:sz w:val="24"/>
          <w:szCs w:val="24"/>
          <w:rtl/>
        </w:rPr>
        <w:t xml:space="preserve">מדובר במערכת שנועדה לאפשר למדינה לעקוב אחרי הפעילות הפיננסית של אזרחיה, דבר שיש בו משום פגיעה בפרטיות של מי שאודותיו נמסר הדיווח, וזאת בעיקר נוכח העובדה </w:t>
      </w:r>
      <w:r w:rsidRPr="005B5CBC">
        <w:rPr>
          <w:rStyle w:val="default"/>
          <w:rFonts w:cs="David" w:hint="cs"/>
          <w:sz w:val="24"/>
          <w:szCs w:val="24"/>
          <w:rtl/>
        </w:rPr>
        <w:t>שבמרבית המקרים המידע נוגע לפעילות פיננסית לגיטימית</w:t>
      </w:r>
      <w:r w:rsidRPr="005B5CBC">
        <w:rPr>
          <w:rFonts w:cs="David" w:hint="cs"/>
          <w:sz w:val="24"/>
          <w:szCs w:val="24"/>
          <w:rtl/>
        </w:rPr>
        <w:t xml:space="preserve">. </w:t>
      </w:r>
    </w:p>
    <w:p w:rsidR="00CE54BE" w:rsidRPr="005B5CBC" w:rsidRDefault="00CE54BE" w:rsidP="00C327EE">
      <w:pPr>
        <w:spacing w:after="120" w:line="360" w:lineRule="auto"/>
        <w:jc w:val="both"/>
        <w:rPr>
          <w:rFonts w:cs="David"/>
          <w:sz w:val="24"/>
          <w:szCs w:val="24"/>
          <w:rtl/>
        </w:rPr>
      </w:pPr>
    </w:p>
    <w:p w:rsidR="00CE54BE" w:rsidRDefault="00EF7F81" w:rsidP="00CE54BE">
      <w:pPr>
        <w:shd w:val="clear" w:color="auto" w:fill="D9D9D9" w:themeFill="background1" w:themeFillShade="D9"/>
        <w:spacing w:after="120" w:line="360" w:lineRule="auto"/>
        <w:jc w:val="center"/>
        <w:rPr>
          <w:rFonts w:cs="David"/>
          <w:b/>
          <w:bCs/>
          <w:sz w:val="24"/>
          <w:szCs w:val="24"/>
          <w:rtl/>
        </w:rPr>
      </w:pPr>
      <w:r w:rsidRPr="00353405">
        <w:rPr>
          <w:rFonts w:cs="David" w:hint="cs"/>
          <w:b/>
          <w:bCs/>
          <w:sz w:val="24"/>
          <w:szCs w:val="24"/>
          <w:rtl/>
        </w:rPr>
        <w:t>השימוש במידע שמתקבל ברשות</w:t>
      </w:r>
    </w:p>
    <w:p w:rsidR="00EF7F81" w:rsidRDefault="00EF7F81" w:rsidP="00E95A57">
      <w:pPr>
        <w:spacing w:after="0" w:line="360" w:lineRule="auto"/>
        <w:jc w:val="both"/>
        <w:rPr>
          <w:rFonts w:cs="David"/>
          <w:sz w:val="24"/>
          <w:szCs w:val="24"/>
          <w:rtl/>
        </w:rPr>
      </w:pPr>
      <w:r>
        <w:rPr>
          <w:rFonts w:cs="David" w:hint="cs"/>
          <w:sz w:val="24"/>
          <w:szCs w:val="24"/>
          <w:rtl/>
        </w:rPr>
        <w:t>מהו ה</w:t>
      </w:r>
      <w:r w:rsidRPr="00353405">
        <w:rPr>
          <w:rFonts w:cs="David" w:hint="cs"/>
          <w:sz w:val="24"/>
          <w:szCs w:val="24"/>
          <w:rtl/>
        </w:rPr>
        <w:t xml:space="preserve">שימוש </w:t>
      </w:r>
      <w:r>
        <w:rPr>
          <w:rFonts w:cs="David" w:hint="cs"/>
          <w:sz w:val="24"/>
          <w:szCs w:val="24"/>
          <w:rtl/>
        </w:rPr>
        <w:t xml:space="preserve">המותר </w:t>
      </w:r>
      <w:r w:rsidRPr="00353405">
        <w:rPr>
          <w:rFonts w:cs="David" w:hint="cs"/>
          <w:sz w:val="24"/>
          <w:szCs w:val="24"/>
          <w:rtl/>
        </w:rPr>
        <w:t xml:space="preserve">במידע שמתקבל ברשות ונאסף במאגר המידע שאותו היא מנהלת? כדי לענות על שאלה זו יש צורך לשרטט את התמונה המלאה של המקורות שמהם מגיע המידע </w:t>
      </w:r>
      <w:r w:rsidRPr="00353405">
        <w:rPr>
          <w:rFonts w:cs="David" w:hint="cs"/>
          <w:b/>
          <w:bCs/>
          <w:sz w:val="24"/>
          <w:szCs w:val="24"/>
          <w:rtl/>
        </w:rPr>
        <w:t>אל הרשות</w:t>
      </w:r>
      <w:r w:rsidRPr="00353405">
        <w:rPr>
          <w:rFonts w:cs="David" w:hint="cs"/>
          <w:sz w:val="24"/>
          <w:szCs w:val="24"/>
          <w:rtl/>
        </w:rPr>
        <w:t xml:space="preserve"> ושל הגופים שהמידע יכול להגיע אליהם </w:t>
      </w:r>
      <w:r w:rsidRPr="00353405">
        <w:rPr>
          <w:rFonts w:cs="David" w:hint="cs"/>
          <w:b/>
          <w:bCs/>
          <w:sz w:val="24"/>
          <w:szCs w:val="24"/>
          <w:rtl/>
        </w:rPr>
        <w:t>מהרשות</w:t>
      </w:r>
      <w:r w:rsidRPr="00353405">
        <w:rPr>
          <w:rFonts w:cs="David" w:hint="cs"/>
          <w:sz w:val="24"/>
          <w:szCs w:val="24"/>
          <w:rtl/>
        </w:rPr>
        <w:t>.</w:t>
      </w:r>
    </w:p>
    <w:p w:rsidR="00CE54BE" w:rsidRPr="00353405" w:rsidRDefault="00CE54BE" w:rsidP="004B7857">
      <w:pPr>
        <w:spacing w:after="0" w:line="360" w:lineRule="auto"/>
        <w:jc w:val="both"/>
        <w:rPr>
          <w:rFonts w:cs="David"/>
          <w:sz w:val="24"/>
          <w:szCs w:val="24"/>
          <w:rtl/>
        </w:rPr>
      </w:pPr>
    </w:p>
    <w:p w:rsidR="00CE54BE" w:rsidRDefault="00CE54BE" w:rsidP="00CE54BE">
      <w:pPr>
        <w:spacing w:after="0" w:line="360" w:lineRule="auto"/>
        <w:jc w:val="both"/>
        <w:rPr>
          <w:rFonts w:cs="David"/>
          <w:b/>
          <w:bCs/>
          <w:sz w:val="24"/>
          <w:szCs w:val="24"/>
          <w:rtl/>
        </w:rPr>
      </w:pPr>
      <w:r w:rsidRPr="00CE54BE">
        <w:rPr>
          <w:rFonts w:cs="David" w:hint="cs"/>
          <w:sz w:val="24"/>
          <w:szCs w:val="24"/>
          <w:rtl/>
        </w:rPr>
        <w:t xml:space="preserve">(1) </w:t>
      </w:r>
      <w:r w:rsidR="00EF7F81" w:rsidRPr="00CE54BE">
        <w:rPr>
          <w:rFonts w:cs="David" w:hint="cs"/>
          <w:sz w:val="24"/>
          <w:szCs w:val="24"/>
          <w:u w:val="single"/>
          <w:rtl/>
        </w:rPr>
        <w:t>המקורות שמהם מגיע המידע אל המאגר</w:t>
      </w:r>
      <w:r w:rsidR="00EF7F81" w:rsidRPr="00CE54BE">
        <w:rPr>
          <w:rFonts w:cs="David" w:hint="cs"/>
          <w:b/>
          <w:bCs/>
          <w:sz w:val="24"/>
          <w:szCs w:val="24"/>
          <w:rtl/>
        </w:rPr>
        <w:t xml:space="preserve"> </w:t>
      </w:r>
    </w:p>
    <w:p w:rsidR="00EF7F81" w:rsidRPr="00CE54BE" w:rsidRDefault="00EF7F81" w:rsidP="00CE54BE">
      <w:pPr>
        <w:spacing w:after="0" w:line="360" w:lineRule="auto"/>
        <w:jc w:val="both"/>
        <w:rPr>
          <w:rFonts w:cs="David"/>
          <w:sz w:val="24"/>
          <w:szCs w:val="24"/>
          <w:rtl/>
        </w:rPr>
      </w:pPr>
      <w:r w:rsidRPr="00CE54BE">
        <w:rPr>
          <w:rFonts w:cs="David" w:hint="cs"/>
          <w:sz w:val="24"/>
          <w:szCs w:val="24"/>
          <w:rtl/>
        </w:rPr>
        <w:t>אל הרשות מגיע מידע מהגופים הבאים:</w:t>
      </w:r>
    </w:p>
    <w:p w:rsidR="00EF7F81" w:rsidRPr="00CE54BE" w:rsidRDefault="00CE54BE" w:rsidP="00CE54BE">
      <w:pPr>
        <w:spacing w:after="0" w:line="360" w:lineRule="auto"/>
        <w:jc w:val="both"/>
        <w:rPr>
          <w:rFonts w:cs="David"/>
          <w:sz w:val="24"/>
          <w:szCs w:val="24"/>
        </w:rPr>
      </w:pPr>
      <w:r>
        <w:rPr>
          <w:rFonts w:cs="David" w:hint="cs"/>
          <w:b/>
          <w:bCs/>
          <w:i/>
          <w:iCs/>
          <w:sz w:val="24"/>
          <w:szCs w:val="24"/>
          <w:rtl/>
        </w:rPr>
        <w:lastRenderedPageBreak/>
        <w:t xml:space="preserve">א) </w:t>
      </w:r>
      <w:r w:rsidR="00EF7F81" w:rsidRPr="00CE54BE">
        <w:rPr>
          <w:rFonts w:cs="David" w:hint="cs"/>
          <w:b/>
          <w:bCs/>
          <w:i/>
          <w:iCs/>
          <w:sz w:val="24"/>
          <w:szCs w:val="24"/>
          <w:rtl/>
        </w:rPr>
        <w:t xml:space="preserve">הגופים הפיננסיים החייבים בדיווח </w:t>
      </w:r>
      <w:r w:rsidR="00EF7F81" w:rsidRPr="00CE54BE">
        <w:rPr>
          <w:rFonts w:cs="David"/>
          <w:b/>
          <w:bCs/>
          <w:i/>
          <w:iCs/>
          <w:sz w:val="24"/>
          <w:szCs w:val="24"/>
          <w:rtl/>
        </w:rPr>
        <w:t>–</w:t>
      </w:r>
      <w:r w:rsidR="00EF7F81" w:rsidRPr="00CE54BE">
        <w:rPr>
          <w:rFonts w:cs="David" w:hint="cs"/>
          <w:b/>
          <w:bCs/>
          <w:i/>
          <w:iCs/>
          <w:sz w:val="24"/>
          <w:szCs w:val="24"/>
          <w:rtl/>
        </w:rPr>
        <w:t xml:space="preserve"> </w:t>
      </w:r>
      <w:r w:rsidR="00EF7F81" w:rsidRPr="00CE54BE">
        <w:rPr>
          <w:rFonts w:cs="David" w:hint="cs"/>
          <w:sz w:val="24"/>
          <w:szCs w:val="24"/>
          <w:rtl/>
        </w:rPr>
        <w:t>חלק הארי של המידע שנאגר במאגר מגיע מהדיווחים שנמסרים לרשות על ידי הגופים הפיננסיים. מהדו"חות השנתיים שמוסרת הרשות לאיסור הלבנת הון לוועדה עולה, כי מדובר ב</w:t>
      </w:r>
      <w:r w:rsidR="00EF7F81" w:rsidRPr="00CE54BE">
        <w:rPr>
          <w:rFonts w:cs="David" w:hint="cs"/>
          <w:sz w:val="24"/>
          <w:szCs w:val="24"/>
          <w:u w:val="single"/>
          <w:rtl/>
        </w:rPr>
        <w:t>מאות אלפי דיווחים כל שנה</w:t>
      </w:r>
      <w:r w:rsidR="00EF7F81" w:rsidRPr="00353405">
        <w:rPr>
          <w:rStyle w:val="a3"/>
          <w:rFonts w:cs="David"/>
          <w:sz w:val="24"/>
          <w:szCs w:val="24"/>
          <w:rtl/>
        </w:rPr>
        <w:footnoteReference w:id="7"/>
      </w:r>
      <w:r w:rsidR="00EF7F81" w:rsidRPr="00CE54BE">
        <w:rPr>
          <w:rFonts w:cs="David" w:hint="cs"/>
          <w:sz w:val="24"/>
          <w:szCs w:val="24"/>
          <w:rtl/>
        </w:rPr>
        <w:t>.</w:t>
      </w:r>
    </w:p>
    <w:p w:rsidR="00EF7F81" w:rsidRPr="00CE54BE" w:rsidRDefault="00CE54BE" w:rsidP="00CE54BE">
      <w:pPr>
        <w:spacing w:after="0" w:line="360" w:lineRule="auto"/>
        <w:jc w:val="both"/>
        <w:rPr>
          <w:rFonts w:cs="David"/>
          <w:sz w:val="24"/>
          <w:szCs w:val="24"/>
        </w:rPr>
      </w:pPr>
      <w:r>
        <w:rPr>
          <w:rFonts w:cs="David" w:hint="cs"/>
          <w:b/>
          <w:bCs/>
          <w:i/>
          <w:iCs/>
          <w:sz w:val="24"/>
          <w:szCs w:val="24"/>
          <w:rtl/>
        </w:rPr>
        <w:t xml:space="preserve">ב) </w:t>
      </w:r>
      <w:r w:rsidR="00EF7F81" w:rsidRPr="00CE54BE">
        <w:rPr>
          <w:rFonts w:cs="David" w:hint="cs"/>
          <w:b/>
          <w:bCs/>
          <w:i/>
          <w:iCs/>
          <w:sz w:val="24"/>
          <w:szCs w:val="24"/>
          <w:rtl/>
        </w:rPr>
        <w:t xml:space="preserve">מידע מרשויות מקבילות במדינות זרות </w:t>
      </w:r>
      <w:r w:rsidR="00EF7F81" w:rsidRPr="00CE54BE">
        <w:rPr>
          <w:rFonts w:cs="David"/>
          <w:b/>
          <w:bCs/>
          <w:i/>
          <w:iCs/>
          <w:sz w:val="24"/>
          <w:szCs w:val="24"/>
          <w:rtl/>
        </w:rPr>
        <w:t>–</w:t>
      </w:r>
      <w:r w:rsidR="00EF7F81" w:rsidRPr="00CE54BE">
        <w:rPr>
          <w:rFonts w:cs="David" w:hint="cs"/>
          <w:b/>
          <w:bCs/>
          <w:i/>
          <w:iCs/>
          <w:sz w:val="24"/>
          <w:szCs w:val="24"/>
          <w:rtl/>
        </w:rPr>
        <w:t xml:space="preserve"> </w:t>
      </w:r>
      <w:r w:rsidR="00EF7F81" w:rsidRPr="00CE54BE">
        <w:rPr>
          <w:rFonts w:cs="David" w:hint="cs"/>
          <w:sz w:val="24"/>
          <w:szCs w:val="24"/>
          <w:rtl/>
        </w:rPr>
        <w:t xml:space="preserve">ברחבי העולם הוקמו יחידות </w:t>
      </w:r>
      <w:r w:rsidR="00EF7F81" w:rsidRPr="00CE54BE">
        <w:rPr>
          <w:rFonts w:cs="David" w:hint="cs"/>
          <w:sz w:val="20"/>
          <w:szCs w:val="20"/>
        </w:rPr>
        <w:t>FIU</w:t>
      </w:r>
      <w:r w:rsidR="00EF7F81" w:rsidRPr="00CE54BE">
        <w:rPr>
          <w:rFonts w:cs="David" w:hint="cs"/>
          <w:sz w:val="20"/>
          <w:szCs w:val="20"/>
          <w:rtl/>
        </w:rPr>
        <w:t xml:space="preserve"> </w:t>
      </w:r>
      <w:r w:rsidR="00EF7F81" w:rsidRPr="00CE54BE">
        <w:rPr>
          <w:rFonts w:cs="David" w:hint="cs"/>
          <w:sz w:val="24"/>
          <w:szCs w:val="24"/>
          <w:rtl/>
        </w:rPr>
        <w:t>(</w:t>
      </w:r>
      <w:r w:rsidR="00EF7F81" w:rsidRPr="00CE54BE">
        <w:rPr>
          <w:rFonts w:cs="David"/>
          <w:sz w:val="20"/>
          <w:szCs w:val="20"/>
        </w:rPr>
        <w:t>Financial Intelligence Units</w:t>
      </w:r>
      <w:r w:rsidR="00EF7F81" w:rsidRPr="00CE54BE">
        <w:rPr>
          <w:rFonts w:cs="David" w:hint="cs"/>
          <w:sz w:val="24"/>
          <w:szCs w:val="24"/>
          <w:rtl/>
        </w:rPr>
        <w:t xml:space="preserve">) וכחלק מהמאבק בהלבנת ההון ובמימון הטרור, יחידות אלה מעבירות מידע ביניהן. כך, הרשות רשאית להעביר מידע מהמאגר לרשות מסוגה במדינה אחרת (יחידת </w:t>
      </w:r>
      <w:r w:rsidR="00EF7F81" w:rsidRPr="00CE54BE">
        <w:rPr>
          <w:rFonts w:cs="David" w:hint="cs"/>
          <w:sz w:val="20"/>
          <w:szCs w:val="20"/>
        </w:rPr>
        <w:t>FIU</w:t>
      </w:r>
      <w:r w:rsidR="00EF7F81" w:rsidRPr="00CE54BE">
        <w:rPr>
          <w:rFonts w:cs="David" w:hint="cs"/>
          <w:sz w:val="24"/>
          <w:szCs w:val="24"/>
          <w:rtl/>
        </w:rPr>
        <w:t xml:space="preserve">) או לבקש ממנה מידע (סעיף 30(ו) לחוק). </w:t>
      </w:r>
    </w:p>
    <w:p w:rsidR="00EF7F81" w:rsidRPr="00CE54BE" w:rsidRDefault="00CE54BE" w:rsidP="00CE54BE">
      <w:pPr>
        <w:spacing w:after="0" w:line="360" w:lineRule="auto"/>
        <w:jc w:val="both"/>
        <w:rPr>
          <w:rFonts w:cs="David"/>
          <w:sz w:val="24"/>
          <w:szCs w:val="24"/>
        </w:rPr>
      </w:pPr>
      <w:r>
        <w:rPr>
          <w:rFonts w:cs="David" w:hint="cs"/>
          <w:b/>
          <w:bCs/>
          <w:i/>
          <w:iCs/>
          <w:sz w:val="24"/>
          <w:szCs w:val="24"/>
          <w:rtl/>
        </w:rPr>
        <w:t xml:space="preserve">ג) </w:t>
      </w:r>
      <w:r w:rsidR="00EF7F81" w:rsidRPr="00CE54BE">
        <w:rPr>
          <w:rFonts w:cs="David" w:hint="cs"/>
          <w:b/>
          <w:bCs/>
          <w:i/>
          <w:iCs/>
          <w:sz w:val="24"/>
          <w:szCs w:val="24"/>
          <w:rtl/>
        </w:rPr>
        <w:t xml:space="preserve">הגופים מבקשי המידע </w:t>
      </w:r>
      <w:r w:rsidR="00EF7F81" w:rsidRPr="00CE54BE">
        <w:rPr>
          <w:rFonts w:cs="David"/>
          <w:b/>
          <w:bCs/>
          <w:i/>
          <w:iCs/>
          <w:sz w:val="24"/>
          <w:szCs w:val="24"/>
          <w:rtl/>
        </w:rPr>
        <w:t>–</w:t>
      </w:r>
      <w:r w:rsidR="00EF7F81" w:rsidRPr="00CE54BE">
        <w:rPr>
          <w:rFonts w:cs="David" w:hint="cs"/>
          <w:b/>
          <w:bCs/>
          <w:i/>
          <w:iCs/>
          <w:sz w:val="24"/>
          <w:szCs w:val="24"/>
          <w:rtl/>
        </w:rPr>
        <w:t xml:space="preserve"> </w:t>
      </w:r>
      <w:r w:rsidR="00EF7F81" w:rsidRPr="00CE54BE">
        <w:rPr>
          <w:rFonts w:cs="David" w:hint="cs"/>
          <w:sz w:val="24"/>
          <w:szCs w:val="24"/>
          <w:rtl/>
        </w:rPr>
        <w:t xml:space="preserve">כל אחת מהגופים הרשאים לקבל מידע מהרשות, נדרש להגיש לרשות בקשה מנומקת המפרטת את הנסיבות והנימוקים המצדיקים את העברת המידע. במסגרת בקשה זו רשאי הגוף המבקש לכלול בבקשה מידע המצוי ברשותו והרשות רשאית לעיין במידע זה (סעיף 30(ב)(2), (ג), (ג1)(3) לחוק). </w:t>
      </w:r>
    </w:p>
    <w:p w:rsidR="00EF7F81" w:rsidRDefault="00CE54BE" w:rsidP="00CE54BE">
      <w:pPr>
        <w:spacing w:after="0" w:line="360" w:lineRule="auto"/>
        <w:jc w:val="both"/>
        <w:rPr>
          <w:rFonts w:cs="David"/>
          <w:sz w:val="24"/>
          <w:szCs w:val="24"/>
          <w:rtl/>
        </w:rPr>
      </w:pPr>
      <w:r>
        <w:rPr>
          <w:rFonts w:cs="David" w:hint="cs"/>
          <w:b/>
          <w:bCs/>
          <w:i/>
          <w:iCs/>
          <w:sz w:val="24"/>
          <w:szCs w:val="24"/>
          <w:rtl/>
        </w:rPr>
        <w:t xml:space="preserve">ד) </w:t>
      </w:r>
      <w:r w:rsidR="00EF7F81" w:rsidRPr="00CE54BE">
        <w:rPr>
          <w:rFonts w:cs="David" w:hint="cs"/>
          <w:b/>
          <w:bCs/>
          <w:i/>
          <w:iCs/>
          <w:sz w:val="24"/>
          <w:szCs w:val="24"/>
          <w:rtl/>
        </w:rPr>
        <w:t xml:space="preserve">מידע מגופים ציבוריים </w:t>
      </w:r>
      <w:r w:rsidR="00EF7F81" w:rsidRPr="00CE54BE">
        <w:rPr>
          <w:rFonts w:cs="David"/>
          <w:b/>
          <w:bCs/>
          <w:i/>
          <w:iCs/>
          <w:sz w:val="24"/>
          <w:szCs w:val="24"/>
          <w:rtl/>
        </w:rPr>
        <w:t>–</w:t>
      </w:r>
      <w:r w:rsidR="00EF7F81" w:rsidRPr="00CE54BE">
        <w:rPr>
          <w:rFonts w:cs="David" w:hint="cs"/>
          <w:b/>
          <w:bCs/>
          <w:i/>
          <w:iCs/>
          <w:sz w:val="24"/>
          <w:szCs w:val="24"/>
          <w:rtl/>
        </w:rPr>
        <w:t xml:space="preserve"> </w:t>
      </w:r>
      <w:r w:rsidR="00EF7F81" w:rsidRPr="00CE54BE">
        <w:rPr>
          <w:rFonts w:cs="David" w:hint="cs"/>
          <w:sz w:val="24"/>
          <w:szCs w:val="24"/>
          <w:rtl/>
        </w:rPr>
        <w:t>הרשות רשאית לבקש מידע מהגופים הבאים:</w:t>
      </w:r>
    </w:p>
    <w:p w:rsidR="00EF7F81" w:rsidRPr="00CE54BE" w:rsidRDefault="00EF7F81" w:rsidP="00CE54BE">
      <w:pPr>
        <w:pStyle w:val="a6"/>
        <w:numPr>
          <w:ilvl w:val="0"/>
          <w:numId w:val="7"/>
        </w:numPr>
        <w:spacing w:after="0" w:line="360" w:lineRule="auto"/>
        <w:jc w:val="both"/>
        <w:rPr>
          <w:rFonts w:cs="David"/>
          <w:sz w:val="24"/>
          <w:szCs w:val="24"/>
        </w:rPr>
      </w:pPr>
      <w:r w:rsidRPr="00CE54BE">
        <w:rPr>
          <w:rFonts w:cs="David" w:hint="cs"/>
          <w:sz w:val="24"/>
          <w:szCs w:val="24"/>
          <w:u w:val="single"/>
          <w:rtl/>
        </w:rPr>
        <w:t>רשויות המס</w:t>
      </w:r>
      <w:r w:rsidRPr="00CE54BE">
        <w:rPr>
          <w:rFonts w:cs="David" w:hint="cs"/>
          <w:sz w:val="24"/>
          <w:szCs w:val="24"/>
          <w:rtl/>
        </w:rPr>
        <w:t xml:space="preserve"> </w:t>
      </w:r>
      <w:r w:rsidRPr="00CE54BE">
        <w:rPr>
          <w:rFonts w:cs="David"/>
          <w:sz w:val="24"/>
          <w:szCs w:val="24"/>
          <w:rtl/>
        </w:rPr>
        <w:t>–</w:t>
      </w:r>
      <w:r w:rsidRPr="00CE54BE">
        <w:rPr>
          <w:rFonts w:cs="David" w:hint="cs"/>
          <w:sz w:val="24"/>
          <w:szCs w:val="24"/>
          <w:rtl/>
        </w:rPr>
        <w:t xml:space="preserve"> הרשות רשאית לבקש מרשויות המס מידע הדרוש לה לצורך אכיפת החוק, ושר האוצר יחליט האם להיענות לבקשה (סעיף 31(א) לחוק).</w:t>
      </w:r>
    </w:p>
    <w:p w:rsidR="00EF7F81" w:rsidRPr="00353405" w:rsidRDefault="00EF7F81" w:rsidP="00C327EE">
      <w:pPr>
        <w:pStyle w:val="a6"/>
        <w:numPr>
          <w:ilvl w:val="0"/>
          <w:numId w:val="3"/>
        </w:numPr>
        <w:spacing w:after="0" w:line="360" w:lineRule="auto"/>
        <w:jc w:val="both"/>
        <w:rPr>
          <w:rFonts w:cs="David"/>
          <w:vanish/>
          <w:sz w:val="24"/>
          <w:szCs w:val="24"/>
          <w:shd w:val="clear" w:color="auto" w:fill="FFFF99"/>
        </w:rPr>
      </w:pPr>
    </w:p>
    <w:p w:rsidR="00EF7F81" w:rsidRPr="00353405" w:rsidRDefault="00EF7F81" w:rsidP="00C327EE">
      <w:pPr>
        <w:pStyle w:val="a6"/>
        <w:numPr>
          <w:ilvl w:val="0"/>
          <w:numId w:val="3"/>
        </w:numPr>
        <w:spacing w:after="0" w:line="360" w:lineRule="auto"/>
        <w:jc w:val="both"/>
        <w:rPr>
          <w:rFonts w:cs="David"/>
          <w:vanish/>
          <w:sz w:val="24"/>
          <w:szCs w:val="24"/>
          <w:shd w:val="clear" w:color="auto" w:fill="FFFF99"/>
        </w:rPr>
      </w:pPr>
    </w:p>
    <w:p w:rsidR="00EF7F81" w:rsidRPr="00CE54BE" w:rsidRDefault="00EF7F81" w:rsidP="00CE54BE">
      <w:pPr>
        <w:pStyle w:val="a6"/>
        <w:numPr>
          <w:ilvl w:val="0"/>
          <w:numId w:val="3"/>
        </w:numPr>
        <w:spacing w:after="0" w:line="360" w:lineRule="auto"/>
        <w:jc w:val="both"/>
        <w:rPr>
          <w:rFonts w:cs="David"/>
          <w:sz w:val="24"/>
          <w:szCs w:val="24"/>
        </w:rPr>
      </w:pPr>
      <w:r w:rsidRPr="00CE54BE">
        <w:rPr>
          <w:rFonts w:cs="David" w:hint="cs"/>
          <w:sz w:val="24"/>
          <w:szCs w:val="24"/>
          <w:u w:val="single"/>
          <w:rtl/>
        </w:rPr>
        <w:t>רשויות ציבורית</w:t>
      </w:r>
      <w:r w:rsidRPr="00CE54BE">
        <w:rPr>
          <w:rFonts w:cs="David" w:hint="cs"/>
          <w:sz w:val="24"/>
          <w:szCs w:val="24"/>
          <w:rtl/>
        </w:rPr>
        <w:t xml:space="preserve"> </w:t>
      </w:r>
      <w:r w:rsidRPr="00CE54BE">
        <w:rPr>
          <w:rFonts w:cs="David"/>
          <w:sz w:val="24"/>
          <w:szCs w:val="24"/>
          <w:rtl/>
        </w:rPr>
        <w:t>–</w:t>
      </w:r>
      <w:r w:rsidRPr="00CE54BE">
        <w:rPr>
          <w:rFonts w:cs="David" w:hint="cs"/>
          <w:sz w:val="24"/>
          <w:szCs w:val="24"/>
          <w:rtl/>
        </w:rPr>
        <w:t xml:space="preserve"> מכוח סעיף 23ג לחוק הגנת הפרטיות, התשמ"א-1981 הרשות זכאית לקבל מידע מגופים ציבוריים</w:t>
      </w:r>
      <w:r w:rsidRPr="00CE54BE">
        <w:rPr>
          <w:rStyle w:val="default"/>
          <w:rFonts w:cs="David" w:hint="cs"/>
          <w:sz w:val="24"/>
          <w:szCs w:val="24"/>
          <w:rtl/>
        </w:rPr>
        <w:t xml:space="preserve">, אם מסירת המידע דרושה למטרת ביצוע חיקוק או למטרה במסגרת הסמכויות או התפקידים של מוסר המידע או מקבלו. </w:t>
      </w:r>
    </w:p>
    <w:p w:rsidR="00EF7F81" w:rsidRDefault="00CE54BE" w:rsidP="00CE54BE">
      <w:pPr>
        <w:spacing w:after="120" w:line="360" w:lineRule="auto"/>
        <w:jc w:val="both"/>
        <w:rPr>
          <w:rFonts w:cs="David"/>
          <w:sz w:val="24"/>
          <w:szCs w:val="24"/>
          <w:rtl/>
        </w:rPr>
      </w:pPr>
      <w:r>
        <w:rPr>
          <w:rFonts w:cs="David" w:hint="cs"/>
          <w:b/>
          <w:bCs/>
          <w:i/>
          <w:iCs/>
          <w:sz w:val="24"/>
          <w:szCs w:val="24"/>
          <w:rtl/>
        </w:rPr>
        <w:t xml:space="preserve">ה) </w:t>
      </w:r>
      <w:r w:rsidR="00EF7F81" w:rsidRPr="00CE54BE">
        <w:rPr>
          <w:rFonts w:cs="David" w:hint="cs"/>
          <w:b/>
          <w:bCs/>
          <w:i/>
          <w:iCs/>
          <w:sz w:val="24"/>
          <w:szCs w:val="24"/>
          <w:rtl/>
        </w:rPr>
        <w:t xml:space="preserve">המרשם הפלילי </w:t>
      </w:r>
      <w:r w:rsidR="00EF7F81" w:rsidRPr="00CE54BE">
        <w:rPr>
          <w:rFonts w:cs="David"/>
          <w:b/>
          <w:bCs/>
          <w:i/>
          <w:iCs/>
          <w:sz w:val="24"/>
          <w:szCs w:val="24"/>
          <w:rtl/>
        </w:rPr>
        <w:t>–</w:t>
      </w:r>
      <w:r w:rsidR="00EF7F81" w:rsidRPr="00CE54BE">
        <w:rPr>
          <w:rFonts w:cs="David" w:hint="cs"/>
          <w:b/>
          <w:bCs/>
          <w:i/>
          <w:iCs/>
          <w:sz w:val="24"/>
          <w:szCs w:val="24"/>
          <w:rtl/>
        </w:rPr>
        <w:t xml:space="preserve"> </w:t>
      </w:r>
      <w:r w:rsidR="00EF7F81" w:rsidRPr="00CE54BE">
        <w:rPr>
          <w:rFonts w:cs="David" w:hint="cs"/>
          <w:sz w:val="24"/>
          <w:szCs w:val="24"/>
          <w:rtl/>
        </w:rPr>
        <w:t xml:space="preserve">במסגרת תיקון לתוספת הראשונה לחוק המרשם הפלילי ותקנת השבים, התשמ"א-1981 שאושר בשלהי הכנסת ה-18, הוכנסה הרשות לרשימת הגופים הזכאים לקבל מידע מהמרשם הפלילי, לצורך קבלת החלטה בדבר העברת מידע. </w:t>
      </w:r>
    </w:p>
    <w:p w:rsidR="00CE54BE" w:rsidRPr="00CE54BE" w:rsidRDefault="00CE54BE" w:rsidP="004B7857">
      <w:pPr>
        <w:spacing w:after="0" w:line="360" w:lineRule="auto"/>
        <w:jc w:val="both"/>
        <w:rPr>
          <w:rFonts w:cs="David"/>
          <w:sz w:val="24"/>
          <w:szCs w:val="24"/>
          <w:rtl/>
        </w:rPr>
      </w:pPr>
    </w:p>
    <w:p w:rsidR="00CE54BE" w:rsidRPr="00CE54BE" w:rsidRDefault="00CE54BE" w:rsidP="00CE54BE">
      <w:pPr>
        <w:spacing w:after="0" w:line="360" w:lineRule="auto"/>
        <w:jc w:val="both"/>
        <w:rPr>
          <w:rStyle w:val="default"/>
          <w:rFonts w:cs="David"/>
          <w:sz w:val="24"/>
          <w:szCs w:val="24"/>
          <w:rtl/>
        </w:rPr>
      </w:pPr>
      <w:r w:rsidRPr="00CE54BE">
        <w:rPr>
          <w:rFonts w:cs="David" w:hint="cs"/>
          <w:sz w:val="24"/>
          <w:szCs w:val="24"/>
          <w:rtl/>
        </w:rPr>
        <w:t xml:space="preserve">(2) </w:t>
      </w:r>
      <w:r w:rsidR="00EF7F81" w:rsidRPr="00CE54BE">
        <w:rPr>
          <w:rFonts w:cs="David" w:hint="cs"/>
          <w:sz w:val="24"/>
          <w:szCs w:val="24"/>
          <w:u w:val="single"/>
          <w:rtl/>
        </w:rPr>
        <w:t>הגופים אליהם מגיע המידע מהמאגר</w:t>
      </w:r>
      <w:r w:rsidR="00EF7F81" w:rsidRPr="00CE54BE">
        <w:rPr>
          <w:rFonts w:cs="David" w:hint="cs"/>
          <w:sz w:val="24"/>
          <w:szCs w:val="24"/>
          <w:rtl/>
        </w:rPr>
        <w:t xml:space="preserve"> </w:t>
      </w:r>
    </w:p>
    <w:p w:rsidR="00EF7F81" w:rsidRDefault="00EF7F81" w:rsidP="00CE54BE">
      <w:pPr>
        <w:spacing w:after="0" w:line="360" w:lineRule="auto"/>
        <w:jc w:val="both"/>
        <w:rPr>
          <w:rFonts w:cs="David"/>
          <w:sz w:val="24"/>
          <w:szCs w:val="24"/>
          <w:rtl/>
        </w:rPr>
      </w:pPr>
      <w:r w:rsidRPr="00FF7A50">
        <w:rPr>
          <w:rStyle w:val="default"/>
          <w:rFonts w:cs="David" w:hint="cs"/>
          <w:sz w:val="24"/>
          <w:szCs w:val="24"/>
          <w:rtl/>
        </w:rPr>
        <w:t xml:space="preserve">בשל רגישות המידע והפגיעה הקשה בזכויות הפרט שעלולה להיגרם עקב חשיפתו, ובעיקר נוכח העובדה שבמרבית המקרים המידע נוגע לפעילות פיננסית לגיטימית המוגנת גם על ידי חובות אמון וסודיות </w:t>
      </w:r>
      <w:r w:rsidRPr="00FF7A50">
        <w:rPr>
          <w:rStyle w:val="default"/>
          <w:rFonts w:cs="David"/>
          <w:sz w:val="24"/>
          <w:szCs w:val="24"/>
          <w:rtl/>
        </w:rPr>
        <w:t>–</w:t>
      </w:r>
      <w:r w:rsidRPr="00FF7A50">
        <w:rPr>
          <w:rStyle w:val="default"/>
          <w:rFonts w:cs="David" w:hint="cs"/>
          <w:sz w:val="24"/>
          <w:szCs w:val="24"/>
          <w:rtl/>
        </w:rPr>
        <w:t xml:space="preserve"> שדווחה למאגר רק בשל סכומה הגבוה או בשל היותה שונה מהפעילות המאפיינת את הלקוח בדרך כלל </w:t>
      </w:r>
      <w:r w:rsidRPr="00FF7A50">
        <w:rPr>
          <w:rStyle w:val="default"/>
          <w:rFonts w:cs="David"/>
          <w:sz w:val="24"/>
          <w:szCs w:val="24"/>
          <w:rtl/>
        </w:rPr>
        <w:t>–</w:t>
      </w:r>
      <w:r w:rsidRPr="00FF7A50">
        <w:rPr>
          <w:rStyle w:val="default"/>
          <w:rFonts w:cs="David" w:hint="cs"/>
          <w:sz w:val="24"/>
          <w:szCs w:val="24"/>
          <w:rtl/>
        </w:rPr>
        <w:t xml:space="preserve"> קובע החוק כי המידע מהרשות ומהמאגר שהיא מנהלת יועבר לגופים הבאים</w:t>
      </w:r>
      <w:r w:rsidRPr="00FF7A50">
        <w:rPr>
          <w:rStyle w:val="a3"/>
          <w:rFonts w:cs="David"/>
          <w:sz w:val="24"/>
          <w:szCs w:val="24"/>
          <w:rtl/>
        </w:rPr>
        <w:footnoteReference w:id="8"/>
      </w:r>
      <w:r w:rsidRPr="00FF7A50">
        <w:rPr>
          <w:rStyle w:val="default"/>
          <w:rFonts w:cs="David" w:hint="cs"/>
          <w:sz w:val="24"/>
          <w:szCs w:val="24"/>
          <w:rtl/>
        </w:rPr>
        <w:t xml:space="preserve"> בלבד:</w:t>
      </w:r>
      <w:r w:rsidRPr="00FF7A50">
        <w:rPr>
          <w:rFonts w:cs="David" w:hint="cs"/>
          <w:i/>
          <w:iCs/>
          <w:sz w:val="24"/>
          <w:szCs w:val="24"/>
          <w:rtl/>
        </w:rPr>
        <w:t xml:space="preserve"> </w:t>
      </w:r>
      <w:r w:rsidRPr="00FF7A50">
        <w:rPr>
          <w:rFonts w:cs="David" w:hint="cs"/>
          <w:b/>
          <w:bCs/>
          <w:sz w:val="24"/>
          <w:szCs w:val="24"/>
          <w:rtl/>
        </w:rPr>
        <w:t>משטרת ישראל</w:t>
      </w:r>
      <w:r w:rsidRPr="00FF7A50">
        <w:rPr>
          <w:rFonts w:cs="David" w:hint="cs"/>
          <w:sz w:val="24"/>
          <w:szCs w:val="24"/>
          <w:rtl/>
        </w:rPr>
        <w:t xml:space="preserve"> (סעיף 30(ב) לחוק); </w:t>
      </w:r>
      <w:r w:rsidRPr="00FF7A50">
        <w:rPr>
          <w:rFonts w:cs="David" w:hint="cs"/>
          <w:b/>
          <w:bCs/>
          <w:sz w:val="24"/>
          <w:szCs w:val="24"/>
          <w:rtl/>
        </w:rPr>
        <w:t>שירות הביטחון הכללי</w:t>
      </w:r>
      <w:r w:rsidRPr="00FF7A50">
        <w:rPr>
          <w:rFonts w:cs="David" w:hint="cs"/>
          <w:sz w:val="24"/>
          <w:szCs w:val="24"/>
          <w:rtl/>
        </w:rPr>
        <w:t xml:space="preserve"> (סעיף </w:t>
      </w:r>
      <w:r w:rsidRPr="00884821">
        <w:rPr>
          <w:rFonts w:cs="David" w:hint="cs"/>
          <w:sz w:val="24"/>
          <w:szCs w:val="24"/>
          <w:rtl/>
        </w:rPr>
        <w:t xml:space="preserve">30(ג) לחוק); </w:t>
      </w:r>
      <w:r w:rsidRPr="0012002F">
        <w:rPr>
          <w:rFonts w:cs="David" w:hint="cs"/>
          <w:b/>
          <w:bCs/>
          <w:sz w:val="24"/>
          <w:szCs w:val="24"/>
          <w:rtl/>
        </w:rPr>
        <w:t>המוסד</w:t>
      </w:r>
      <w:r w:rsidRPr="00884821">
        <w:rPr>
          <w:rFonts w:cs="David" w:hint="cs"/>
          <w:sz w:val="24"/>
          <w:szCs w:val="24"/>
          <w:rtl/>
        </w:rPr>
        <w:t xml:space="preserve"> (סעיף 30(ג1) לחוק); </w:t>
      </w:r>
      <w:r w:rsidRPr="0012002F">
        <w:rPr>
          <w:rFonts w:cs="David" w:hint="cs"/>
          <w:b/>
          <w:bCs/>
          <w:sz w:val="24"/>
          <w:szCs w:val="24"/>
          <w:rtl/>
        </w:rPr>
        <w:t>אגף המודיעין של צה"ל (אמ"ן)</w:t>
      </w:r>
      <w:r w:rsidRPr="00884821">
        <w:rPr>
          <w:rFonts w:cs="David" w:hint="cs"/>
          <w:sz w:val="24"/>
          <w:szCs w:val="24"/>
          <w:rtl/>
        </w:rPr>
        <w:t xml:space="preserve"> (סעיף 30(ג1) לחוק); </w:t>
      </w:r>
      <w:r w:rsidRPr="0012002F">
        <w:rPr>
          <w:rFonts w:cs="David" w:hint="cs"/>
          <w:b/>
          <w:bCs/>
          <w:sz w:val="24"/>
          <w:szCs w:val="24"/>
          <w:rtl/>
        </w:rPr>
        <w:t xml:space="preserve">יחידה באגף הממונה על הביטחון במערכת הביטחון (מלמ"ב) </w:t>
      </w:r>
      <w:r w:rsidRPr="00884821">
        <w:rPr>
          <w:rFonts w:cs="David" w:hint="cs"/>
          <w:sz w:val="24"/>
          <w:szCs w:val="24"/>
          <w:rtl/>
        </w:rPr>
        <w:t xml:space="preserve">(סעיף 30(ג1) לחוק); </w:t>
      </w:r>
      <w:r w:rsidRPr="0012002F">
        <w:rPr>
          <w:rFonts w:cs="David" w:hint="cs"/>
          <w:b/>
          <w:bCs/>
          <w:sz w:val="24"/>
          <w:szCs w:val="24"/>
          <w:rtl/>
        </w:rPr>
        <w:t>רשות מסוגה במדינה אחרת</w:t>
      </w:r>
      <w:r w:rsidRPr="00884821">
        <w:rPr>
          <w:rFonts w:cs="David" w:hint="cs"/>
          <w:sz w:val="24"/>
          <w:szCs w:val="24"/>
          <w:rtl/>
        </w:rPr>
        <w:t xml:space="preserve"> (סעיף 30(ו) לחוק). </w:t>
      </w:r>
    </w:p>
    <w:p w:rsidR="00EF7F81" w:rsidRDefault="00EF7F81" w:rsidP="00C327EE">
      <w:pPr>
        <w:spacing w:after="0" w:line="360" w:lineRule="auto"/>
        <w:jc w:val="both"/>
        <w:rPr>
          <w:rFonts w:cs="David"/>
          <w:sz w:val="24"/>
          <w:szCs w:val="24"/>
          <w:rtl/>
        </w:rPr>
      </w:pPr>
      <w:r w:rsidRPr="00884821">
        <w:rPr>
          <w:rFonts w:cs="David" w:hint="cs"/>
          <w:sz w:val="24"/>
          <w:szCs w:val="24"/>
          <w:rtl/>
        </w:rPr>
        <w:t xml:space="preserve">מידע מהרשות יכול לעבור לכל אחד מהגופים הללו, באחת משתי דרכים: </w:t>
      </w:r>
    </w:p>
    <w:p w:rsidR="00EF7F81" w:rsidRDefault="00EF7F81" w:rsidP="00C327EE">
      <w:pPr>
        <w:pStyle w:val="a6"/>
        <w:numPr>
          <w:ilvl w:val="0"/>
          <w:numId w:val="5"/>
        </w:numPr>
        <w:spacing w:after="0" w:line="360" w:lineRule="auto"/>
        <w:jc w:val="both"/>
        <w:rPr>
          <w:rFonts w:cs="David"/>
          <w:sz w:val="24"/>
          <w:szCs w:val="24"/>
        </w:rPr>
      </w:pPr>
      <w:r w:rsidRPr="00884821">
        <w:rPr>
          <w:rFonts w:cs="David" w:hint="cs"/>
          <w:sz w:val="24"/>
          <w:szCs w:val="24"/>
          <w:u w:val="single"/>
          <w:rtl/>
        </w:rPr>
        <w:t>בקשה של הגוף הרשאי</w:t>
      </w:r>
      <w:r w:rsidRPr="00884821">
        <w:rPr>
          <w:rFonts w:cs="David" w:hint="cs"/>
          <w:sz w:val="24"/>
          <w:szCs w:val="24"/>
          <w:rtl/>
        </w:rPr>
        <w:t xml:space="preserve"> </w:t>
      </w:r>
      <w:r w:rsidRPr="00884821">
        <w:rPr>
          <w:rFonts w:cs="David"/>
          <w:sz w:val="24"/>
          <w:szCs w:val="24"/>
          <w:rtl/>
        </w:rPr>
        <w:t>–</w:t>
      </w:r>
      <w:r w:rsidRPr="00884821">
        <w:rPr>
          <w:rFonts w:cs="David" w:hint="cs"/>
          <w:sz w:val="24"/>
          <w:szCs w:val="24"/>
          <w:rtl/>
        </w:rPr>
        <w:t xml:space="preserve"> כל אחד מהגופים יכול לפנות אל הרשות בבקשה מנומקת, המפרטת את הנסיבות והנימוקים המצדיקים את העברת המידע; </w:t>
      </w:r>
    </w:p>
    <w:p w:rsidR="00EF7F81" w:rsidRPr="00884821" w:rsidRDefault="00EF7F81" w:rsidP="00C327EE">
      <w:pPr>
        <w:pStyle w:val="a6"/>
        <w:numPr>
          <w:ilvl w:val="0"/>
          <w:numId w:val="5"/>
        </w:numPr>
        <w:spacing w:after="120" w:line="360" w:lineRule="auto"/>
        <w:jc w:val="both"/>
        <w:rPr>
          <w:rFonts w:cs="David"/>
          <w:sz w:val="24"/>
          <w:szCs w:val="24"/>
        </w:rPr>
      </w:pPr>
      <w:r w:rsidRPr="00884821">
        <w:rPr>
          <w:rFonts w:cs="David" w:hint="cs"/>
          <w:sz w:val="24"/>
          <w:szCs w:val="24"/>
          <w:u w:val="single"/>
          <w:rtl/>
        </w:rPr>
        <w:lastRenderedPageBreak/>
        <w:t>העברה יזומה של הרשות</w:t>
      </w:r>
      <w:r w:rsidRPr="00884821">
        <w:rPr>
          <w:rFonts w:cs="David" w:hint="cs"/>
          <w:sz w:val="24"/>
          <w:szCs w:val="24"/>
          <w:rtl/>
        </w:rPr>
        <w:t xml:space="preserve"> </w:t>
      </w:r>
      <w:r w:rsidRPr="00884821">
        <w:rPr>
          <w:rFonts w:cs="David"/>
          <w:sz w:val="24"/>
          <w:szCs w:val="24"/>
          <w:rtl/>
        </w:rPr>
        <w:t>–</w:t>
      </w:r>
      <w:r w:rsidRPr="00884821">
        <w:rPr>
          <w:rFonts w:cs="David" w:hint="cs"/>
          <w:sz w:val="24"/>
          <w:szCs w:val="24"/>
          <w:rtl/>
        </w:rPr>
        <w:t xml:space="preserve"> לצורך מניעת עבירות של הלבנת הון ומימון טרור, הגנה על ביטחון המדינה או המלחמה בטרור, הרשות רשאית </w:t>
      </w:r>
      <w:r w:rsidRPr="00884821">
        <w:rPr>
          <w:rFonts w:cs="David" w:hint="cs"/>
          <w:sz w:val="24"/>
          <w:szCs w:val="24"/>
          <w:u w:val="single"/>
          <w:rtl/>
        </w:rPr>
        <w:t>מיוזמתה</w:t>
      </w:r>
      <w:r w:rsidRPr="00884821">
        <w:rPr>
          <w:rFonts w:cs="David" w:hint="cs"/>
          <w:sz w:val="24"/>
          <w:szCs w:val="24"/>
          <w:rtl/>
        </w:rPr>
        <w:t xml:space="preserve"> להעביר מידע מהמאגר לכל אחד מהגופים הרשאים לקבל מידע (סעיף 30(ה) לחוק).</w:t>
      </w:r>
    </w:p>
    <w:p w:rsidR="00CE54BE" w:rsidRDefault="00CE54BE" w:rsidP="004B7857">
      <w:pPr>
        <w:spacing w:after="0" w:line="360" w:lineRule="auto"/>
        <w:jc w:val="both"/>
        <w:rPr>
          <w:rFonts w:cs="David"/>
          <w:i/>
          <w:iCs/>
          <w:sz w:val="24"/>
          <w:szCs w:val="24"/>
          <w:u w:val="single"/>
          <w:rtl/>
        </w:rPr>
      </w:pPr>
    </w:p>
    <w:p w:rsidR="00CE54BE" w:rsidRPr="00CE54BE" w:rsidRDefault="00CE54BE" w:rsidP="00CE54BE">
      <w:pPr>
        <w:spacing w:after="0" w:line="360" w:lineRule="auto"/>
        <w:jc w:val="both"/>
        <w:rPr>
          <w:rFonts w:cs="David"/>
          <w:b/>
          <w:bCs/>
          <w:sz w:val="24"/>
          <w:szCs w:val="24"/>
          <w:rtl/>
        </w:rPr>
      </w:pPr>
      <w:r w:rsidRPr="00CE54BE">
        <w:rPr>
          <w:rFonts w:cs="David" w:hint="cs"/>
          <w:sz w:val="24"/>
          <w:szCs w:val="24"/>
          <w:rtl/>
        </w:rPr>
        <w:t>(3)</w:t>
      </w:r>
      <w:r w:rsidR="00EF7F81" w:rsidRPr="00CE54BE">
        <w:rPr>
          <w:rFonts w:cs="David" w:hint="cs"/>
          <w:sz w:val="24"/>
          <w:szCs w:val="24"/>
          <w:rtl/>
        </w:rPr>
        <w:t xml:space="preserve"> </w:t>
      </w:r>
      <w:r w:rsidR="00EF7F81" w:rsidRPr="00CE54BE">
        <w:rPr>
          <w:rFonts w:cs="David" w:hint="cs"/>
          <w:sz w:val="24"/>
          <w:szCs w:val="24"/>
          <w:u w:val="single"/>
          <w:rtl/>
        </w:rPr>
        <w:t>שימוש מישני במידע שהועבר לגופים שרשאים לקבל מידע</w:t>
      </w:r>
      <w:r w:rsidR="00EF7F81" w:rsidRPr="00CE54BE">
        <w:rPr>
          <w:rFonts w:cs="David" w:hint="cs"/>
          <w:b/>
          <w:bCs/>
          <w:sz w:val="24"/>
          <w:szCs w:val="24"/>
          <w:rtl/>
        </w:rPr>
        <w:t xml:space="preserve"> </w:t>
      </w:r>
    </w:p>
    <w:p w:rsidR="00EF7F81" w:rsidRPr="00884821" w:rsidRDefault="00EF7F81" w:rsidP="00CE54BE">
      <w:pPr>
        <w:spacing w:after="0" w:line="360" w:lineRule="auto"/>
        <w:jc w:val="both"/>
        <w:rPr>
          <w:rStyle w:val="default"/>
          <w:rFonts w:cs="David"/>
          <w:sz w:val="24"/>
          <w:szCs w:val="24"/>
        </w:rPr>
      </w:pPr>
      <w:r w:rsidRPr="00884821">
        <w:rPr>
          <w:rStyle w:val="default"/>
          <w:rFonts w:cs="David" w:hint="cs"/>
          <w:sz w:val="24"/>
          <w:szCs w:val="24"/>
          <w:rtl/>
        </w:rPr>
        <w:t xml:space="preserve">מה דינו של מידע שהועבר מן הרשות לגופים הרשאים לקבל מידע? אחת השאלות המרכזיות המתעוררות בהקשר לסוגיית העברת המידע, נוגעת למגבלות השימוש במידע שהועבר מהמאגר לידי הגופים הרשאים לקבל מידע. מחד גיסא, מדובר במידע רגיש ביותר, שהושג תוך שימוש בסמכויות מרחיקות לכת שהוענקו לרשות לאיסור הלבנת הון למטרה אחת בלבד: מאבק בתופעת הלבנת ההון, בארגוני הפשיעה ובמימון הטרור, ולא ראוי לאפשר פגיעה קשה בזכויות הפרט על ידי שימוש במידע הרגיש שנאסף שלא לאותן המטרות שלשמן נאסף מלכתחילה. מאידך גיסא, יש להתחשב במחיר שישלם הציבור אם יוותר על מידע שהיה מאפשר חקירה והעמדה לדין של מי שעברו עבירות חמורות.  התלבטות זו מעלה שאלות בשני מישורים: </w:t>
      </w:r>
    </w:p>
    <w:p w:rsidR="00EF7F81" w:rsidRDefault="00EF7F81" w:rsidP="00C327EE">
      <w:pPr>
        <w:pStyle w:val="a6"/>
        <w:numPr>
          <w:ilvl w:val="0"/>
          <w:numId w:val="6"/>
        </w:numPr>
        <w:spacing w:after="0" w:line="360" w:lineRule="auto"/>
        <w:jc w:val="both"/>
        <w:rPr>
          <w:rStyle w:val="default"/>
          <w:rFonts w:cs="David"/>
          <w:sz w:val="24"/>
          <w:szCs w:val="24"/>
        </w:rPr>
      </w:pPr>
      <w:r w:rsidRPr="001E2E0B">
        <w:rPr>
          <w:rStyle w:val="default"/>
          <w:rFonts w:cs="David" w:hint="cs"/>
          <w:sz w:val="24"/>
          <w:szCs w:val="24"/>
          <w:u w:val="single"/>
          <w:rtl/>
        </w:rPr>
        <w:t>שימוש במידע למטרות נוספות</w:t>
      </w:r>
      <w:r w:rsidRPr="001E2E0B">
        <w:rPr>
          <w:rStyle w:val="default"/>
          <w:rFonts w:cs="David" w:hint="cs"/>
          <w:sz w:val="24"/>
          <w:szCs w:val="24"/>
          <w:rtl/>
        </w:rPr>
        <w:t xml:space="preserve"> </w:t>
      </w:r>
      <w:r w:rsidRPr="001E2E0B">
        <w:rPr>
          <w:rStyle w:val="default"/>
          <w:rFonts w:cs="David"/>
          <w:sz w:val="24"/>
          <w:szCs w:val="24"/>
          <w:rtl/>
        </w:rPr>
        <w:t>–</w:t>
      </w:r>
      <w:r w:rsidRPr="001E2E0B">
        <w:rPr>
          <w:rStyle w:val="default"/>
          <w:rFonts w:cs="David" w:hint="cs"/>
          <w:sz w:val="24"/>
          <w:szCs w:val="24"/>
          <w:rtl/>
        </w:rPr>
        <w:t xml:space="preserve"> סעיף 30(ז) לחוק קובע, כי, ככלל, הגופים הרשאים לקבל מידע רשאים לעשות שימוש במידע שהועבר להם לפי החוק רק לצורך יישומו של חוק איסור הלבנת הון, הגנה על ביטחון המדינה או מלחמה בארגוני הטרור. עם זאת, הגופים הרשאים לקבל מידע רשאים, במסגרת תפקידם, לעשות במידע שימוש לשם חקירה ומניעה של "עבירות נוספות" שלא לפי חוק איסור הלבנת הון, לשם גילוי עבריינים והעמדתם לדין ולשם חקירה ומניעה של פעילות של ארגוני טרור או של פגיעה בביטחון המדינה, בהתאם לכללים ולסוגי העבירות הנוספות שייקבעו בתקנות.</w:t>
      </w:r>
      <w:r w:rsidRPr="001E2E0B">
        <w:rPr>
          <w:rFonts w:cs="David" w:hint="cs"/>
          <w:sz w:val="24"/>
          <w:szCs w:val="24"/>
          <w:rtl/>
        </w:rPr>
        <w:t xml:space="preserve"> תקנות 3 ו-7 לתקנות איסור הלבנת הון (כללים לשימוש במידע שהועבר למשטרת ישראל ולשירות הביטחון הכללי לשם חקירת עבירות נוספות ולהעברתו לרשות אחרת)</w:t>
      </w:r>
      <w:r w:rsidRPr="001E2E0B">
        <w:rPr>
          <w:rFonts w:cs="David"/>
          <w:sz w:val="24"/>
          <w:szCs w:val="24"/>
          <w:rtl/>
        </w:rPr>
        <w:t>, תשס"</w:t>
      </w:r>
      <w:r w:rsidRPr="001E2E0B">
        <w:rPr>
          <w:rFonts w:cs="David" w:hint="cs"/>
          <w:sz w:val="24"/>
          <w:szCs w:val="24"/>
          <w:rtl/>
        </w:rPr>
        <w:t xml:space="preserve">ו-2006 (להלן </w:t>
      </w:r>
      <w:r w:rsidRPr="001E2E0B">
        <w:rPr>
          <w:rFonts w:cs="David"/>
          <w:sz w:val="24"/>
          <w:szCs w:val="24"/>
          <w:rtl/>
        </w:rPr>
        <w:t>–</w:t>
      </w:r>
      <w:r w:rsidRPr="001E2E0B">
        <w:rPr>
          <w:rFonts w:cs="David" w:hint="cs"/>
          <w:sz w:val="24"/>
          <w:szCs w:val="24"/>
          <w:rtl/>
        </w:rPr>
        <w:t xml:space="preserve"> תקנות לשימוש במידע), קובעות כי המשטרה והשב"כ רשאים לעשות שימוש במידע שהועבר להם מהרשות, גם לשם חקירתן ומניעתן של רשימה נרחבת של עבירות של</w:t>
      </w:r>
      <w:r w:rsidRPr="001E2E0B">
        <w:rPr>
          <w:rStyle w:val="default"/>
          <w:rFonts w:cs="David" w:hint="cs"/>
          <w:sz w:val="24"/>
          <w:szCs w:val="24"/>
          <w:rtl/>
        </w:rPr>
        <w:t xml:space="preserve">חלק לא מבוטל מהן אין כל קשר לעבירות "הקלאסיות" של הלבנת הון. </w:t>
      </w:r>
    </w:p>
    <w:p w:rsidR="00EF7F81" w:rsidRPr="001E2E0B" w:rsidRDefault="00EF7F81" w:rsidP="00C327EE">
      <w:pPr>
        <w:pStyle w:val="a6"/>
        <w:numPr>
          <w:ilvl w:val="0"/>
          <w:numId w:val="6"/>
        </w:numPr>
        <w:spacing w:after="120" w:line="360" w:lineRule="auto"/>
        <w:jc w:val="both"/>
        <w:rPr>
          <w:rFonts w:ascii="Times New Roman" w:hAnsi="Times New Roman" w:cs="David"/>
          <w:sz w:val="24"/>
          <w:szCs w:val="24"/>
        </w:rPr>
      </w:pPr>
      <w:r w:rsidRPr="001E2E0B">
        <w:rPr>
          <w:rStyle w:val="default"/>
          <w:rFonts w:cs="David" w:hint="cs"/>
          <w:sz w:val="24"/>
          <w:szCs w:val="24"/>
          <w:u w:val="single"/>
          <w:rtl/>
        </w:rPr>
        <w:t>העברה לגופים אחרים</w:t>
      </w:r>
      <w:r w:rsidRPr="001E2E0B">
        <w:rPr>
          <w:rStyle w:val="default"/>
          <w:rFonts w:cs="David" w:hint="cs"/>
          <w:sz w:val="24"/>
          <w:szCs w:val="24"/>
          <w:rtl/>
        </w:rPr>
        <w:t xml:space="preserve"> </w:t>
      </w:r>
      <w:r w:rsidRPr="001E2E0B">
        <w:rPr>
          <w:rStyle w:val="default"/>
          <w:rFonts w:cs="David"/>
          <w:sz w:val="24"/>
          <w:szCs w:val="24"/>
          <w:rtl/>
        </w:rPr>
        <w:t>–</w:t>
      </w:r>
      <w:r w:rsidRPr="001E2E0B">
        <w:rPr>
          <w:rStyle w:val="default"/>
          <w:rFonts w:cs="David" w:hint="cs"/>
          <w:sz w:val="24"/>
          <w:szCs w:val="24"/>
          <w:rtl/>
        </w:rPr>
        <w:t xml:space="preserve"> סעיף 30(ח) לחוק קובע, כי לרשות הרשאית לקבל מידע אסור להעביר מידע שהועבר לה מהמאגר לרשויות אחרות, אלא רק "לצורך ביצועו של חוק איסור הלבנת הון" או "למטרות המפורטות בסעיף קטן (ז)". בהתאמה, התוספת השלישית לתקנות לשימוש במידע, מכילה שתי רשימות של גופים: </w:t>
      </w:r>
      <w:r w:rsidRPr="001E2E0B">
        <w:rPr>
          <w:rStyle w:val="default"/>
          <w:rFonts w:cs="David" w:hint="cs"/>
          <w:b/>
          <w:bCs/>
          <w:sz w:val="24"/>
          <w:szCs w:val="24"/>
          <w:rtl/>
        </w:rPr>
        <w:t>הראשונה</w:t>
      </w:r>
      <w:r w:rsidRPr="001E2E0B">
        <w:rPr>
          <w:rStyle w:val="default"/>
          <w:rFonts w:cs="David" w:hint="cs"/>
          <w:sz w:val="24"/>
          <w:szCs w:val="24"/>
          <w:rtl/>
        </w:rPr>
        <w:t xml:space="preserve">: גופים שהמשטרה והשב"כ רשאים להעביר להם מידע לשם חקירה ומניעה של "העבירות הנוספות"; </w:t>
      </w:r>
      <w:r w:rsidRPr="001E2E0B">
        <w:rPr>
          <w:rStyle w:val="default"/>
          <w:rFonts w:cs="David" w:hint="cs"/>
          <w:b/>
          <w:bCs/>
          <w:sz w:val="24"/>
          <w:szCs w:val="24"/>
          <w:rtl/>
        </w:rPr>
        <w:t>השניה</w:t>
      </w:r>
      <w:r w:rsidRPr="001E2E0B">
        <w:rPr>
          <w:rStyle w:val="default"/>
          <w:rFonts w:cs="David" w:hint="cs"/>
          <w:sz w:val="24"/>
          <w:szCs w:val="24"/>
          <w:rtl/>
        </w:rPr>
        <w:t xml:space="preserve">: גופים שהמשטרה והשב"כ רשאים להעביר להם מידע לשם ביצועם של "המטרות העיקריות" (ביצוע של </w:t>
      </w:r>
      <w:r w:rsidRPr="001E2E0B">
        <w:rPr>
          <w:rStyle w:val="default"/>
          <w:rFonts w:cs="David"/>
          <w:sz w:val="24"/>
          <w:szCs w:val="24"/>
          <w:rtl/>
        </w:rPr>
        <w:t xml:space="preserve">חוק </w:t>
      </w:r>
      <w:r w:rsidRPr="001E2E0B">
        <w:rPr>
          <w:rStyle w:val="default"/>
          <w:rFonts w:cs="David" w:hint="cs"/>
          <w:sz w:val="24"/>
          <w:szCs w:val="24"/>
          <w:rtl/>
        </w:rPr>
        <w:t xml:space="preserve">איסור הלבנת הון </w:t>
      </w:r>
      <w:r w:rsidRPr="001E2E0B">
        <w:rPr>
          <w:rStyle w:val="default"/>
          <w:rFonts w:cs="David"/>
          <w:sz w:val="24"/>
          <w:szCs w:val="24"/>
          <w:rtl/>
        </w:rPr>
        <w:t xml:space="preserve">או חוק </w:t>
      </w:r>
      <w:r w:rsidRPr="001E2E0B">
        <w:rPr>
          <w:rStyle w:val="default"/>
          <w:rFonts w:cs="David" w:hint="cs"/>
          <w:sz w:val="24"/>
          <w:szCs w:val="24"/>
          <w:rtl/>
        </w:rPr>
        <w:t xml:space="preserve">איסור </w:t>
      </w:r>
      <w:r w:rsidRPr="001E2E0B">
        <w:rPr>
          <w:rStyle w:val="default"/>
          <w:rFonts w:cs="David"/>
          <w:sz w:val="24"/>
          <w:szCs w:val="24"/>
          <w:rtl/>
        </w:rPr>
        <w:t xml:space="preserve">מימון טרור, הגנה על ביטחון המדינה או מלחמה בארגוני </w:t>
      </w:r>
      <w:r w:rsidRPr="001E2E0B">
        <w:rPr>
          <w:rStyle w:val="default"/>
          <w:rFonts w:cs="David" w:hint="cs"/>
          <w:sz w:val="24"/>
          <w:szCs w:val="24"/>
          <w:rtl/>
        </w:rPr>
        <w:t xml:space="preserve">ובמעשי </w:t>
      </w:r>
      <w:r w:rsidRPr="001E2E0B">
        <w:rPr>
          <w:rStyle w:val="default"/>
          <w:rFonts w:cs="David"/>
          <w:sz w:val="24"/>
          <w:szCs w:val="24"/>
          <w:rtl/>
        </w:rPr>
        <w:t>טרור</w:t>
      </w:r>
      <w:r w:rsidRPr="001E2E0B">
        <w:rPr>
          <w:rStyle w:val="default"/>
          <w:rFonts w:cs="David" w:hint="cs"/>
          <w:sz w:val="24"/>
          <w:szCs w:val="24"/>
          <w:rtl/>
        </w:rPr>
        <w:t xml:space="preserve">). </w:t>
      </w:r>
    </w:p>
    <w:p w:rsidR="00EF7F81" w:rsidRDefault="00EF7F81" w:rsidP="00EF7F81">
      <w:pPr>
        <w:spacing w:after="0" w:line="240" w:lineRule="auto"/>
        <w:jc w:val="both"/>
        <w:rPr>
          <w:rFonts w:cs="David"/>
          <w:color w:val="0070C0"/>
          <w:sz w:val="24"/>
          <w:szCs w:val="24"/>
          <w:rtl/>
        </w:rPr>
      </w:pPr>
    </w:p>
    <w:p w:rsidR="00EF7F81" w:rsidRDefault="00EF7F81" w:rsidP="00EF7F81">
      <w:pPr>
        <w:spacing w:after="0" w:line="240" w:lineRule="auto"/>
        <w:jc w:val="both"/>
        <w:rPr>
          <w:rFonts w:cs="David"/>
          <w:color w:val="0070C0"/>
          <w:sz w:val="24"/>
          <w:szCs w:val="24"/>
          <w:rtl/>
        </w:rPr>
      </w:pPr>
    </w:p>
    <w:p w:rsidR="00496A35" w:rsidRDefault="00AB5509"/>
    <w:sectPr w:rsidR="00496A35" w:rsidSect="00E95A57">
      <w:footerReference w:type="default" r:id="rId8"/>
      <w:pgSz w:w="11906" w:h="16838"/>
      <w:pgMar w:top="1134" w:right="1644" w:bottom="1134" w:left="164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509" w:rsidRDefault="00AB5509" w:rsidP="00EF7F81">
      <w:pPr>
        <w:spacing w:after="0" w:line="240" w:lineRule="auto"/>
      </w:pPr>
      <w:r>
        <w:separator/>
      </w:r>
    </w:p>
  </w:endnote>
  <w:endnote w:type="continuationSeparator" w:id="0">
    <w:p w:rsidR="00AB5509" w:rsidRDefault="00AB5509" w:rsidP="00EF7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843501527"/>
      <w:docPartObj>
        <w:docPartGallery w:val="Page Numbers (Bottom of Page)"/>
        <w:docPartUnique/>
      </w:docPartObj>
    </w:sdtPr>
    <w:sdtEndPr>
      <w:rPr>
        <w:cs/>
      </w:rPr>
    </w:sdtEndPr>
    <w:sdtContent>
      <w:p w:rsidR="009600D0" w:rsidRDefault="009600D0">
        <w:pPr>
          <w:pStyle w:val="a9"/>
          <w:jc w:val="center"/>
          <w:rPr>
            <w:rtl/>
            <w:cs/>
          </w:rPr>
        </w:pPr>
        <w:r w:rsidRPr="009600D0">
          <w:rPr>
            <w:sz w:val="16"/>
            <w:szCs w:val="16"/>
          </w:rPr>
          <w:fldChar w:fldCharType="begin"/>
        </w:r>
        <w:r w:rsidRPr="009600D0">
          <w:rPr>
            <w:sz w:val="16"/>
            <w:szCs w:val="16"/>
            <w:rtl/>
            <w:cs/>
          </w:rPr>
          <w:instrText>PAGE   \* MERGEFORMAT</w:instrText>
        </w:r>
        <w:r w:rsidRPr="009600D0">
          <w:rPr>
            <w:sz w:val="16"/>
            <w:szCs w:val="16"/>
          </w:rPr>
          <w:fldChar w:fldCharType="separate"/>
        </w:r>
        <w:r w:rsidR="001D174F" w:rsidRPr="001D174F">
          <w:rPr>
            <w:noProof/>
            <w:sz w:val="16"/>
            <w:szCs w:val="16"/>
            <w:rtl/>
            <w:lang w:val="he-IL"/>
          </w:rPr>
          <w:t>1</w:t>
        </w:r>
        <w:r w:rsidRPr="009600D0">
          <w:rPr>
            <w:sz w:val="16"/>
            <w:szCs w:val="16"/>
          </w:rPr>
          <w:fldChar w:fldCharType="end"/>
        </w:r>
      </w:p>
    </w:sdtContent>
  </w:sdt>
  <w:p w:rsidR="009600D0" w:rsidRDefault="009600D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509" w:rsidRDefault="00AB5509" w:rsidP="00EF7F81">
      <w:pPr>
        <w:spacing w:after="0" w:line="240" w:lineRule="auto"/>
      </w:pPr>
      <w:r>
        <w:separator/>
      </w:r>
    </w:p>
  </w:footnote>
  <w:footnote w:type="continuationSeparator" w:id="0">
    <w:p w:rsidR="00AB5509" w:rsidRDefault="00AB5509" w:rsidP="00EF7F81">
      <w:pPr>
        <w:spacing w:after="0" w:line="240" w:lineRule="auto"/>
      </w:pPr>
      <w:r>
        <w:continuationSeparator/>
      </w:r>
    </w:p>
  </w:footnote>
  <w:footnote w:id="1">
    <w:p w:rsidR="00EF7F81" w:rsidRPr="0045210D" w:rsidRDefault="00EF7F81" w:rsidP="00EF7F81">
      <w:pPr>
        <w:pStyle w:val="a4"/>
        <w:rPr>
          <w:rtl/>
        </w:rPr>
      </w:pPr>
      <w:r>
        <w:rPr>
          <w:rStyle w:val="a3"/>
        </w:rPr>
        <w:footnoteRef/>
      </w:r>
      <w:r>
        <w:rPr>
          <w:rtl/>
        </w:rPr>
        <w:t xml:space="preserve"> </w:t>
      </w:r>
      <w:r>
        <w:rPr>
          <w:rFonts w:hint="cs"/>
          <w:rtl/>
        </w:rPr>
        <w:t xml:space="preserve">בסקירה זו, ובמהלך כל מסמך ההכנה, נעשה שימוש נרחב בספר: יעל גרוסמן, רוני בלקין, סאלי ליכט </w:t>
      </w:r>
      <w:r>
        <w:rPr>
          <w:rFonts w:hint="cs"/>
          <w:b/>
          <w:bCs/>
          <w:rtl/>
        </w:rPr>
        <w:t>איסור הלבנת הון להלכה ולמעשה</w:t>
      </w:r>
      <w:r>
        <w:rPr>
          <w:rFonts w:hint="cs"/>
          <w:rtl/>
        </w:rPr>
        <w:t xml:space="preserve"> (מהדורה שניה מורחבת) (התשע"ג-2013).</w:t>
      </w:r>
    </w:p>
  </w:footnote>
  <w:footnote w:id="2">
    <w:p w:rsidR="00EF7F81" w:rsidRDefault="00EF7F81" w:rsidP="0007758D">
      <w:pPr>
        <w:pStyle w:val="a4"/>
        <w:rPr>
          <w:rtl/>
        </w:rPr>
      </w:pPr>
      <w:r>
        <w:rPr>
          <w:rStyle w:val="a3"/>
        </w:rPr>
        <w:footnoteRef/>
      </w:r>
      <w:r>
        <w:rPr>
          <w:rtl/>
        </w:rPr>
        <w:t xml:space="preserve"> </w:t>
      </w:r>
      <w:r w:rsidRPr="002E74EE">
        <w:rPr>
          <w:rFonts w:hint="cs"/>
          <w:color w:val="auto"/>
          <w:sz w:val="20"/>
          <w:rtl/>
        </w:rPr>
        <w:t xml:space="preserve">ארגון </w:t>
      </w:r>
      <w:r w:rsidRPr="002E74EE">
        <w:rPr>
          <w:color w:val="auto"/>
          <w:sz w:val="20"/>
          <w:rtl/>
        </w:rPr>
        <w:t xml:space="preserve">ה- </w:t>
      </w:r>
      <w:hyperlink r:id="rId1" w:history="1">
        <w:r w:rsidRPr="002E74EE">
          <w:rPr>
            <w:color w:val="auto"/>
            <w:sz w:val="16"/>
            <w:szCs w:val="16"/>
          </w:rPr>
          <w:t>FATF</w:t>
        </w:r>
      </w:hyperlink>
      <w:r w:rsidRPr="002E74EE">
        <w:rPr>
          <w:color w:val="auto"/>
          <w:sz w:val="16"/>
          <w:szCs w:val="16"/>
          <w:rtl/>
        </w:rPr>
        <w:t> </w:t>
      </w:r>
      <w:r w:rsidRPr="002E74EE">
        <w:rPr>
          <w:rFonts w:hint="cs"/>
          <w:color w:val="auto"/>
          <w:sz w:val="16"/>
          <w:szCs w:val="16"/>
          <w:rtl/>
        </w:rPr>
        <w:t xml:space="preserve"> </w:t>
      </w:r>
      <w:r w:rsidRPr="002E74EE">
        <w:rPr>
          <w:rFonts w:hint="cs"/>
          <w:color w:val="auto"/>
          <w:sz w:val="20"/>
          <w:rtl/>
        </w:rPr>
        <w:t>(</w:t>
      </w:r>
      <w:r w:rsidRPr="002E74EE">
        <w:rPr>
          <w:color w:val="auto"/>
          <w:sz w:val="16"/>
          <w:szCs w:val="16"/>
        </w:rPr>
        <w:t>Financial Action Task Force on Money Laundering</w:t>
      </w:r>
      <w:r w:rsidRPr="002E74EE">
        <w:rPr>
          <w:color w:val="auto"/>
          <w:sz w:val="20"/>
          <w:rtl/>
        </w:rPr>
        <w:t>)</w:t>
      </w:r>
      <w:r w:rsidRPr="002E74EE">
        <w:rPr>
          <w:rFonts w:hint="cs"/>
          <w:color w:val="auto"/>
          <w:sz w:val="20"/>
          <w:rtl/>
        </w:rPr>
        <w:t>. הוא כוח משימה</w:t>
      </w:r>
      <w:r w:rsidRPr="002E74EE">
        <w:rPr>
          <w:color w:val="auto"/>
          <w:sz w:val="20"/>
          <w:rtl/>
        </w:rPr>
        <w:t xml:space="preserve"> בינלאומי</w:t>
      </w:r>
      <w:r w:rsidRPr="002E74EE">
        <w:rPr>
          <w:rFonts w:hint="cs"/>
          <w:color w:val="auto"/>
          <w:sz w:val="20"/>
          <w:rtl/>
        </w:rPr>
        <w:t>, שהוקם בשנת 1989,</w:t>
      </w:r>
      <w:r w:rsidRPr="002E74EE">
        <w:rPr>
          <w:color w:val="auto"/>
          <w:sz w:val="20"/>
          <w:rtl/>
        </w:rPr>
        <w:t xml:space="preserve"> שמטרתו </w:t>
      </w:r>
      <w:r w:rsidRPr="002E74EE">
        <w:rPr>
          <w:rFonts w:hint="cs"/>
          <w:color w:val="auto"/>
          <w:sz w:val="20"/>
          <w:rtl/>
        </w:rPr>
        <w:t xml:space="preserve">היא </w:t>
      </w:r>
      <w:r w:rsidRPr="002E74EE">
        <w:rPr>
          <w:color w:val="auto"/>
          <w:sz w:val="20"/>
          <w:rtl/>
        </w:rPr>
        <w:t>לפתח ולקדם מדיניות, במישור הלאומי והבינלאומי, שנועדה להיאבק בהלבנת ההון ובמימון הטרור.</w:t>
      </w:r>
      <w:r w:rsidRPr="002E74EE">
        <w:rPr>
          <w:rFonts w:hint="cs"/>
          <w:color w:val="auto"/>
          <w:sz w:val="20"/>
          <w:rtl/>
        </w:rPr>
        <w:t xml:space="preserve"> בשנת 1990, פרסם ארגון </w:t>
      </w:r>
      <w:r w:rsidRPr="002E74EE">
        <w:rPr>
          <w:color w:val="auto"/>
          <w:sz w:val="20"/>
          <w:rtl/>
        </w:rPr>
        <w:t>ה-</w:t>
      </w:r>
      <w:r w:rsidRPr="002E74EE">
        <w:rPr>
          <w:color w:val="auto"/>
          <w:sz w:val="16"/>
          <w:szCs w:val="16"/>
        </w:rPr>
        <w:t>FATF</w:t>
      </w:r>
      <w:r w:rsidRPr="002E74EE">
        <w:rPr>
          <w:rFonts w:hint="cs"/>
          <w:color w:val="auto"/>
          <w:sz w:val="16"/>
          <w:szCs w:val="16"/>
          <w:rtl/>
        </w:rPr>
        <w:t xml:space="preserve"> </w:t>
      </w:r>
      <w:r w:rsidRPr="002E74EE">
        <w:rPr>
          <w:rFonts w:hint="cs"/>
          <w:color w:val="auto"/>
          <w:sz w:val="20"/>
          <w:rtl/>
        </w:rPr>
        <w:t xml:space="preserve">ארבעים </w:t>
      </w:r>
      <w:hyperlink r:id="rId2" w:tgtFrame="_blank" w:history="1">
        <w:r w:rsidRPr="002E74EE">
          <w:rPr>
            <w:rFonts w:hint="cs"/>
            <w:color w:val="auto"/>
            <w:sz w:val="20"/>
            <w:rtl/>
          </w:rPr>
          <w:t>המלצות</w:t>
        </w:r>
      </w:hyperlink>
      <w:r w:rsidRPr="002E74EE">
        <w:rPr>
          <w:color w:val="auto"/>
          <w:sz w:val="20"/>
          <w:rtl/>
        </w:rPr>
        <w:t xml:space="preserve"> </w:t>
      </w:r>
      <w:r w:rsidRPr="002E74EE">
        <w:rPr>
          <w:rFonts w:hint="cs"/>
          <w:color w:val="auto"/>
          <w:sz w:val="20"/>
          <w:rtl/>
        </w:rPr>
        <w:t>ה</w:t>
      </w:r>
      <w:r w:rsidRPr="002E74EE">
        <w:rPr>
          <w:color w:val="auto"/>
          <w:sz w:val="20"/>
          <w:rtl/>
        </w:rPr>
        <w:t>מהוות את המסגרת למאבק בהלבנת ההון</w:t>
      </w:r>
      <w:r w:rsidRPr="002E74EE">
        <w:rPr>
          <w:rFonts w:hint="cs"/>
          <w:color w:val="auto"/>
          <w:sz w:val="20"/>
          <w:rtl/>
        </w:rPr>
        <w:t xml:space="preserve">. המלצות אלו עודכנו בשנת 2012, ותמציתם היא: (1) קביעת עבירה פלילית של הלבנת הון שמקורו ברווחים מפשעים חמורים; (2) חקיקה המאפשרת תפיסה וחילוט של נכסים שמקורם בפשע; (3) הטלת חובות על מוסדות פיננסים לזיהוי לקוחות, אימות פרטי הזיהוי, זיהוי הנהנה האמיתי ובעלי השליטה, ושמירת רישומים מתאימים; (4) הטלת חובה על מוסדות פיננסים לדווח על עסקאות חשודות/בלתי רגילות; (5) שיתוף פעולה בינלאומי אפקטיבי. </w:t>
      </w:r>
      <w:r w:rsidRPr="002E74EE">
        <w:rPr>
          <w:color w:val="auto"/>
          <w:sz w:val="20"/>
          <w:rtl/>
        </w:rPr>
        <w:t>בעקבות מתקפות הטרור על ארה"ב ב-11 לספטמבר 2001</w:t>
      </w:r>
      <w:r w:rsidRPr="002E74EE">
        <w:rPr>
          <w:rFonts w:hint="cs"/>
          <w:color w:val="auto"/>
          <w:sz w:val="20"/>
          <w:rtl/>
        </w:rPr>
        <w:t>,</w:t>
      </w:r>
      <w:r w:rsidRPr="002E74EE">
        <w:rPr>
          <w:color w:val="auto"/>
          <w:sz w:val="20"/>
          <w:rtl/>
        </w:rPr>
        <w:t xml:space="preserve"> </w:t>
      </w:r>
      <w:r w:rsidRPr="002E74EE">
        <w:rPr>
          <w:rFonts w:hint="cs"/>
          <w:color w:val="auto"/>
          <w:sz w:val="20"/>
          <w:rtl/>
        </w:rPr>
        <w:t xml:space="preserve">פרסם </w:t>
      </w:r>
      <w:r w:rsidRPr="002E74EE">
        <w:rPr>
          <w:color w:val="auto"/>
          <w:sz w:val="20"/>
          <w:rtl/>
        </w:rPr>
        <w:t>ארגון ה-</w:t>
      </w:r>
      <w:r w:rsidRPr="002E74EE">
        <w:rPr>
          <w:color w:val="auto"/>
          <w:sz w:val="16"/>
          <w:szCs w:val="16"/>
        </w:rPr>
        <w:t>FATF</w:t>
      </w:r>
      <w:r w:rsidRPr="002E74EE">
        <w:rPr>
          <w:color w:val="auto"/>
          <w:sz w:val="16"/>
          <w:szCs w:val="16"/>
          <w:rtl/>
        </w:rPr>
        <w:t xml:space="preserve"> </w:t>
      </w:r>
      <w:r w:rsidRPr="002E74EE">
        <w:rPr>
          <w:rFonts w:hint="cs"/>
          <w:color w:val="auto"/>
          <w:sz w:val="20"/>
          <w:rtl/>
        </w:rPr>
        <w:t>תשע המלצות נוספות, הקובעות סטנדרטים בינלאומיים בתחום מימון טרור.</w:t>
      </w:r>
      <w:r w:rsidRPr="002E74EE">
        <w:rPr>
          <w:color w:val="auto"/>
          <w:sz w:val="20"/>
          <w:rtl/>
        </w:rPr>
        <w:t xml:space="preserve"> ה-</w:t>
      </w:r>
      <w:r w:rsidRPr="002E74EE">
        <w:rPr>
          <w:color w:val="auto"/>
          <w:sz w:val="16"/>
          <w:szCs w:val="16"/>
        </w:rPr>
        <w:t>FATF</w:t>
      </w:r>
      <w:r w:rsidRPr="002E74EE">
        <w:rPr>
          <w:rFonts w:hint="cs"/>
          <w:color w:val="auto"/>
          <w:sz w:val="16"/>
          <w:szCs w:val="16"/>
          <w:rtl/>
        </w:rPr>
        <w:t xml:space="preserve"> </w:t>
      </w:r>
      <w:r w:rsidRPr="002E74EE">
        <w:rPr>
          <w:rFonts w:hint="cs"/>
          <w:color w:val="auto"/>
          <w:sz w:val="20"/>
          <w:rtl/>
        </w:rPr>
        <w:t>עוקב באופן שוטף אחר מידת שיתוף הפעולה של כל מדינה במאמץ הבינלאומי במלחמה בהלבנת ההון, ומפרסם "רשימה שחורה" של מדינות שאינן משתפות פעולה ועל כן מצויות בסיכון גבוה. יוער, כי בעבר נכללה ישראל ב"רשימה השחורה", ורק לאחר קידום החקיקה בתחום ופעילותם הענפה של מכלול הגורמים העוסקים בנושא, כמו גם שיתוף הפעולה מצד המגזר הפרטי, הוצאה מדינת ישראל, בשנת 2003, מן "הרשימה השחורה". גורם נוסף שיש לציין בהקשר זה הוא ארגון ה-</w:t>
      </w:r>
      <w:r w:rsidRPr="002E74EE">
        <w:rPr>
          <w:color w:val="auto"/>
          <w:sz w:val="16"/>
          <w:szCs w:val="16"/>
        </w:rPr>
        <w:t>Moneyval</w:t>
      </w:r>
      <w:r w:rsidRPr="002E74EE">
        <w:rPr>
          <w:rFonts w:hint="cs"/>
          <w:color w:val="auto"/>
          <w:sz w:val="20"/>
          <w:rtl/>
        </w:rPr>
        <w:t xml:space="preserve">. מדובר בארגון הפועל באזורנו ברוח ארגון </w:t>
      </w:r>
      <w:r w:rsidRPr="002E74EE">
        <w:rPr>
          <w:color w:val="auto"/>
          <w:sz w:val="20"/>
          <w:rtl/>
        </w:rPr>
        <w:t>ה-</w:t>
      </w:r>
      <w:r w:rsidRPr="002E74EE">
        <w:rPr>
          <w:color w:val="auto"/>
          <w:sz w:val="16"/>
          <w:szCs w:val="16"/>
        </w:rPr>
        <w:t>FATF</w:t>
      </w:r>
      <w:r w:rsidRPr="002E74EE">
        <w:rPr>
          <w:rFonts w:hint="cs"/>
          <w:color w:val="auto"/>
          <w:sz w:val="20"/>
          <w:rtl/>
        </w:rPr>
        <w:t>, ומדינת ישראל הצטרפה אליו במעמד של משקיפה פעילה בינואר 2006. ארגון ה-</w:t>
      </w:r>
      <w:r w:rsidRPr="002E74EE">
        <w:rPr>
          <w:color w:val="auto"/>
          <w:sz w:val="16"/>
          <w:szCs w:val="16"/>
        </w:rPr>
        <w:t>Moneyval</w:t>
      </w:r>
      <w:r w:rsidRPr="002E74EE">
        <w:rPr>
          <w:rFonts w:hint="cs"/>
          <w:color w:val="auto"/>
          <w:sz w:val="16"/>
          <w:szCs w:val="16"/>
          <w:rtl/>
        </w:rPr>
        <w:t xml:space="preserve"> </w:t>
      </w:r>
      <w:r w:rsidRPr="002E74EE">
        <w:rPr>
          <w:rFonts w:hint="cs"/>
          <w:color w:val="auto"/>
          <w:sz w:val="20"/>
          <w:rtl/>
        </w:rPr>
        <w:t>מקיים ביקורת הדדית בין המדינות החברות בו בנוגע לעמידה בסטנדרטים בתחום הלבנת הון ומימון טרור.</w:t>
      </w:r>
      <w:r w:rsidRPr="002E74EE">
        <w:rPr>
          <w:color w:val="auto"/>
          <w:sz w:val="20"/>
          <w:rtl/>
        </w:rPr>
        <w:t xml:space="preserve"> </w:t>
      </w:r>
      <w:r w:rsidRPr="002E74EE">
        <w:rPr>
          <w:rFonts w:hint="cs"/>
          <w:color w:val="auto"/>
          <w:sz w:val="20"/>
          <w:rtl/>
        </w:rPr>
        <w:t>מדינת ישראל עמדה, בשנת 2008 ובראשית שנת 2013, לביקורת על ידי הארגון בנוגע לעמידתה בסטנדרטים בתחום הלבנת הון ומימון טרור.</w:t>
      </w:r>
    </w:p>
  </w:footnote>
  <w:footnote w:id="3">
    <w:p w:rsidR="00EF7F81" w:rsidRDefault="00EF7F81" w:rsidP="00EF7F81">
      <w:pPr>
        <w:pStyle w:val="a4"/>
      </w:pPr>
      <w:r>
        <w:rPr>
          <w:rStyle w:val="a3"/>
        </w:rPr>
        <w:footnoteRef/>
      </w:r>
      <w:r>
        <w:rPr>
          <w:rtl/>
        </w:rPr>
        <w:t xml:space="preserve"> </w:t>
      </w:r>
      <w:r w:rsidRPr="00892FF9">
        <w:rPr>
          <w:rFonts w:hint="cs"/>
          <w:color w:val="auto"/>
          <w:sz w:val="20"/>
          <w:rtl/>
        </w:rPr>
        <w:t>עבירה לפי ס' 400 לחוק העונשין, התשל"ז-1977</w:t>
      </w:r>
      <w:r>
        <w:rPr>
          <w:rFonts w:hint="cs"/>
          <w:color w:val="auto"/>
          <w:sz w:val="20"/>
          <w:rtl/>
        </w:rPr>
        <w:t>.</w:t>
      </w:r>
    </w:p>
  </w:footnote>
  <w:footnote w:id="4">
    <w:p w:rsidR="00EF7F81" w:rsidRDefault="00EF7F81" w:rsidP="00EF7F81">
      <w:pPr>
        <w:pStyle w:val="a4"/>
        <w:rPr>
          <w:rtl/>
        </w:rPr>
      </w:pPr>
      <w:r>
        <w:rPr>
          <w:rStyle w:val="a3"/>
        </w:rPr>
        <w:footnoteRef/>
      </w:r>
      <w:r>
        <w:rPr>
          <w:rtl/>
        </w:rPr>
        <w:t xml:space="preserve"> </w:t>
      </w:r>
      <w:r w:rsidRPr="007158F6">
        <w:rPr>
          <w:rFonts w:hint="cs"/>
          <w:color w:val="auto"/>
          <w:rtl/>
        </w:rPr>
        <w:t>או שמטרתה למנוע דיווח המחויב על פי החוק על הכנסה או הוצאה של כספים לישראל ומישראל</w:t>
      </w:r>
      <w:r>
        <w:rPr>
          <w:rFonts w:hint="cs"/>
          <w:rtl/>
        </w:rPr>
        <w:t>.</w:t>
      </w:r>
    </w:p>
  </w:footnote>
  <w:footnote w:id="5">
    <w:p w:rsidR="00EF7F81" w:rsidRDefault="00EF7F81" w:rsidP="00EF7F81">
      <w:pPr>
        <w:pStyle w:val="a4"/>
      </w:pPr>
      <w:r>
        <w:rPr>
          <w:rStyle w:val="a3"/>
        </w:rPr>
        <w:footnoteRef/>
      </w:r>
      <w:r>
        <w:rPr>
          <w:rtl/>
        </w:rPr>
        <w:t xml:space="preserve"> </w:t>
      </w:r>
      <w:r>
        <w:rPr>
          <w:rFonts w:hint="cs"/>
          <w:rtl/>
        </w:rPr>
        <w:t>התוספת השניה לחוק מונה את סוגי הרכוש הבאים, ובלבד ששווי הרכוש הוא 150,000 ₪ (בין אם זה נעשה בפעולה אחת ובין בכמה פעולות ברכוש שמצטברות לסכום האמור בתקופה של שלושה חודשים): חפצי אמנות; כלי קודש ויודאיקה; כלי תחבורה, לרבות כלי שיט וטיס; אבנים ומתכות יקרות; ניירות ערך; נכסי דלא ניידי; עתיקות;  שטיחים; וכספים מעל לסכום של 500,000 ₪.</w:t>
      </w:r>
    </w:p>
  </w:footnote>
  <w:footnote w:id="6">
    <w:p w:rsidR="00EF7F81" w:rsidRDefault="00EF7F81" w:rsidP="00EF7F81">
      <w:pPr>
        <w:pStyle w:val="a4"/>
        <w:rPr>
          <w:rtl/>
        </w:rPr>
      </w:pPr>
      <w:r>
        <w:rPr>
          <w:rStyle w:val="a3"/>
        </w:rPr>
        <w:footnoteRef/>
      </w:r>
      <w:r w:rsidRPr="00266A8A">
        <w:rPr>
          <w:sz w:val="20"/>
          <w:rtl/>
        </w:rPr>
        <w:t xml:space="preserve"> </w:t>
      </w:r>
      <w:r w:rsidRPr="00266A8A">
        <w:rPr>
          <w:rFonts w:hint="cs"/>
          <w:sz w:val="20"/>
          <w:rtl/>
        </w:rPr>
        <w:t>בנק; חבר בורסה; מנהל תיקים; חברת ביטוח וסוכן ביטוח; חברה מנהלת של קופות גמל; נותן שירותי מטבע; בנק הדואר; סוחרים באבנים יקרות; נותן שירות עסקי (=עו"ד ורו"ח; ההסדר החל על נותן שירות עסקי הוא מעט שונה, שכן הוא אינו כולל חובות דיווח); זירות סוחר.</w:t>
      </w:r>
    </w:p>
  </w:footnote>
  <w:footnote w:id="7">
    <w:p w:rsidR="00EF7F81" w:rsidRDefault="00EF7F81" w:rsidP="00EF7F81">
      <w:pPr>
        <w:pStyle w:val="a4"/>
      </w:pPr>
      <w:r>
        <w:rPr>
          <w:rStyle w:val="a3"/>
        </w:rPr>
        <w:footnoteRef/>
      </w:r>
      <w:r>
        <w:rPr>
          <w:rtl/>
        </w:rPr>
        <w:t xml:space="preserve"> </w:t>
      </w:r>
      <w:r w:rsidRPr="00417A04">
        <w:rPr>
          <w:rFonts w:hint="cs"/>
          <w:color w:val="auto"/>
          <w:sz w:val="20"/>
          <w:rtl/>
        </w:rPr>
        <w:t>לפי ס</w:t>
      </w:r>
      <w:r>
        <w:rPr>
          <w:rFonts w:hint="cs"/>
          <w:color w:val="auto"/>
          <w:sz w:val="20"/>
          <w:rtl/>
        </w:rPr>
        <w:t>עיף</w:t>
      </w:r>
      <w:r w:rsidRPr="00417A04">
        <w:rPr>
          <w:rFonts w:hint="cs"/>
          <w:color w:val="auto"/>
          <w:sz w:val="20"/>
          <w:rtl/>
        </w:rPr>
        <w:t xml:space="preserve"> 31ב(א) לחוק, מחויבת הרשות לדווח לוועדת החוקה, חוק ומשפט, מידי שנה, על מספר הדיווחים שהועברו אליה בהתאם לצווים האמורים.</w:t>
      </w:r>
      <w:r>
        <w:rPr>
          <w:rFonts w:hint="cs"/>
          <w:rtl/>
        </w:rPr>
        <w:t xml:space="preserve"> בדו"ח האחרון שנמסר לוועדה (ביחס לדיווחים שהתקבלו ברשות בשנת 2014), דווח כי נמסרו 1,164,857 דיווחים על פעולות רגילות, ועוד 36,993 דיווחים על פעולות בלתי רגילות.</w:t>
      </w:r>
    </w:p>
  </w:footnote>
  <w:footnote w:id="8">
    <w:p w:rsidR="00EF7F81" w:rsidRDefault="00EF7F81" w:rsidP="00EF7F81">
      <w:pPr>
        <w:pStyle w:val="a4"/>
        <w:rPr>
          <w:rtl/>
        </w:rPr>
      </w:pPr>
      <w:r>
        <w:rPr>
          <w:rStyle w:val="a3"/>
        </w:rPr>
        <w:footnoteRef/>
      </w:r>
      <w:r>
        <w:rPr>
          <w:rtl/>
        </w:rPr>
        <w:t xml:space="preserve"> </w:t>
      </w:r>
      <w:r w:rsidRPr="00EF7F81">
        <w:rPr>
          <w:rFonts w:hint="cs"/>
          <w:rtl/>
        </w:rPr>
        <w:t>גורם נוסף שרשאי לעיין במידע שבמאגר, לפי החוק, הוא היועץ המשפטי לממשלה, וזאת, בתפקידו כערכאת ערר, במקרים בהם הרשות סירבה להיעתר לבקשת המשטרה או השב"כ להעביר להם מידע. במקרים אלו, רשאי היועץ המשפטי לממשלה לעיין במידע שבמאגר לשם גיבוש החלטתו בערר (ס' 30(ד)).</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13273"/>
    <w:multiLevelType w:val="hybridMultilevel"/>
    <w:tmpl w:val="725A5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B8002D"/>
    <w:multiLevelType w:val="hybridMultilevel"/>
    <w:tmpl w:val="B6E4EADA"/>
    <w:lvl w:ilvl="0" w:tplc="AACA7E2E">
      <w:start w:val="1"/>
      <w:numFmt w:val="bullet"/>
      <w:lvlText w:val=""/>
      <w:lvlJc w:val="left"/>
      <w:pPr>
        <w:tabs>
          <w:tab w:val="num" w:pos="720"/>
        </w:tabs>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B54EC9"/>
    <w:multiLevelType w:val="hybridMultilevel"/>
    <w:tmpl w:val="8E9A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023C68"/>
    <w:multiLevelType w:val="hybridMultilevel"/>
    <w:tmpl w:val="2834B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77219C"/>
    <w:multiLevelType w:val="hybridMultilevel"/>
    <w:tmpl w:val="4AD43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F468B9"/>
    <w:multiLevelType w:val="hybridMultilevel"/>
    <w:tmpl w:val="9D821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F82421"/>
    <w:multiLevelType w:val="hybridMultilevel"/>
    <w:tmpl w:val="7D6E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F81"/>
    <w:rsid w:val="00020CEA"/>
    <w:rsid w:val="000225B9"/>
    <w:rsid w:val="0007758D"/>
    <w:rsid w:val="001D174F"/>
    <w:rsid w:val="00224B57"/>
    <w:rsid w:val="0037400A"/>
    <w:rsid w:val="00460512"/>
    <w:rsid w:val="004B7857"/>
    <w:rsid w:val="00653709"/>
    <w:rsid w:val="009600D0"/>
    <w:rsid w:val="00A270C6"/>
    <w:rsid w:val="00AB5509"/>
    <w:rsid w:val="00C327EE"/>
    <w:rsid w:val="00CE54BE"/>
    <w:rsid w:val="00D276EF"/>
    <w:rsid w:val="00D93992"/>
    <w:rsid w:val="00DF344E"/>
    <w:rsid w:val="00E95A57"/>
    <w:rsid w:val="00EF7F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F81"/>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EF7F81"/>
    <w:rPr>
      <w:vertAlign w:val="superscript"/>
    </w:rPr>
  </w:style>
  <w:style w:type="paragraph" w:styleId="a4">
    <w:name w:val="footnote text"/>
    <w:basedOn w:val="a"/>
    <w:link w:val="a5"/>
    <w:autoRedefine/>
    <w:semiHidden/>
    <w:rsid w:val="00EF7F81"/>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EF7F81"/>
    <w:rPr>
      <w:rFonts w:ascii="Arial" w:eastAsia="Arial Unicode MS" w:hAnsi="Arial" w:cs="David"/>
      <w:snapToGrid w:val="0"/>
      <w:color w:val="000000"/>
      <w:sz w:val="14"/>
      <w:szCs w:val="20"/>
      <w:lang w:eastAsia="ja-JP"/>
    </w:rPr>
  </w:style>
  <w:style w:type="paragraph" w:styleId="a6">
    <w:name w:val="List Paragraph"/>
    <w:basedOn w:val="a"/>
    <w:uiPriority w:val="34"/>
    <w:qFormat/>
    <w:rsid w:val="00EF7F81"/>
    <w:pPr>
      <w:ind w:left="720"/>
      <w:contextualSpacing/>
    </w:pPr>
  </w:style>
  <w:style w:type="character" w:customStyle="1" w:styleId="default">
    <w:name w:val="default"/>
    <w:rsid w:val="00EF7F81"/>
    <w:rPr>
      <w:rFonts w:ascii="Times New Roman" w:hAnsi="Times New Roman" w:cs="Times New Roman"/>
      <w:sz w:val="26"/>
      <w:szCs w:val="26"/>
    </w:rPr>
  </w:style>
  <w:style w:type="paragraph" w:styleId="a7">
    <w:name w:val="header"/>
    <w:basedOn w:val="a"/>
    <w:link w:val="a8"/>
    <w:uiPriority w:val="99"/>
    <w:unhideWhenUsed/>
    <w:rsid w:val="009600D0"/>
    <w:pPr>
      <w:tabs>
        <w:tab w:val="center" w:pos="4153"/>
        <w:tab w:val="right" w:pos="8306"/>
      </w:tabs>
      <w:spacing w:after="0" w:line="240" w:lineRule="auto"/>
    </w:pPr>
  </w:style>
  <w:style w:type="character" w:customStyle="1" w:styleId="a8">
    <w:name w:val="כותרת עליונה תו"/>
    <w:basedOn w:val="a0"/>
    <w:link w:val="a7"/>
    <w:uiPriority w:val="99"/>
    <w:rsid w:val="009600D0"/>
  </w:style>
  <w:style w:type="paragraph" w:styleId="a9">
    <w:name w:val="footer"/>
    <w:basedOn w:val="a"/>
    <w:link w:val="aa"/>
    <w:uiPriority w:val="99"/>
    <w:unhideWhenUsed/>
    <w:rsid w:val="009600D0"/>
    <w:pPr>
      <w:tabs>
        <w:tab w:val="center" w:pos="4153"/>
        <w:tab w:val="right" w:pos="8306"/>
      </w:tabs>
      <w:spacing w:after="0" w:line="240" w:lineRule="auto"/>
    </w:pPr>
  </w:style>
  <w:style w:type="character" w:customStyle="1" w:styleId="aa">
    <w:name w:val="כותרת תחתונה תו"/>
    <w:basedOn w:val="a0"/>
    <w:link w:val="a9"/>
    <w:uiPriority w:val="99"/>
    <w:rsid w:val="009600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F81"/>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EF7F81"/>
    <w:rPr>
      <w:vertAlign w:val="superscript"/>
    </w:rPr>
  </w:style>
  <w:style w:type="paragraph" w:styleId="a4">
    <w:name w:val="footnote text"/>
    <w:basedOn w:val="a"/>
    <w:link w:val="a5"/>
    <w:autoRedefine/>
    <w:semiHidden/>
    <w:rsid w:val="00EF7F81"/>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EF7F81"/>
    <w:rPr>
      <w:rFonts w:ascii="Arial" w:eastAsia="Arial Unicode MS" w:hAnsi="Arial" w:cs="David"/>
      <w:snapToGrid w:val="0"/>
      <w:color w:val="000000"/>
      <w:sz w:val="14"/>
      <w:szCs w:val="20"/>
      <w:lang w:eastAsia="ja-JP"/>
    </w:rPr>
  </w:style>
  <w:style w:type="paragraph" w:styleId="a6">
    <w:name w:val="List Paragraph"/>
    <w:basedOn w:val="a"/>
    <w:uiPriority w:val="34"/>
    <w:qFormat/>
    <w:rsid w:val="00EF7F81"/>
    <w:pPr>
      <w:ind w:left="720"/>
      <w:contextualSpacing/>
    </w:pPr>
  </w:style>
  <w:style w:type="character" w:customStyle="1" w:styleId="default">
    <w:name w:val="default"/>
    <w:rsid w:val="00EF7F81"/>
    <w:rPr>
      <w:rFonts w:ascii="Times New Roman" w:hAnsi="Times New Roman" w:cs="Times New Roman"/>
      <w:sz w:val="26"/>
      <w:szCs w:val="26"/>
    </w:rPr>
  </w:style>
  <w:style w:type="paragraph" w:styleId="a7">
    <w:name w:val="header"/>
    <w:basedOn w:val="a"/>
    <w:link w:val="a8"/>
    <w:uiPriority w:val="99"/>
    <w:unhideWhenUsed/>
    <w:rsid w:val="009600D0"/>
    <w:pPr>
      <w:tabs>
        <w:tab w:val="center" w:pos="4153"/>
        <w:tab w:val="right" w:pos="8306"/>
      </w:tabs>
      <w:spacing w:after="0" w:line="240" w:lineRule="auto"/>
    </w:pPr>
  </w:style>
  <w:style w:type="character" w:customStyle="1" w:styleId="a8">
    <w:name w:val="כותרת עליונה תו"/>
    <w:basedOn w:val="a0"/>
    <w:link w:val="a7"/>
    <w:uiPriority w:val="99"/>
    <w:rsid w:val="009600D0"/>
  </w:style>
  <w:style w:type="paragraph" w:styleId="a9">
    <w:name w:val="footer"/>
    <w:basedOn w:val="a"/>
    <w:link w:val="aa"/>
    <w:uiPriority w:val="99"/>
    <w:unhideWhenUsed/>
    <w:rsid w:val="009600D0"/>
    <w:pPr>
      <w:tabs>
        <w:tab w:val="center" w:pos="4153"/>
        <w:tab w:val="right" w:pos="8306"/>
      </w:tabs>
      <w:spacing w:after="0" w:line="240" w:lineRule="auto"/>
    </w:pPr>
  </w:style>
  <w:style w:type="character" w:customStyle="1" w:styleId="aa">
    <w:name w:val="כותרת תחתונה תו"/>
    <w:basedOn w:val="a0"/>
    <w:link w:val="a9"/>
    <w:uiPriority w:val="99"/>
    <w:rsid w:val="00960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1.oecd.org/fatf/pdf/40Recs-2003_en.pdf" TargetMode="External"/><Relationship Id="rId1" Type="http://schemas.openxmlformats.org/officeDocument/2006/relationships/hyperlink" Target="http://www1.oecd.org/fatf/index.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0E2FE5-DEC2-4078-A00A-ACB2EC2EA5CF}"/>
</file>

<file path=customXml/itemProps2.xml><?xml version="1.0" encoding="utf-8"?>
<ds:datastoreItem xmlns:ds="http://schemas.openxmlformats.org/officeDocument/2006/customXml" ds:itemID="{669C1FFA-90CD-4372-8011-7E84CD0C4C9D}"/>
</file>

<file path=customXml/itemProps3.xml><?xml version="1.0" encoding="utf-8"?>
<ds:datastoreItem xmlns:ds="http://schemas.openxmlformats.org/officeDocument/2006/customXml" ds:itemID="{C77957A3-9E5D-4311-B3CD-32506E8D4F71}"/>
</file>

<file path=docProps/app.xml><?xml version="1.0" encoding="utf-8"?>
<Properties xmlns="http://schemas.openxmlformats.org/officeDocument/2006/extended-properties" xmlns:vt="http://schemas.openxmlformats.org/officeDocument/2006/docPropsVTypes">
  <Template>Normal</Template>
  <TotalTime>0</TotalTime>
  <Pages>6</Pages>
  <Words>2200</Words>
  <Characters>11001</Characters>
  <Application>Microsoft Office Word</Application>
  <DocSecurity>0</DocSecurity>
  <Lines>91</Lines>
  <Paragraphs>26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13175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dcterms:created xsi:type="dcterms:W3CDTF">2016-01-03T09:29:00Z</dcterms:created>
  <dcterms:modified xsi:type="dcterms:W3CDTF">2016-01-03T09:29:00Z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