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D80" w:rsidRPr="00B2478B" w:rsidRDefault="00B2478B" w:rsidP="00694D80">
      <w:pPr>
        <w:spacing w:after="0" w:line="240" w:lineRule="auto"/>
        <w:jc w:val="right"/>
        <w:rPr>
          <w:rFonts w:cs="David"/>
          <w:rtl/>
        </w:rPr>
      </w:pPr>
      <w:r w:rsidRPr="00B2478B">
        <w:rPr>
          <w:rFonts w:cs="David" w:hint="cs"/>
          <w:rtl/>
        </w:rPr>
        <w:t>כ'</w:t>
      </w:r>
      <w:r w:rsidR="00694D80" w:rsidRPr="00B2478B">
        <w:rPr>
          <w:rFonts w:cs="David" w:hint="cs"/>
          <w:rtl/>
        </w:rPr>
        <w:t xml:space="preserve"> בחשוון התשע"ו</w:t>
      </w:r>
    </w:p>
    <w:p w:rsidR="00694D80" w:rsidRPr="00B2478B" w:rsidRDefault="00B2478B" w:rsidP="00B2478B">
      <w:pPr>
        <w:spacing w:after="0" w:line="240" w:lineRule="auto"/>
        <w:jc w:val="right"/>
        <w:rPr>
          <w:rFonts w:cs="David"/>
          <w:rtl/>
        </w:rPr>
      </w:pPr>
      <w:r w:rsidRPr="00B2478B">
        <w:rPr>
          <w:rFonts w:cs="David" w:hint="cs"/>
          <w:rtl/>
        </w:rPr>
        <w:t>2</w:t>
      </w:r>
      <w:r w:rsidR="00694D80" w:rsidRPr="00B2478B">
        <w:rPr>
          <w:rFonts w:cs="David" w:hint="cs"/>
          <w:rtl/>
        </w:rPr>
        <w:t xml:space="preserve"> ב</w:t>
      </w:r>
      <w:r w:rsidRPr="00B2478B">
        <w:rPr>
          <w:rFonts w:cs="David" w:hint="cs"/>
          <w:rtl/>
        </w:rPr>
        <w:t>נ</w:t>
      </w:r>
      <w:r w:rsidR="00694D80" w:rsidRPr="00B2478B">
        <w:rPr>
          <w:rFonts w:cs="David" w:hint="cs"/>
          <w:rtl/>
        </w:rPr>
        <w:t>ו</w:t>
      </w:r>
      <w:r w:rsidRPr="00B2478B">
        <w:rPr>
          <w:rFonts w:cs="David" w:hint="cs"/>
          <w:rtl/>
        </w:rPr>
        <w:t>במ</w:t>
      </w:r>
      <w:r w:rsidR="00694D80" w:rsidRPr="00B2478B">
        <w:rPr>
          <w:rFonts w:cs="David" w:hint="cs"/>
          <w:rtl/>
        </w:rPr>
        <w:t>בר 2015</w:t>
      </w:r>
    </w:p>
    <w:p w:rsidR="00694D80" w:rsidRPr="00CA16EC" w:rsidRDefault="00694D80" w:rsidP="00694D80">
      <w:pPr>
        <w:spacing w:after="0" w:line="240" w:lineRule="auto"/>
        <w:jc w:val="both"/>
        <w:rPr>
          <w:rFonts w:cs="David"/>
          <w:rtl/>
        </w:rPr>
      </w:pPr>
      <w:r w:rsidRPr="00CA16EC">
        <w:rPr>
          <w:rFonts w:cs="David" w:hint="cs"/>
          <w:rtl/>
        </w:rPr>
        <w:t>אל: חברי ועדת החוקה, חוק ומשפט</w:t>
      </w:r>
    </w:p>
    <w:p w:rsidR="00694D80" w:rsidRPr="00CA16EC" w:rsidRDefault="00694D80" w:rsidP="00694D80">
      <w:pPr>
        <w:spacing w:after="0" w:line="240" w:lineRule="auto"/>
        <w:jc w:val="both"/>
        <w:rPr>
          <w:rFonts w:cs="David"/>
          <w:rtl/>
        </w:rPr>
      </w:pPr>
      <w:r w:rsidRPr="00CA16EC">
        <w:rPr>
          <w:rFonts w:cs="David" w:hint="cs"/>
          <w:rtl/>
        </w:rPr>
        <w:t xml:space="preserve">מאת: </w:t>
      </w:r>
      <w:bookmarkStart w:id="0" w:name="_GoBack"/>
      <w:r w:rsidRPr="00CA16EC">
        <w:rPr>
          <w:rFonts w:cs="David" w:hint="cs"/>
          <w:rtl/>
        </w:rPr>
        <w:t>הייעוץ המשפטי לוועדה</w:t>
      </w:r>
      <w:bookmarkEnd w:id="0"/>
    </w:p>
    <w:p w:rsidR="00694D80" w:rsidRPr="00CA16EC" w:rsidRDefault="00694D80" w:rsidP="00694D80">
      <w:pPr>
        <w:spacing w:after="0" w:line="240" w:lineRule="auto"/>
        <w:jc w:val="both"/>
        <w:rPr>
          <w:rFonts w:cs="David"/>
          <w:rtl/>
        </w:rPr>
      </w:pPr>
    </w:p>
    <w:p w:rsidR="00694D80" w:rsidRPr="00CA16EC" w:rsidRDefault="00694D80" w:rsidP="00694D80">
      <w:pPr>
        <w:spacing w:after="0" w:line="240" w:lineRule="auto"/>
        <w:jc w:val="both"/>
        <w:rPr>
          <w:rFonts w:cs="David"/>
          <w:rtl/>
        </w:rPr>
      </w:pPr>
    </w:p>
    <w:p w:rsidR="00B51C3E" w:rsidRPr="00B51C3E" w:rsidRDefault="00D801C2" w:rsidP="001A5D7A">
      <w:pPr>
        <w:pStyle w:val="41"/>
        <w:spacing w:after="240" w:line="240" w:lineRule="auto"/>
        <w:jc w:val="center"/>
        <w:rPr>
          <w:sz w:val="28"/>
          <w:szCs w:val="28"/>
          <w:u w:val="single"/>
          <w:rtl/>
        </w:rPr>
      </w:pPr>
      <w:r w:rsidRPr="00B51C3E">
        <w:rPr>
          <w:rFonts w:hint="cs"/>
          <w:sz w:val="28"/>
          <w:szCs w:val="28"/>
          <w:u w:val="single"/>
          <w:rtl/>
        </w:rPr>
        <w:t xml:space="preserve">צו </w:t>
      </w:r>
      <w:r w:rsidR="00694D80" w:rsidRPr="00B51C3E">
        <w:rPr>
          <w:rFonts w:hint="cs"/>
          <w:sz w:val="28"/>
          <w:szCs w:val="28"/>
          <w:u w:val="single"/>
          <w:rtl/>
        </w:rPr>
        <w:t>איסור הלבנת הון (</w:t>
      </w:r>
      <w:r w:rsidRPr="00B51C3E">
        <w:rPr>
          <w:rFonts w:hint="cs"/>
          <w:sz w:val="28"/>
          <w:szCs w:val="28"/>
          <w:u w:val="single"/>
          <w:rtl/>
        </w:rPr>
        <w:t>חובות זיהוי, דיווח וניהול רישומים של זירת סוחר לחשבונו העצמי למניעת הלבנת הון ומימון טרור</w:t>
      </w:r>
      <w:r w:rsidR="00694D80" w:rsidRPr="00B51C3E">
        <w:rPr>
          <w:rFonts w:hint="cs"/>
          <w:sz w:val="28"/>
          <w:szCs w:val="28"/>
          <w:u w:val="single"/>
          <w:rtl/>
        </w:rPr>
        <w:t>), התשע"ה-2015</w:t>
      </w:r>
      <w:r w:rsidR="003B65FB">
        <w:rPr>
          <w:rFonts w:hint="cs"/>
          <w:sz w:val="28"/>
          <w:szCs w:val="28"/>
          <w:u w:val="single"/>
          <w:rtl/>
        </w:rPr>
        <w:t xml:space="preserve"> </w:t>
      </w:r>
    </w:p>
    <w:p w:rsidR="00F3093D" w:rsidRPr="00511240" w:rsidRDefault="00F3093D" w:rsidP="000A4A54">
      <w:pPr>
        <w:spacing w:after="120" w:line="240" w:lineRule="auto"/>
        <w:jc w:val="both"/>
        <w:rPr>
          <w:rFonts w:cs="David"/>
          <w:b/>
          <w:bCs/>
          <w:sz w:val="24"/>
          <w:szCs w:val="24"/>
          <w:u w:val="single"/>
          <w:rtl/>
        </w:rPr>
      </w:pPr>
      <w:r w:rsidRPr="00511240">
        <w:rPr>
          <w:rFonts w:cs="David" w:hint="cs"/>
          <w:b/>
          <w:bCs/>
          <w:sz w:val="24"/>
          <w:szCs w:val="24"/>
          <w:u w:val="single"/>
          <w:rtl/>
        </w:rPr>
        <w:t xml:space="preserve">זירות סוחר </w:t>
      </w:r>
      <w:r w:rsidRPr="00511240">
        <w:rPr>
          <w:rFonts w:cs="David"/>
          <w:b/>
          <w:bCs/>
          <w:sz w:val="24"/>
          <w:szCs w:val="24"/>
          <w:u w:val="single"/>
          <w:rtl/>
        </w:rPr>
        <w:t>–</w:t>
      </w:r>
      <w:r w:rsidRPr="00511240">
        <w:rPr>
          <w:rFonts w:cs="David" w:hint="cs"/>
          <w:b/>
          <w:bCs/>
          <w:sz w:val="24"/>
          <w:szCs w:val="24"/>
          <w:u w:val="single"/>
          <w:rtl/>
        </w:rPr>
        <w:t xml:space="preserve"> רקע</w:t>
      </w:r>
    </w:p>
    <w:p w:rsidR="002C24A3" w:rsidRPr="00511240" w:rsidRDefault="002C24A3" w:rsidP="000A4A54">
      <w:pPr>
        <w:spacing w:after="120" w:line="360" w:lineRule="auto"/>
        <w:jc w:val="both"/>
        <w:rPr>
          <w:rFonts w:cs="David"/>
          <w:sz w:val="24"/>
          <w:szCs w:val="24"/>
          <w:rtl/>
        </w:rPr>
      </w:pPr>
      <w:r w:rsidRPr="00511240">
        <w:rPr>
          <w:rFonts w:ascii="Arial" w:eastAsia="Times New Roman" w:hAnsi="Arial" w:cs="David"/>
          <w:sz w:val="24"/>
          <w:szCs w:val="24"/>
          <w:rtl/>
        </w:rPr>
        <w:t xml:space="preserve">בשנים האחרונות, </w:t>
      </w:r>
      <w:r w:rsidR="003B65FB" w:rsidRPr="00511240">
        <w:rPr>
          <w:rFonts w:ascii="Arial" w:eastAsia="Times New Roman" w:hAnsi="Arial" w:cs="David" w:hint="cs"/>
          <w:sz w:val="24"/>
          <w:szCs w:val="24"/>
          <w:rtl/>
        </w:rPr>
        <w:t xml:space="preserve">החלה </w:t>
      </w:r>
      <w:r w:rsidRPr="00511240">
        <w:rPr>
          <w:rFonts w:ascii="Arial" w:eastAsia="Times New Roman" w:hAnsi="Arial" w:cs="David"/>
          <w:sz w:val="24"/>
          <w:szCs w:val="24"/>
          <w:rtl/>
        </w:rPr>
        <w:t xml:space="preserve">רווחת תופעה חדשה של היווצרות זירות אלקטרוניות למסחר </w:t>
      </w:r>
      <w:r w:rsidRPr="00511240">
        <w:rPr>
          <w:rFonts w:ascii="Arial" w:eastAsia="Times New Roman" w:hAnsi="Arial" w:cs="David" w:hint="cs"/>
          <w:sz w:val="24"/>
          <w:szCs w:val="24"/>
          <w:rtl/>
        </w:rPr>
        <w:t>במכשירים פיננסיים</w:t>
      </w:r>
      <w:r w:rsidRPr="00511240">
        <w:rPr>
          <w:rFonts w:ascii="Arial" w:eastAsia="Times New Roman" w:hAnsi="Arial" w:cs="David"/>
          <w:sz w:val="24"/>
          <w:szCs w:val="24"/>
          <w:rtl/>
        </w:rPr>
        <w:t xml:space="preserve">. </w:t>
      </w:r>
      <w:r w:rsidRPr="00511240">
        <w:rPr>
          <w:rFonts w:cs="David" w:hint="cs"/>
          <w:sz w:val="24"/>
          <w:szCs w:val="24"/>
          <w:rtl/>
        </w:rPr>
        <w:t>מדובר בפלטפורמות אינטרנטיות</w:t>
      </w:r>
      <w:r w:rsidR="003B65FB" w:rsidRPr="00511240">
        <w:rPr>
          <w:rFonts w:ascii="Arial" w:eastAsia="Times New Roman" w:hAnsi="Arial" w:cs="David"/>
          <w:sz w:val="24"/>
          <w:szCs w:val="24"/>
          <w:rtl/>
        </w:rPr>
        <w:t xml:space="preserve"> המוקמות על ידי חברות שונות ומהוות אלטרנטיבה לבורסות "הרשמיות"</w:t>
      </w:r>
      <w:r w:rsidRPr="00511240">
        <w:rPr>
          <w:rFonts w:cs="David" w:hint="cs"/>
          <w:sz w:val="24"/>
          <w:szCs w:val="24"/>
          <w:rtl/>
        </w:rPr>
        <w:t>, שמאפשרות למשקיעים לסחור באמצעותן מול מפעילי הזירה, במכשירים פיננסיים שונים (נגזרי מט"ח, מדדים, סחורות וכו').</w:t>
      </w:r>
      <w:r w:rsidRPr="00511240">
        <w:rPr>
          <w:rFonts w:ascii="Arial" w:eastAsia="Times New Roman" w:hAnsi="Arial" w:cs="David" w:hint="cs"/>
          <w:sz w:val="24"/>
          <w:szCs w:val="24"/>
          <w:rtl/>
        </w:rPr>
        <w:t xml:space="preserve"> </w:t>
      </w:r>
      <w:r w:rsidRPr="00511240">
        <w:rPr>
          <w:rFonts w:cs="David" w:hint="cs"/>
          <w:sz w:val="24"/>
          <w:szCs w:val="24"/>
          <w:rtl/>
        </w:rPr>
        <w:t>עיקר הפעילות בזירות אלה מתבצע</w:t>
      </w:r>
      <w:r w:rsidR="007D131B" w:rsidRPr="00511240">
        <w:rPr>
          <w:rFonts w:cs="David" w:hint="cs"/>
          <w:sz w:val="24"/>
          <w:szCs w:val="24"/>
          <w:rtl/>
        </w:rPr>
        <w:t>ת</w:t>
      </w:r>
      <w:r w:rsidRPr="00511240">
        <w:rPr>
          <w:rFonts w:cs="David" w:hint="cs"/>
          <w:sz w:val="24"/>
          <w:szCs w:val="24"/>
          <w:rtl/>
        </w:rPr>
        <w:t xml:space="preserve"> על ידי משקיעים הפועלים </w:t>
      </w:r>
      <w:r w:rsidR="001307C6" w:rsidRPr="00511240">
        <w:rPr>
          <w:rFonts w:cs="David" w:hint="cs"/>
          <w:sz w:val="24"/>
          <w:szCs w:val="24"/>
          <w:rtl/>
        </w:rPr>
        <w:t xml:space="preserve">באמצעות </w:t>
      </w:r>
      <w:r w:rsidR="00234D6B" w:rsidRPr="00511240">
        <w:rPr>
          <w:rFonts w:cs="David" w:hint="cs"/>
          <w:sz w:val="24"/>
          <w:szCs w:val="24"/>
          <w:rtl/>
        </w:rPr>
        <w:t>ה</w:t>
      </w:r>
      <w:r w:rsidRPr="00511240">
        <w:rPr>
          <w:rFonts w:cs="David" w:hint="cs"/>
          <w:sz w:val="24"/>
          <w:szCs w:val="24"/>
          <w:rtl/>
        </w:rPr>
        <w:t xml:space="preserve">אינטרנט. </w:t>
      </w:r>
      <w:r w:rsidR="007D131B" w:rsidRPr="00511240">
        <w:rPr>
          <w:rFonts w:cs="David" w:hint="cs"/>
          <w:sz w:val="24"/>
          <w:szCs w:val="24"/>
          <w:rtl/>
        </w:rPr>
        <w:t>ו</w:t>
      </w:r>
      <w:r w:rsidRPr="00511240">
        <w:rPr>
          <w:rFonts w:ascii="Arial" w:eastAsia="Times New Roman" w:hAnsi="Arial" w:cs="David"/>
          <w:sz w:val="24"/>
          <w:szCs w:val="24"/>
          <w:rtl/>
        </w:rPr>
        <w:t>אולם</w:t>
      </w:r>
      <w:r w:rsidR="007D131B" w:rsidRPr="00511240">
        <w:rPr>
          <w:rFonts w:ascii="Arial" w:eastAsia="Times New Roman" w:hAnsi="Arial" w:cs="David" w:hint="cs"/>
          <w:sz w:val="24"/>
          <w:szCs w:val="24"/>
          <w:rtl/>
        </w:rPr>
        <w:t>,</w:t>
      </w:r>
      <w:r w:rsidRPr="00511240">
        <w:rPr>
          <w:rFonts w:ascii="Arial" w:eastAsia="Times New Roman" w:hAnsi="Arial" w:cs="David"/>
          <w:sz w:val="24"/>
          <w:szCs w:val="24"/>
          <w:rtl/>
        </w:rPr>
        <w:t xml:space="preserve"> בעוד שבבורסות "הרשמיות" ישנה רגולציה והסדרה מספקת, זירות המסחר </w:t>
      </w:r>
      <w:r w:rsidRPr="00511240">
        <w:rPr>
          <w:rFonts w:ascii="Arial" w:eastAsia="Times New Roman" w:hAnsi="Arial" w:cs="David" w:hint="cs"/>
          <w:sz w:val="24"/>
          <w:szCs w:val="24"/>
          <w:rtl/>
        </w:rPr>
        <w:t xml:space="preserve">היו </w:t>
      </w:r>
      <w:r w:rsidRPr="00511240">
        <w:rPr>
          <w:rFonts w:ascii="Arial" w:eastAsia="Times New Roman" w:hAnsi="Arial" w:cs="David"/>
          <w:sz w:val="24"/>
          <w:szCs w:val="24"/>
          <w:rtl/>
        </w:rPr>
        <w:t xml:space="preserve">נטולות כל פיקוח. </w:t>
      </w:r>
    </w:p>
    <w:p w:rsidR="002C24A3" w:rsidRPr="00511240" w:rsidRDefault="002C24A3" w:rsidP="000A4A54">
      <w:pPr>
        <w:spacing w:after="120" w:line="360" w:lineRule="auto"/>
        <w:jc w:val="both"/>
        <w:rPr>
          <w:rFonts w:cs="David"/>
          <w:sz w:val="24"/>
          <w:szCs w:val="24"/>
          <w:rtl/>
        </w:rPr>
      </w:pPr>
      <w:r w:rsidRPr="00511240">
        <w:rPr>
          <w:rFonts w:ascii="Arial" w:eastAsia="Times New Roman" w:hAnsi="Arial" w:cs="David"/>
          <w:sz w:val="24"/>
          <w:szCs w:val="24"/>
          <w:rtl/>
        </w:rPr>
        <w:t xml:space="preserve">המסחר מתחיל בכך שהלקוח מעביר סכומי כסף לחברה המפעילה את זירת </w:t>
      </w:r>
      <w:r w:rsidR="007D131B" w:rsidRPr="00511240">
        <w:rPr>
          <w:rFonts w:ascii="Arial" w:eastAsia="Times New Roman" w:hAnsi="Arial" w:cs="David" w:hint="cs"/>
          <w:sz w:val="24"/>
          <w:szCs w:val="24"/>
          <w:rtl/>
        </w:rPr>
        <w:t>המסחר</w:t>
      </w:r>
      <w:r w:rsidRPr="00511240">
        <w:rPr>
          <w:rFonts w:ascii="Arial" w:eastAsia="Times New Roman" w:hAnsi="Arial" w:cs="David"/>
          <w:sz w:val="24"/>
          <w:szCs w:val="24"/>
          <w:rtl/>
        </w:rPr>
        <w:t>, ובכך יש לו את הזכות לסחור.</w:t>
      </w:r>
      <w:r w:rsidRPr="00511240">
        <w:rPr>
          <w:rFonts w:ascii="Arial" w:eastAsia="Times New Roman" w:hAnsi="Arial" w:cs="David" w:hint="cs"/>
          <w:sz w:val="24"/>
          <w:szCs w:val="24"/>
          <w:rtl/>
        </w:rPr>
        <w:t xml:space="preserve"> </w:t>
      </w:r>
      <w:r w:rsidRPr="00511240">
        <w:rPr>
          <w:rFonts w:ascii="Arial" w:eastAsia="Times New Roman" w:hAnsi="Arial" w:cs="David"/>
          <w:sz w:val="24"/>
          <w:szCs w:val="24"/>
          <w:rtl/>
        </w:rPr>
        <w:t>עובדה שנעלמת מעיני הלקוח</w:t>
      </w:r>
      <w:r w:rsidRPr="00511240">
        <w:rPr>
          <w:rFonts w:ascii="Arial" w:eastAsia="Times New Roman" w:hAnsi="Arial" w:cs="David" w:hint="cs"/>
          <w:sz w:val="24"/>
          <w:szCs w:val="24"/>
          <w:rtl/>
        </w:rPr>
        <w:t xml:space="preserve">, </w:t>
      </w:r>
      <w:r w:rsidRPr="00511240">
        <w:rPr>
          <w:rFonts w:ascii="Arial" w:eastAsia="Times New Roman" w:hAnsi="Arial" w:cs="David"/>
          <w:sz w:val="24"/>
          <w:szCs w:val="24"/>
          <w:rtl/>
        </w:rPr>
        <w:t>היא שהמסחר בדרך כלל לא מבוצע בשוק פעיל וחופשי, אלא מול החברה, במוצרים שהיא מנפיקה ובתנאים שלה.</w:t>
      </w:r>
      <w:r w:rsidRPr="00511240">
        <w:rPr>
          <w:rFonts w:ascii="Arial" w:eastAsia="Times New Roman" w:hAnsi="Arial" w:cs="David" w:hint="cs"/>
          <w:sz w:val="24"/>
          <w:szCs w:val="24"/>
          <w:rtl/>
        </w:rPr>
        <w:t xml:space="preserve"> </w:t>
      </w:r>
      <w:r w:rsidRPr="00511240">
        <w:rPr>
          <w:rFonts w:ascii="Arial" w:eastAsia="Times New Roman" w:hAnsi="Arial" w:cs="David"/>
          <w:sz w:val="24"/>
          <w:szCs w:val="24"/>
          <w:rtl/>
        </w:rPr>
        <w:t>פעמים רבות מדובר במוצרים במינופים גדולים, ובכך הסיכון גדל.</w:t>
      </w:r>
    </w:p>
    <w:p w:rsidR="002C24A3" w:rsidRPr="00511240" w:rsidRDefault="002C24A3" w:rsidP="000A4A54">
      <w:pPr>
        <w:spacing w:after="0" w:line="360" w:lineRule="auto"/>
        <w:jc w:val="both"/>
        <w:rPr>
          <w:rFonts w:ascii="Arial" w:eastAsia="Times New Roman" w:hAnsi="Arial" w:cs="David"/>
          <w:sz w:val="24"/>
          <w:szCs w:val="24"/>
          <w:rtl/>
        </w:rPr>
      </w:pPr>
      <w:r w:rsidRPr="00511240">
        <w:rPr>
          <w:rFonts w:ascii="Arial" w:eastAsia="Times New Roman" w:hAnsi="Arial" w:cs="David"/>
          <w:sz w:val="24"/>
          <w:szCs w:val="24"/>
          <w:rtl/>
        </w:rPr>
        <w:t>המחסור</w:t>
      </w:r>
      <w:r w:rsidRPr="00511240">
        <w:rPr>
          <w:rFonts w:ascii="Arial" w:eastAsia="Times New Roman" w:hAnsi="Arial" w:cs="David" w:hint="cs"/>
          <w:sz w:val="24"/>
          <w:szCs w:val="24"/>
          <w:rtl/>
        </w:rPr>
        <w:t xml:space="preserve"> </w:t>
      </w:r>
      <w:r w:rsidRPr="00511240">
        <w:rPr>
          <w:rFonts w:ascii="Arial" w:eastAsia="Times New Roman" w:hAnsi="Arial" w:cs="David"/>
          <w:sz w:val="24"/>
          <w:szCs w:val="24"/>
          <w:rtl/>
        </w:rPr>
        <w:t>ברגולציה,</w:t>
      </w:r>
      <w:r w:rsidRPr="00511240">
        <w:rPr>
          <w:rFonts w:ascii="Arial" w:eastAsia="Times New Roman" w:hAnsi="Arial" w:cs="David" w:hint="cs"/>
          <w:sz w:val="24"/>
          <w:szCs w:val="24"/>
          <w:rtl/>
        </w:rPr>
        <w:t xml:space="preserve"> </w:t>
      </w:r>
      <w:r w:rsidRPr="00511240">
        <w:rPr>
          <w:rFonts w:ascii="Arial" w:eastAsia="Times New Roman" w:hAnsi="Arial" w:cs="David"/>
          <w:sz w:val="24"/>
          <w:szCs w:val="24"/>
          <w:rtl/>
        </w:rPr>
        <w:t>הוביל</w:t>
      </w:r>
      <w:r w:rsidRPr="00511240">
        <w:rPr>
          <w:rFonts w:ascii="Arial" w:eastAsia="Times New Roman" w:hAnsi="Arial" w:cs="David" w:hint="cs"/>
          <w:sz w:val="24"/>
          <w:szCs w:val="24"/>
          <w:rtl/>
        </w:rPr>
        <w:t xml:space="preserve"> </w:t>
      </w:r>
      <w:r w:rsidRPr="00511240">
        <w:rPr>
          <w:rFonts w:ascii="Arial" w:eastAsia="Times New Roman" w:hAnsi="Arial" w:cs="David"/>
          <w:sz w:val="24"/>
          <w:szCs w:val="24"/>
          <w:rtl/>
        </w:rPr>
        <w:t>ל</w:t>
      </w:r>
      <w:r w:rsidRPr="00511240">
        <w:rPr>
          <w:rFonts w:ascii="Arial" w:eastAsia="Times New Roman" w:hAnsi="Arial" w:cs="David" w:hint="cs"/>
          <w:sz w:val="24"/>
          <w:szCs w:val="24"/>
          <w:rtl/>
        </w:rPr>
        <w:t xml:space="preserve">מצב שבו נוצר </w:t>
      </w:r>
      <w:r w:rsidRPr="00511240">
        <w:rPr>
          <w:rFonts w:ascii="Arial" w:eastAsia="Times New Roman" w:hAnsi="Arial" w:cs="David"/>
          <w:sz w:val="24"/>
          <w:szCs w:val="24"/>
          <w:rtl/>
        </w:rPr>
        <w:t>שוק פרוץ לחלוטין</w:t>
      </w:r>
      <w:r w:rsidRPr="00511240">
        <w:rPr>
          <w:rFonts w:ascii="Arial" w:eastAsia="Times New Roman" w:hAnsi="Arial" w:cs="David" w:hint="cs"/>
          <w:sz w:val="24"/>
          <w:szCs w:val="24"/>
          <w:rtl/>
        </w:rPr>
        <w:t>, שעורר בעיות שונות, בין השאר</w:t>
      </w:r>
      <w:r w:rsidRPr="00511240">
        <w:rPr>
          <w:rFonts w:ascii="Arial" w:eastAsia="Times New Roman" w:hAnsi="Arial" w:cs="David"/>
          <w:sz w:val="24"/>
          <w:szCs w:val="24"/>
          <w:rtl/>
        </w:rPr>
        <w:t>:</w:t>
      </w:r>
    </w:p>
    <w:p w:rsidR="002C24A3" w:rsidRPr="00511240" w:rsidRDefault="002C24A3" w:rsidP="000A4A54">
      <w:pPr>
        <w:pStyle w:val="a8"/>
        <w:numPr>
          <w:ilvl w:val="0"/>
          <w:numId w:val="5"/>
        </w:numPr>
        <w:rPr>
          <w:rFonts w:cs="David"/>
          <w:sz w:val="24"/>
        </w:rPr>
      </w:pPr>
      <w:r w:rsidRPr="00511240">
        <w:rPr>
          <w:rFonts w:ascii="Arial" w:hAnsi="Arial" w:cs="David"/>
          <w:sz w:val="24"/>
          <w:rtl/>
        </w:rPr>
        <w:t xml:space="preserve">חוסר הבנה במכשירים פיננסים מורכבים, </w:t>
      </w:r>
      <w:r w:rsidR="007D131B" w:rsidRPr="00511240">
        <w:rPr>
          <w:rFonts w:ascii="Arial" w:hAnsi="Arial" w:cs="David" w:hint="cs"/>
          <w:sz w:val="24"/>
          <w:rtl/>
        </w:rPr>
        <w:t>ה</w:t>
      </w:r>
      <w:r w:rsidRPr="00511240">
        <w:rPr>
          <w:rFonts w:ascii="Arial" w:hAnsi="Arial" w:cs="David"/>
          <w:sz w:val="24"/>
          <w:rtl/>
        </w:rPr>
        <w:t>וביל משקיעים לא מנוסים להשקעות מסוכנות במינופים גבוהים.</w:t>
      </w:r>
    </w:p>
    <w:p w:rsidR="002C24A3" w:rsidRPr="00511240" w:rsidRDefault="002C24A3" w:rsidP="000A4A54">
      <w:pPr>
        <w:pStyle w:val="a8"/>
        <w:numPr>
          <w:ilvl w:val="0"/>
          <w:numId w:val="5"/>
        </w:numPr>
        <w:rPr>
          <w:rFonts w:cs="David"/>
          <w:sz w:val="24"/>
        </w:rPr>
      </w:pPr>
      <w:r w:rsidRPr="00511240">
        <w:rPr>
          <w:rFonts w:ascii="Arial" w:hAnsi="Arial" w:cs="David"/>
          <w:sz w:val="24"/>
          <w:rtl/>
        </w:rPr>
        <w:t xml:space="preserve">עקב חוסר שקיפות, </w:t>
      </w:r>
      <w:r w:rsidRPr="00511240">
        <w:rPr>
          <w:rFonts w:ascii="Arial" w:hAnsi="Arial" w:cs="David" w:hint="cs"/>
          <w:sz w:val="24"/>
          <w:rtl/>
        </w:rPr>
        <w:t xml:space="preserve">זירות סוחר </w:t>
      </w:r>
      <w:r w:rsidRPr="00511240">
        <w:rPr>
          <w:rFonts w:ascii="Arial" w:hAnsi="Arial" w:cs="David"/>
          <w:sz w:val="24"/>
          <w:rtl/>
        </w:rPr>
        <w:t xml:space="preserve">רבות </w:t>
      </w:r>
      <w:r w:rsidR="007D131B" w:rsidRPr="00511240">
        <w:rPr>
          <w:rFonts w:ascii="Arial" w:hAnsi="Arial" w:cs="David" w:hint="cs"/>
          <w:sz w:val="24"/>
          <w:rtl/>
        </w:rPr>
        <w:t>ה</w:t>
      </w:r>
      <w:r w:rsidRPr="00511240">
        <w:rPr>
          <w:rFonts w:ascii="Arial" w:hAnsi="Arial" w:cs="David"/>
          <w:sz w:val="24"/>
          <w:rtl/>
        </w:rPr>
        <w:t>נפיקו מוצר, סחרו בו עם הלקוחות, ובו זמנית ייעצו לו כיצד להשקיע.</w:t>
      </w:r>
    </w:p>
    <w:p w:rsidR="002C24A3" w:rsidRPr="00511240" w:rsidRDefault="002C24A3" w:rsidP="000A4A54">
      <w:pPr>
        <w:pStyle w:val="a8"/>
        <w:numPr>
          <w:ilvl w:val="0"/>
          <w:numId w:val="5"/>
        </w:numPr>
        <w:rPr>
          <w:rFonts w:cs="David"/>
          <w:sz w:val="24"/>
        </w:rPr>
      </w:pPr>
      <w:r w:rsidRPr="00511240">
        <w:rPr>
          <w:rFonts w:ascii="Arial" w:hAnsi="Arial" w:cs="David"/>
          <w:sz w:val="24"/>
          <w:rtl/>
        </w:rPr>
        <w:t xml:space="preserve">כספי הלקוחות </w:t>
      </w:r>
      <w:r w:rsidR="00186833" w:rsidRPr="00511240">
        <w:rPr>
          <w:rFonts w:ascii="Arial" w:hAnsi="Arial" w:cs="David" w:hint="cs"/>
          <w:sz w:val="24"/>
          <w:rtl/>
        </w:rPr>
        <w:t xml:space="preserve">היו </w:t>
      </w:r>
      <w:r w:rsidRPr="00511240">
        <w:rPr>
          <w:rFonts w:ascii="Arial" w:hAnsi="Arial" w:cs="David"/>
          <w:sz w:val="24"/>
          <w:rtl/>
        </w:rPr>
        <w:t>מופקדים בחשבון של החברה ולא אצל נאמן.</w:t>
      </w:r>
      <w:r w:rsidR="00186833" w:rsidRPr="00511240">
        <w:rPr>
          <w:rFonts w:ascii="Arial" w:hAnsi="Arial" w:cs="David" w:hint="cs"/>
          <w:sz w:val="24"/>
          <w:rtl/>
        </w:rPr>
        <w:t xml:space="preserve"> המשמעות היתה ש</w:t>
      </w:r>
      <w:r w:rsidRPr="00511240">
        <w:rPr>
          <w:rFonts w:ascii="Arial" w:hAnsi="Arial" w:cs="David"/>
          <w:sz w:val="24"/>
          <w:rtl/>
        </w:rPr>
        <w:t xml:space="preserve">במקרה של חדלות פירעון, </w:t>
      </w:r>
      <w:r w:rsidR="00115C4D" w:rsidRPr="00511240">
        <w:rPr>
          <w:rFonts w:ascii="Arial" w:hAnsi="Arial" w:cs="David" w:hint="cs"/>
          <w:sz w:val="24"/>
          <w:rtl/>
        </w:rPr>
        <w:t>ה</w:t>
      </w:r>
      <w:r w:rsidRPr="00511240">
        <w:rPr>
          <w:rFonts w:ascii="Arial" w:hAnsi="Arial" w:cs="David"/>
          <w:sz w:val="24"/>
          <w:rtl/>
        </w:rPr>
        <w:t xml:space="preserve">לקוחות </w:t>
      </w:r>
      <w:r w:rsidR="00115C4D" w:rsidRPr="00511240">
        <w:rPr>
          <w:rFonts w:ascii="Arial" w:hAnsi="Arial" w:cs="David" w:hint="cs"/>
          <w:sz w:val="24"/>
          <w:rtl/>
        </w:rPr>
        <w:t xml:space="preserve">לא היו מקבלים </w:t>
      </w:r>
      <w:r w:rsidRPr="00511240">
        <w:rPr>
          <w:rFonts w:ascii="Arial" w:hAnsi="Arial" w:cs="David"/>
          <w:sz w:val="24"/>
          <w:rtl/>
        </w:rPr>
        <w:t>את כספיהם</w:t>
      </w:r>
      <w:r w:rsidR="00115C4D" w:rsidRPr="00511240">
        <w:rPr>
          <w:rFonts w:ascii="Arial" w:hAnsi="Arial" w:cs="David" w:hint="cs"/>
          <w:sz w:val="24"/>
          <w:rtl/>
        </w:rPr>
        <w:t xml:space="preserve"> בחזרה</w:t>
      </w:r>
      <w:r w:rsidRPr="00511240">
        <w:rPr>
          <w:rFonts w:ascii="Arial" w:hAnsi="Arial" w:cs="David"/>
          <w:sz w:val="24"/>
          <w:rtl/>
        </w:rPr>
        <w:t>.</w:t>
      </w:r>
    </w:p>
    <w:p w:rsidR="007F5853" w:rsidRPr="00511240" w:rsidRDefault="002C24A3" w:rsidP="000A4A54">
      <w:pPr>
        <w:pStyle w:val="a8"/>
        <w:numPr>
          <w:ilvl w:val="0"/>
          <w:numId w:val="5"/>
        </w:numPr>
        <w:spacing w:after="120"/>
        <w:rPr>
          <w:rFonts w:cs="David"/>
          <w:sz w:val="24"/>
          <w:rtl/>
        </w:rPr>
      </w:pPr>
      <w:r w:rsidRPr="00511240">
        <w:rPr>
          <w:rFonts w:ascii="Arial" w:hAnsi="Arial" w:cs="David" w:hint="cs"/>
          <w:sz w:val="24"/>
          <w:rtl/>
        </w:rPr>
        <w:t xml:space="preserve">לא היו דרישות להקטנת הסיכון לאי עמידה בהתחייבויות של זירת הסוחר כלפי הלקוח, כדוגמת דרישה </w:t>
      </w:r>
      <w:r w:rsidRPr="00511240">
        <w:rPr>
          <w:rFonts w:ascii="Arial" w:hAnsi="Arial" w:cs="David"/>
          <w:sz w:val="24"/>
          <w:rtl/>
        </w:rPr>
        <w:t>ליחס הון עצמי מזערי</w:t>
      </w:r>
      <w:r w:rsidRPr="00511240">
        <w:rPr>
          <w:rFonts w:ascii="Arial" w:hAnsi="Arial" w:cs="David" w:hint="cs"/>
          <w:sz w:val="24"/>
          <w:rtl/>
        </w:rPr>
        <w:t xml:space="preserve">, </w:t>
      </w:r>
      <w:r w:rsidRPr="00511240">
        <w:rPr>
          <w:rFonts w:ascii="Arial" w:hAnsi="Arial" w:cs="David"/>
          <w:sz w:val="24"/>
          <w:rtl/>
        </w:rPr>
        <w:t xml:space="preserve">דרישה לעמידה בהיקף מסוים של נכסים נזילים או </w:t>
      </w:r>
      <w:r w:rsidRPr="00511240">
        <w:rPr>
          <w:rFonts w:ascii="Arial" w:hAnsi="Arial" w:cs="David" w:hint="cs"/>
          <w:sz w:val="24"/>
          <w:rtl/>
        </w:rPr>
        <w:t>דרישה ל</w:t>
      </w:r>
      <w:r w:rsidRPr="00511240">
        <w:rPr>
          <w:rFonts w:ascii="Arial" w:hAnsi="Arial" w:cs="David"/>
          <w:sz w:val="24"/>
          <w:rtl/>
        </w:rPr>
        <w:t>הגבלת חשיפה לסיכוני שוק</w:t>
      </w:r>
      <w:r w:rsidRPr="00511240">
        <w:rPr>
          <w:rFonts w:ascii="Arial" w:hAnsi="Arial" w:cs="David" w:hint="cs"/>
          <w:sz w:val="24"/>
          <w:rtl/>
        </w:rPr>
        <w:t xml:space="preserve"> </w:t>
      </w:r>
      <w:r w:rsidRPr="00511240">
        <w:rPr>
          <w:rFonts w:ascii="Arial" w:hAnsi="Arial" w:cs="David"/>
          <w:sz w:val="24"/>
          <w:rtl/>
        </w:rPr>
        <w:t>/</w:t>
      </w:r>
      <w:r w:rsidRPr="00511240">
        <w:rPr>
          <w:rFonts w:ascii="Arial" w:hAnsi="Arial" w:cs="David" w:hint="cs"/>
          <w:sz w:val="24"/>
          <w:rtl/>
        </w:rPr>
        <w:t xml:space="preserve"> </w:t>
      </w:r>
      <w:r w:rsidRPr="00511240">
        <w:rPr>
          <w:rFonts w:ascii="Arial" w:hAnsi="Arial" w:cs="David"/>
          <w:sz w:val="24"/>
          <w:rtl/>
        </w:rPr>
        <w:t xml:space="preserve">אשראי. </w:t>
      </w:r>
    </w:p>
    <w:p w:rsidR="00AF1C80" w:rsidRPr="00511240" w:rsidRDefault="00AF1C80" w:rsidP="000A4A54">
      <w:pPr>
        <w:spacing w:after="120" w:line="360" w:lineRule="auto"/>
        <w:jc w:val="both"/>
        <w:rPr>
          <w:rFonts w:cs="David"/>
          <w:sz w:val="24"/>
          <w:szCs w:val="24"/>
          <w:rtl/>
        </w:rPr>
      </w:pPr>
      <w:r w:rsidRPr="00511240">
        <w:rPr>
          <w:rFonts w:cs="David" w:hint="cs"/>
          <w:sz w:val="24"/>
          <w:szCs w:val="24"/>
          <w:rtl/>
        </w:rPr>
        <w:t xml:space="preserve">טרם קבלת התיקון לחוק ניירות ערך, התשכ"ח-1968 (להלן </w:t>
      </w:r>
      <w:r w:rsidRPr="00511240">
        <w:rPr>
          <w:rFonts w:cs="David"/>
          <w:sz w:val="24"/>
          <w:szCs w:val="24"/>
          <w:rtl/>
        </w:rPr>
        <w:t>–</w:t>
      </w:r>
      <w:r w:rsidRPr="00511240">
        <w:rPr>
          <w:rFonts w:cs="David" w:hint="cs"/>
          <w:sz w:val="24"/>
          <w:szCs w:val="24"/>
          <w:rtl/>
        </w:rPr>
        <w:t xml:space="preserve"> חוק ניירות ערך) בעניין זירות סוחר, היו נגישות לציבור הישראלי עשרות זירות, והפעילות המתקיימת בהן לא זכתה למענה ברור בדין הקיים. לפיכך, הוחלט על הסדרה של תחום פעילות זה. ביוני 2010 אישרה הכנסת בקריאה השניה והשלישית, את </w:t>
      </w:r>
      <w:r w:rsidR="007F5853" w:rsidRPr="00511240">
        <w:rPr>
          <w:rFonts w:cs="David" w:hint="cs"/>
          <w:sz w:val="24"/>
          <w:szCs w:val="24"/>
          <w:rtl/>
        </w:rPr>
        <w:t>חוק ניירות ערך (</w:t>
      </w:r>
      <w:r w:rsidRPr="00511240">
        <w:rPr>
          <w:rFonts w:cs="David" w:hint="cs"/>
          <w:sz w:val="24"/>
          <w:szCs w:val="24"/>
          <w:rtl/>
        </w:rPr>
        <w:t>תיקון מס' 42</w:t>
      </w:r>
      <w:r w:rsidR="007F5853" w:rsidRPr="00511240">
        <w:rPr>
          <w:rFonts w:cs="David" w:hint="cs"/>
          <w:sz w:val="24"/>
          <w:szCs w:val="24"/>
          <w:rtl/>
        </w:rPr>
        <w:t xml:space="preserve">), התש"ע-2010 (להלן </w:t>
      </w:r>
      <w:r w:rsidR="007F5853" w:rsidRPr="00511240">
        <w:rPr>
          <w:rFonts w:cs="David"/>
          <w:sz w:val="24"/>
          <w:szCs w:val="24"/>
          <w:rtl/>
        </w:rPr>
        <w:t>–</w:t>
      </w:r>
      <w:r w:rsidR="007F5853" w:rsidRPr="00511240">
        <w:rPr>
          <w:rFonts w:cs="David" w:hint="cs"/>
          <w:sz w:val="24"/>
          <w:szCs w:val="24"/>
          <w:rtl/>
        </w:rPr>
        <w:t xml:space="preserve"> התיקון), שהוסיף לחוק ניירות ערך את פרק ז'3 המסדיר את פעילותן של </w:t>
      </w:r>
      <w:r w:rsidRPr="00511240">
        <w:rPr>
          <w:rFonts w:cs="David" w:hint="cs"/>
          <w:sz w:val="24"/>
          <w:szCs w:val="24"/>
          <w:rtl/>
        </w:rPr>
        <w:t>זירות המסחר</w:t>
      </w:r>
      <w:r w:rsidR="007F5853" w:rsidRPr="00511240">
        <w:rPr>
          <w:rFonts w:cs="David" w:hint="cs"/>
          <w:sz w:val="24"/>
          <w:szCs w:val="24"/>
          <w:rtl/>
        </w:rPr>
        <w:t>. כניסתו של התיקון לתוקף הותנתה</w:t>
      </w:r>
      <w:r w:rsidRPr="00511240">
        <w:rPr>
          <w:rFonts w:cs="David" w:hint="cs"/>
          <w:sz w:val="24"/>
          <w:szCs w:val="24"/>
          <w:rtl/>
        </w:rPr>
        <w:t xml:space="preserve"> בהתקנת תקנות. תקנות ניירות ערך (זירת סוחר לחשבונו העצמי), התשע"ה-2014 (להלן </w:t>
      </w:r>
      <w:r w:rsidRPr="00511240">
        <w:rPr>
          <w:rFonts w:cs="David"/>
          <w:sz w:val="24"/>
          <w:szCs w:val="24"/>
          <w:rtl/>
        </w:rPr>
        <w:t>–</w:t>
      </w:r>
      <w:r w:rsidRPr="00511240">
        <w:rPr>
          <w:rFonts w:cs="David" w:hint="cs"/>
          <w:sz w:val="24"/>
          <w:szCs w:val="24"/>
          <w:rtl/>
        </w:rPr>
        <w:t xml:space="preserve"> התקנות), פורסמו בנובמבר 2014, ונכנסו לתוקף שישה חודשים מאוחר יותר.</w:t>
      </w:r>
    </w:p>
    <w:p w:rsidR="00AF1C80" w:rsidRPr="00511240" w:rsidRDefault="007F5853" w:rsidP="000A4A54">
      <w:pPr>
        <w:spacing w:after="0" w:line="360" w:lineRule="auto"/>
        <w:jc w:val="both"/>
        <w:rPr>
          <w:rFonts w:cs="David"/>
          <w:sz w:val="24"/>
          <w:szCs w:val="24"/>
          <w:rtl/>
        </w:rPr>
      </w:pPr>
      <w:r w:rsidRPr="00511240">
        <w:rPr>
          <w:rFonts w:cs="David" w:hint="cs"/>
          <w:sz w:val="24"/>
          <w:szCs w:val="24"/>
          <w:rtl/>
        </w:rPr>
        <w:t xml:space="preserve">התיקון לחוק ניירות ערך כלל גם תיקון עקיף לחוק איסור הלבנת הון, התש"ס-2000 (להלן </w:t>
      </w:r>
      <w:r w:rsidRPr="00511240">
        <w:rPr>
          <w:rFonts w:cs="David"/>
          <w:sz w:val="24"/>
          <w:szCs w:val="24"/>
          <w:rtl/>
        </w:rPr>
        <w:t>–</w:t>
      </w:r>
      <w:r w:rsidRPr="00511240">
        <w:rPr>
          <w:rFonts w:cs="David" w:hint="cs"/>
          <w:sz w:val="24"/>
          <w:szCs w:val="24"/>
          <w:rtl/>
        </w:rPr>
        <w:t xml:space="preserve"> החוק או חוק איסור הלבנת הון) ולחוק איסור מימון טרור, התשס"ה-2005, כך שלרשימת הגופים </w:t>
      </w:r>
      <w:r w:rsidRPr="00511240">
        <w:rPr>
          <w:rFonts w:cs="David" w:hint="cs"/>
          <w:sz w:val="24"/>
          <w:szCs w:val="24"/>
          <w:rtl/>
        </w:rPr>
        <w:lastRenderedPageBreak/>
        <w:t>שחוקים אלה חלים עליהם יתווספו זירות הסוחר. לכן, נדרש שר האוצר לקבוע צו איסור הלבנת הון ומימון טרור שיחול על זירות הסוחר.</w:t>
      </w:r>
    </w:p>
    <w:p w:rsidR="002C24A3" w:rsidRPr="00511240" w:rsidRDefault="002C24A3" w:rsidP="000A4A54">
      <w:pPr>
        <w:spacing w:after="0" w:line="360" w:lineRule="auto"/>
        <w:jc w:val="both"/>
        <w:rPr>
          <w:rFonts w:ascii="Arial" w:eastAsia="Times New Roman" w:hAnsi="Arial" w:cs="David"/>
          <w:sz w:val="24"/>
          <w:szCs w:val="24"/>
          <w:rtl/>
        </w:rPr>
      </w:pPr>
    </w:p>
    <w:p w:rsidR="00C561C5" w:rsidRPr="00BE53FB" w:rsidRDefault="00C561C5" w:rsidP="000A4A54">
      <w:pPr>
        <w:spacing w:after="120" w:line="240" w:lineRule="auto"/>
        <w:jc w:val="both"/>
        <w:rPr>
          <w:rFonts w:cs="David"/>
          <w:b/>
          <w:bCs/>
          <w:sz w:val="24"/>
          <w:szCs w:val="24"/>
          <w:u w:val="single"/>
          <w:rtl/>
        </w:rPr>
      </w:pPr>
      <w:r w:rsidRPr="00BE53FB">
        <w:rPr>
          <w:rFonts w:cs="David" w:hint="cs"/>
          <w:b/>
          <w:bCs/>
          <w:sz w:val="24"/>
          <w:szCs w:val="24"/>
          <w:u w:val="single"/>
          <w:rtl/>
        </w:rPr>
        <w:t xml:space="preserve">מערך הדיווחים בחוק איסור הלבנת הון </w:t>
      </w:r>
      <w:r w:rsidRPr="00BE53FB">
        <w:rPr>
          <w:rFonts w:cs="David"/>
          <w:b/>
          <w:bCs/>
          <w:sz w:val="24"/>
          <w:szCs w:val="24"/>
          <w:u w:val="single"/>
          <w:rtl/>
        </w:rPr>
        <w:t>–</w:t>
      </w:r>
      <w:r w:rsidRPr="00BE53FB">
        <w:rPr>
          <w:rFonts w:cs="David" w:hint="cs"/>
          <w:b/>
          <w:bCs/>
          <w:sz w:val="24"/>
          <w:szCs w:val="24"/>
          <w:u w:val="single"/>
          <w:rtl/>
        </w:rPr>
        <w:t xml:space="preserve"> כללי</w:t>
      </w:r>
    </w:p>
    <w:p w:rsidR="00C561C5" w:rsidRPr="00BE53FB" w:rsidRDefault="00C561C5" w:rsidP="000A4A54">
      <w:pPr>
        <w:spacing w:after="120" w:line="360" w:lineRule="auto"/>
        <w:jc w:val="both"/>
        <w:rPr>
          <w:rFonts w:cs="David"/>
          <w:sz w:val="24"/>
          <w:szCs w:val="24"/>
          <w:rtl/>
        </w:rPr>
      </w:pPr>
      <w:r w:rsidRPr="00BE53FB">
        <w:rPr>
          <w:rFonts w:cs="David" w:hint="cs"/>
          <w:sz w:val="24"/>
          <w:szCs w:val="24"/>
          <w:rtl/>
        </w:rPr>
        <w:t>אחד מהנדבכים המרכזיים שב</w:t>
      </w:r>
      <w:r w:rsidRPr="00BE53FB">
        <w:rPr>
          <w:rFonts w:cs="David"/>
          <w:sz w:val="24"/>
          <w:szCs w:val="24"/>
          <w:rtl/>
        </w:rPr>
        <w:t>חוק איסור הלבנת הון</w:t>
      </w:r>
      <w:r w:rsidRPr="00BE53FB">
        <w:rPr>
          <w:rFonts w:cs="David" w:hint="cs"/>
          <w:sz w:val="24"/>
          <w:szCs w:val="24"/>
          <w:rtl/>
        </w:rPr>
        <w:t xml:space="preserve">, התש"ס-2000 (להלן </w:t>
      </w:r>
      <w:r w:rsidRPr="00BE53FB">
        <w:rPr>
          <w:rFonts w:cs="David"/>
          <w:sz w:val="24"/>
          <w:szCs w:val="24"/>
          <w:rtl/>
        </w:rPr>
        <w:t>–</w:t>
      </w:r>
      <w:r w:rsidRPr="00BE53FB">
        <w:rPr>
          <w:rFonts w:cs="David" w:hint="cs"/>
          <w:sz w:val="24"/>
          <w:szCs w:val="24"/>
          <w:rtl/>
        </w:rPr>
        <w:t xml:space="preserve"> החוק) הוא מערך הדיווחים. במטרה למנוע הטמעה של רווחים שמקורם בעבירה לתוך המערכות הפיננסיות הלגיטימיות, מטיל החוק על גורמים מרכזיים בסקטור הפיננסי</w:t>
      </w:r>
      <w:r w:rsidRPr="00BE53FB">
        <w:rPr>
          <w:rStyle w:val="a5"/>
          <w:rFonts w:cs="David"/>
          <w:sz w:val="24"/>
          <w:szCs w:val="24"/>
          <w:rtl/>
        </w:rPr>
        <w:footnoteReference w:id="1"/>
      </w:r>
      <w:r w:rsidRPr="00BE53FB">
        <w:rPr>
          <w:rFonts w:cs="David" w:hint="cs"/>
          <w:sz w:val="24"/>
          <w:szCs w:val="24"/>
          <w:rtl/>
        </w:rPr>
        <w:t xml:space="preserve"> חובות לזהות את לקוחותיהם, לרשום את פרטיהם, לשמור מסמכים ולדווח לרשות לאיסור הלבנת הון על פעולותיהם הפיננסיות</w:t>
      </w:r>
      <w:r w:rsidRPr="00BE53FB">
        <w:rPr>
          <w:rStyle w:val="a5"/>
          <w:rFonts w:cs="David"/>
          <w:sz w:val="24"/>
          <w:szCs w:val="24"/>
          <w:rtl/>
        </w:rPr>
        <w:footnoteReference w:id="2"/>
      </w:r>
      <w:r w:rsidRPr="00BE53FB">
        <w:rPr>
          <w:rFonts w:cs="David" w:hint="cs"/>
          <w:sz w:val="24"/>
          <w:szCs w:val="24"/>
          <w:rtl/>
        </w:rPr>
        <w:t xml:space="preserve">. מטרתן של הוראות אלה היא להקשות על ההחדרה של הון שחור שמקורו בעבירה לתוך המערכת הפיננסית ולאפשר את איתורו אם הוחדר אליה. </w:t>
      </w:r>
    </w:p>
    <w:p w:rsidR="00C561C5" w:rsidRPr="00BE53FB" w:rsidRDefault="00C561C5" w:rsidP="000A4A54">
      <w:pPr>
        <w:spacing w:after="0" w:line="360" w:lineRule="auto"/>
        <w:jc w:val="both"/>
        <w:rPr>
          <w:rFonts w:cs="David"/>
          <w:sz w:val="24"/>
          <w:szCs w:val="24"/>
          <w:rtl/>
        </w:rPr>
      </w:pPr>
      <w:r w:rsidRPr="00BE53FB">
        <w:rPr>
          <w:rFonts w:cs="David" w:hint="cs"/>
          <w:sz w:val="24"/>
          <w:szCs w:val="24"/>
          <w:rtl/>
        </w:rPr>
        <w:t xml:space="preserve">מערך הדיווחים הסטנדרטי מורכב משני סוגים של חובות: </w:t>
      </w:r>
    </w:p>
    <w:p w:rsidR="00C561C5" w:rsidRPr="00BE53FB" w:rsidRDefault="00C561C5" w:rsidP="000A4A54">
      <w:pPr>
        <w:pStyle w:val="a8"/>
        <w:numPr>
          <w:ilvl w:val="0"/>
          <w:numId w:val="3"/>
        </w:numPr>
        <w:autoSpaceDE/>
        <w:autoSpaceDN/>
        <w:rPr>
          <w:rFonts w:cs="David"/>
          <w:sz w:val="24"/>
          <w:rtl/>
        </w:rPr>
      </w:pPr>
      <w:r w:rsidRPr="00BE53FB">
        <w:rPr>
          <w:rFonts w:cs="David" w:hint="cs"/>
          <w:sz w:val="24"/>
          <w:u w:val="single"/>
          <w:rtl/>
        </w:rPr>
        <w:t>חובות זיהוי, רישום פרטים ושמירת מסמכים</w:t>
      </w:r>
      <w:r w:rsidRPr="00BE53FB">
        <w:rPr>
          <w:rFonts w:cs="David" w:hint="cs"/>
          <w:sz w:val="24"/>
          <w:rtl/>
        </w:rPr>
        <w:t xml:space="preserve">: כל אחד מהגופים הפיננסיים נדרש </w:t>
      </w:r>
      <w:r w:rsidRPr="00BE53FB">
        <w:rPr>
          <w:rFonts w:cs="David" w:hint="cs"/>
          <w:b/>
          <w:bCs/>
          <w:sz w:val="24"/>
          <w:rtl/>
        </w:rPr>
        <w:t>לזהות את הלקוח</w:t>
      </w:r>
      <w:r w:rsidRPr="00BE53FB">
        <w:rPr>
          <w:rFonts w:cs="David" w:hint="cs"/>
          <w:sz w:val="24"/>
          <w:rtl/>
        </w:rPr>
        <w:t xml:space="preserve"> פנים אל פנים, </w:t>
      </w:r>
      <w:r w:rsidRPr="00BE53FB">
        <w:rPr>
          <w:rFonts w:cs="David" w:hint="cs"/>
          <w:b/>
          <w:bCs/>
          <w:sz w:val="24"/>
          <w:rtl/>
        </w:rPr>
        <w:t>לרשום את פרטי הזיהוי</w:t>
      </w:r>
      <w:r w:rsidRPr="00BE53FB">
        <w:rPr>
          <w:rFonts w:cs="David" w:hint="cs"/>
          <w:sz w:val="24"/>
          <w:rtl/>
        </w:rPr>
        <w:t xml:space="preserve"> שלו</w:t>
      </w:r>
      <w:r w:rsidRPr="00BE53FB">
        <w:rPr>
          <w:rStyle w:val="a5"/>
          <w:rFonts w:cs="David"/>
          <w:sz w:val="24"/>
          <w:rtl/>
        </w:rPr>
        <w:footnoteReference w:id="3"/>
      </w:r>
      <w:r w:rsidRPr="00BE53FB">
        <w:rPr>
          <w:rFonts w:cs="David" w:hint="cs"/>
          <w:sz w:val="24"/>
          <w:rtl/>
        </w:rPr>
        <w:t>, ו</w:t>
      </w:r>
      <w:r w:rsidRPr="00BE53FB">
        <w:rPr>
          <w:rFonts w:cs="David" w:hint="cs"/>
          <w:b/>
          <w:bCs/>
          <w:sz w:val="24"/>
          <w:rtl/>
        </w:rPr>
        <w:t>לאמת את הזיהוי</w:t>
      </w:r>
      <w:r w:rsidRPr="00BE53FB">
        <w:rPr>
          <w:rFonts w:cs="David" w:hint="cs"/>
          <w:sz w:val="24"/>
          <w:rtl/>
        </w:rPr>
        <w:t xml:space="preserve"> שביצע, תוך הצלבה עם מקורות מידע נוספים</w:t>
      </w:r>
      <w:r w:rsidRPr="00BE53FB">
        <w:rPr>
          <w:rStyle w:val="a5"/>
          <w:rFonts w:cs="David"/>
          <w:sz w:val="24"/>
          <w:rtl/>
        </w:rPr>
        <w:footnoteReference w:id="4"/>
      </w:r>
      <w:r w:rsidRPr="00BE53FB">
        <w:rPr>
          <w:rFonts w:cs="David" w:hint="cs"/>
          <w:sz w:val="24"/>
          <w:rtl/>
        </w:rPr>
        <w:t xml:space="preserve">. נוסף על כך, נדרש הגוף הפיננסי </w:t>
      </w:r>
      <w:r w:rsidRPr="00BE53FB">
        <w:rPr>
          <w:rFonts w:cs="David" w:hint="cs"/>
          <w:b/>
          <w:bCs/>
          <w:sz w:val="24"/>
          <w:rtl/>
        </w:rPr>
        <w:t>לשמור את המסמכים</w:t>
      </w:r>
      <w:r w:rsidRPr="00BE53FB">
        <w:rPr>
          <w:rFonts w:cs="David" w:hint="cs"/>
          <w:sz w:val="24"/>
          <w:rtl/>
        </w:rPr>
        <w:t xml:space="preserve"> השונים המתעדים את זיהויו של הלקוח לתקופה של מספר שנים. במסגרת הליך הזיהוי, נדרש הלקוח להצהיר האם הוא מנהל את החשבון בעבור עצמו או בעבור אדם אחר שהוא </w:t>
      </w:r>
      <w:r w:rsidRPr="00BE53FB">
        <w:rPr>
          <w:rFonts w:cs="David" w:hint="cs"/>
          <w:b/>
          <w:bCs/>
          <w:sz w:val="24"/>
          <w:rtl/>
        </w:rPr>
        <w:t>הנהנה</w:t>
      </w:r>
      <w:r w:rsidRPr="00BE53FB">
        <w:rPr>
          <w:rFonts w:cs="David" w:hint="cs"/>
          <w:sz w:val="24"/>
          <w:rtl/>
        </w:rPr>
        <w:t xml:space="preserve"> בחשבון. לקוח שהוא תאגיד נדרש למסור את פרטי הזיהוי של </w:t>
      </w:r>
      <w:r w:rsidRPr="00BE53FB">
        <w:rPr>
          <w:rFonts w:cs="David" w:hint="cs"/>
          <w:b/>
          <w:bCs/>
          <w:sz w:val="24"/>
          <w:rtl/>
        </w:rPr>
        <w:t xml:space="preserve">בעלי השליטה </w:t>
      </w:r>
      <w:r w:rsidRPr="00BE53FB">
        <w:rPr>
          <w:rFonts w:cs="David" w:hint="cs"/>
          <w:sz w:val="24"/>
          <w:rtl/>
        </w:rPr>
        <w:t xml:space="preserve">בתאגיד. כמו כן, נדרש הגוף הפיננסי לבצע </w:t>
      </w:r>
      <w:r w:rsidRPr="00BE53FB">
        <w:rPr>
          <w:rFonts w:cs="David" w:hint="cs"/>
          <w:b/>
          <w:bCs/>
          <w:sz w:val="24"/>
          <w:rtl/>
        </w:rPr>
        <w:t>הליך של "הכרת הלקוח"</w:t>
      </w:r>
      <w:r w:rsidRPr="00BE53FB">
        <w:rPr>
          <w:rFonts w:cs="David" w:hint="cs"/>
          <w:sz w:val="24"/>
          <w:rtl/>
        </w:rPr>
        <w:t xml:space="preserve">, שבמסגרתו הוא נדרש לברר מה מקור הכספים שאמורים להיות מופקדים בחשבון, מה עיסוקו של הלקוח, מה מטרת פתיחת החשבון והפעילות המתוכננת בו, אם מדובר על עסק </w:t>
      </w:r>
      <w:r w:rsidRPr="00BE53FB">
        <w:rPr>
          <w:rFonts w:cs="David"/>
          <w:sz w:val="24"/>
          <w:rtl/>
        </w:rPr>
        <w:t>–</w:t>
      </w:r>
      <w:r w:rsidRPr="00BE53FB">
        <w:rPr>
          <w:rFonts w:cs="David" w:hint="cs"/>
          <w:sz w:val="24"/>
          <w:rtl/>
        </w:rPr>
        <w:t xml:space="preserve"> מה סוג העסק, ואם מדובר על איש ציבור זר </w:t>
      </w:r>
      <w:r w:rsidRPr="00BE53FB">
        <w:rPr>
          <w:rFonts w:cs="David"/>
          <w:sz w:val="24"/>
          <w:rtl/>
        </w:rPr>
        <w:t>–</w:t>
      </w:r>
      <w:r w:rsidRPr="00BE53FB">
        <w:rPr>
          <w:rFonts w:cs="David" w:hint="cs"/>
          <w:sz w:val="24"/>
          <w:rtl/>
        </w:rPr>
        <w:t xml:space="preserve"> מה זיקתו לישראל. </w:t>
      </w:r>
    </w:p>
    <w:p w:rsidR="00C561C5" w:rsidRPr="00BE53FB" w:rsidRDefault="00C561C5" w:rsidP="000A4A54">
      <w:pPr>
        <w:pStyle w:val="a8"/>
        <w:numPr>
          <w:ilvl w:val="0"/>
          <w:numId w:val="3"/>
        </w:numPr>
        <w:autoSpaceDE/>
        <w:autoSpaceDN/>
        <w:rPr>
          <w:rFonts w:cs="David"/>
          <w:sz w:val="24"/>
          <w:rtl/>
        </w:rPr>
      </w:pPr>
      <w:r w:rsidRPr="00BE53FB">
        <w:rPr>
          <w:rFonts w:cs="David" w:hint="cs"/>
          <w:sz w:val="24"/>
          <w:u w:val="single"/>
          <w:rtl/>
        </w:rPr>
        <w:t>חובות דיווח לרשות לאיסור הלבנת הון</w:t>
      </w:r>
      <w:r w:rsidRPr="00BE53FB">
        <w:rPr>
          <w:rFonts w:cs="David" w:hint="cs"/>
          <w:sz w:val="24"/>
          <w:rtl/>
        </w:rPr>
        <w:t>: כל אחד מהגופים הפיננסיים עליהם חל משטר הלבנת הון מחויב לדווח לרשות לאיסור הלבנת הון דיווחים משני סוגים:</w:t>
      </w:r>
    </w:p>
    <w:p w:rsidR="00C561C5" w:rsidRPr="00BE53FB" w:rsidRDefault="00C561C5" w:rsidP="000A4A54">
      <w:pPr>
        <w:pStyle w:val="a8"/>
        <w:numPr>
          <w:ilvl w:val="0"/>
          <w:numId w:val="2"/>
        </w:numPr>
        <w:autoSpaceDE/>
        <w:autoSpaceDN/>
        <w:rPr>
          <w:rFonts w:cs="David"/>
          <w:sz w:val="24"/>
        </w:rPr>
      </w:pPr>
      <w:r w:rsidRPr="00BE53FB">
        <w:rPr>
          <w:rFonts w:cs="David" w:hint="cs"/>
          <w:b/>
          <w:bCs/>
          <w:sz w:val="24"/>
          <w:rtl/>
        </w:rPr>
        <w:t>דיווח על פעולות רגילות</w:t>
      </w:r>
      <w:r w:rsidRPr="00BE53FB">
        <w:rPr>
          <w:rFonts w:cs="David" w:hint="cs"/>
          <w:sz w:val="24"/>
          <w:rtl/>
        </w:rPr>
        <w:t xml:space="preserve"> </w:t>
      </w:r>
      <w:r w:rsidRPr="00BE53FB">
        <w:rPr>
          <w:rFonts w:cs="David"/>
          <w:sz w:val="24"/>
          <w:rtl/>
        </w:rPr>
        <w:t>–</w:t>
      </w:r>
      <w:r w:rsidRPr="00BE53FB">
        <w:rPr>
          <w:rFonts w:cs="David" w:hint="cs"/>
          <w:sz w:val="24"/>
          <w:rtl/>
        </w:rPr>
        <w:t xml:space="preserve"> המוגדרות לפי סוג הפעולה וסכומה, ללא שיקול דעת מצד הגוף הפיננסי. כך, למשל, על כל הפקדה או משיכה של 50,000 ₪ ומעלה מחשבון הבנק, מחויב הבנק לדווח על כך לרשות לאיסור הלבנת הון ללא כל שיקול דעת. </w:t>
      </w:r>
    </w:p>
    <w:p w:rsidR="00C561C5" w:rsidRPr="00BE53FB" w:rsidRDefault="00C561C5" w:rsidP="000A4A54">
      <w:pPr>
        <w:pStyle w:val="a8"/>
        <w:numPr>
          <w:ilvl w:val="0"/>
          <w:numId w:val="2"/>
        </w:numPr>
        <w:autoSpaceDE/>
        <w:autoSpaceDN/>
        <w:spacing w:after="120"/>
        <w:rPr>
          <w:rFonts w:cs="David"/>
          <w:sz w:val="24"/>
        </w:rPr>
      </w:pPr>
      <w:r w:rsidRPr="00BE53FB">
        <w:rPr>
          <w:rFonts w:cs="David" w:hint="cs"/>
          <w:b/>
          <w:bCs/>
          <w:sz w:val="24"/>
          <w:rtl/>
        </w:rPr>
        <w:t>דיווח על פעולות בלתי רגילות</w:t>
      </w:r>
      <w:r w:rsidRPr="00BE53FB">
        <w:rPr>
          <w:rFonts w:cs="David" w:hint="cs"/>
          <w:sz w:val="24"/>
          <w:rtl/>
        </w:rPr>
        <w:t xml:space="preserve"> </w:t>
      </w:r>
      <w:r w:rsidRPr="00BE53FB">
        <w:rPr>
          <w:rFonts w:cs="David"/>
          <w:sz w:val="24"/>
          <w:rtl/>
        </w:rPr>
        <w:t>–</w:t>
      </w:r>
      <w:r w:rsidRPr="00BE53FB">
        <w:rPr>
          <w:rFonts w:cs="David" w:hint="cs"/>
          <w:sz w:val="24"/>
          <w:rtl/>
        </w:rPr>
        <w:t xml:space="preserve"> בהתאם לשיקול דעתו של הגוף הפיננסי. כל אחד מהגופים הפיננסיים האמורים נדרש לדווח לרשות על פעולות שנחזות בעיניו כ"בלתי רגילות"</w:t>
      </w:r>
      <w:r w:rsidRPr="00BE53FB">
        <w:rPr>
          <w:rStyle w:val="a5"/>
          <w:rFonts w:cs="David"/>
          <w:sz w:val="24"/>
          <w:rtl/>
        </w:rPr>
        <w:footnoteReference w:id="5"/>
      </w:r>
      <w:r w:rsidRPr="00BE53FB">
        <w:rPr>
          <w:rFonts w:cs="David" w:hint="cs"/>
          <w:sz w:val="24"/>
          <w:rtl/>
        </w:rPr>
        <w:t xml:space="preserve">, וזאת על פי היכרותו את הלקוח ואת אופי פעילותו. כך, למשל, בנק הרואה </w:t>
      </w:r>
      <w:r w:rsidRPr="00BE53FB">
        <w:rPr>
          <w:rFonts w:cs="David" w:hint="cs"/>
          <w:sz w:val="24"/>
          <w:rtl/>
        </w:rPr>
        <w:lastRenderedPageBreak/>
        <w:t xml:space="preserve">כי ביממה אחת הופקדו ונמשכו מחשבון עו"ש רגיל סכומי כסף בהיקפים חריגים שאינם רגילים לחשבון, נדרש לדווח על כך לרשות לאיסור הלבנת הון. </w:t>
      </w:r>
    </w:p>
    <w:p w:rsidR="00C561C5" w:rsidRPr="00BE53FB" w:rsidRDefault="00C561C5" w:rsidP="000A4A54">
      <w:pPr>
        <w:spacing w:after="120" w:line="360" w:lineRule="auto"/>
        <w:jc w:val="both"/>
        <w:rPr>
          <w:rFonts w:cs="David"/>
          <w:sz w:val="24"/>
          <w:szCs w:val="24"/>
          <w:rtl/>
        </w:rPr>
      </w:pPr>
      <w:r w:rsidRPr="00BE53FB">
        <w:rPr>
          <w:rFonts w:cs="David" w:hint="cs"/>
          <w:sz w:val="24"/>
          <w:szCs w:val="24"/>
          <w:rtl/>
        </w:rPr>
        <w:t xml:space="preserve">גוף פיננסי שאינו עומד בחובות שהצווים מטילים עליו, צפוי להטלת </w:t>
      </w:r>
      <w:r w:rsidRPr="00BE53FB">
        <w:rPr>
          <w:rFonts w:cs="David" w:hint="cs"/>
          <w:b/>
          <w:bCs/>
          <w:sz w:val="24"/>
          <w:szCs w:val="24"/>
          <w:rtl/>
        </w:rPr>
        <w:t>עיצום כספי</w:t>
      </w:r>
      <w:r w:rsidRPr="00BE53FB">
        <w:rPr>
          <w:rFonts w:cs="David" w:hint="cs"/>
          <w:sz w:val="24"/>
          <w:szCs w:val="24"/>
          <w:rtl/>
        </w:rPr>
        <w:t xml:space="preserve"> על ידי </w:t>
      </w:r>
      <w:r w:rsidRPr="00BE53FB">
        <w:rPr>
          <w:rFonts w:cs="David" w:hint="cs"/>
          <w:b/>
          <w:bCs/>
          <w:sz w:val="24"/>
          <w:szCs w:val="24"/>
          <w:rtl/>
        </w:rPr>
        <w:t>ועדה להטלת עיצום כספי</w:t>
      </w:r>
      <w:r w:rsidRPr="00BE53FB">
        <w:rPr>
          <w:rFonts w:cs="David" w:hint="cs"/>
          <w:sz w:val="24"/>
          <w:szCs w:val="24"/>
          <w:rtl/>
        </w:rPr>
        <w:t xml:space="preserve">. </w:t>
      </w:r>
    </w:p>
    <w:p w:rsidR="00C561C5" w:rsidRPr="00BE53FB" w:rsidRDefault="00C561C5" w:rsidP="000A4A54">
      <w:pPr>
        <w:spacing w:after="0" w:line="360" w:lineRule="auto"/>
        <w:jc w:val="both"/>
        <w:rPr>
          <w:rFonts w:cs="David"/>
          <w:sz w:val="24"/>
          <w:szCs w:val="24"/>
          <w:rtl/>
        </w:rPr>
      </w:pPr>
      <w:r w:rsidRPr="00BE53FB">
        <w:rPr>
          <w:rFonts w:cs="David" w:hint="cs"/>
          <w:sz w:val="24"/>
          <w:szCs w:val="24"/>
          <w:rtl/>
        </w:rPr>
        <w:t>הדיווחים האמורים נאספים במאגר שמנהלת הרשות לאיסור הלבנת הון. המאגר כולל מידע רגיש ביותר שנאסף תוך בזכויות הפרט של אזרחי המדינה, זאת מתוך הכרה בנחיצות של פגיעה זו לשם מאבק יעיל ושיטתי בתופעת הלבנת ההון ומימון הטרור. נכון להיום, הרשות רשאית להעביר מידע מהמאגר לגופים הבאים: משטרה, שב"כ, מוסד, אמ"ן ומלמ"ב. במסגרת החוק והתקנות נקבעה מערכת שלמה של הוראות שנועדו להגן על סודיות המידע, אופן העברתו והשימוש שניתן לעשות בו.</w:t>
      </w:r>
    </w:p>
    <w:p w:rsidR="002C24A3" w:rsidRPr="00400B52" w:rsidRDefault="002C24A3" w:rsidP="000A4A54">
      <w:pPr>
        <w:spacing w:after="0" w:line="360" w:lineRule="auto"/>
        <w:jc w:val="both"/>
        <w:rPr>
          <w:rFonts w:cs="David"/>
          <w:sz w:val="24"/>
          <w:szCs w:val="24"/>
          <w:rtl/>
        </w:rPr>
      </w:pPr>
    </w:p>
    <w:p w:rsidR="00031CD4" w:rsidRPr="00400B52" w:rsidRDefault="00031CD4" w:rsidP="000A4A54">
      <w:pPr>
        <w:spacing w:after="120" w:line="240" w:lineRule="auto"/>
        <w:jc w:val="both"/>
        <w:rPr>
          <w:rFonts w:cs="David"/>
          <w:b/>
          <w:bCs/>
          <w:sz w:val="24"/>
          <w:szCs w:val="24"/>
          <w:u w:val="single"/>
          <w:rtl/>
        </w:rPr>
      </w:pPr>
      <w:r w:rsidRPr="00400B52">
        <w:rPr>
          <w:rFonts w:cs="David" w:hint="cs"/>
          <w:b/>
          <w:bCs/>
          <w:sz w:val="24"/>
          <w:szCs w:val="24"/>
          <w:u w:val="single"/>
          <w:rtl/>
        </w:rPr>
        <w:t xml:space="preserve">צו איסור הלבנת הון </w:t>
      </w:r>
      <w:r w:rsidRPr="00400B52">
        <w:rPr>
          <w:rFonts w:cs="David"/>
          <w:b/>
          <w:bCs/>
          <w:sz w:val="24"/>
          <w:szCs w:val="24"/>
          <w:u w:val="single"/>
          <w:rtl/>
        </w:rPr>
        <w:t>–</w:t>
      </w:r>
      <w:r w:rsidRPr="00400B52">
        <w:rPr>
          <w:rFonts w:cs="David" w:hint="cs"/>
          <w:b/>
          <w:bCs/>
          <w:sz w:val="24"/>
          <w:szCs w:val="24"/>
          <w:u w:val="single"/>
          <w:rtl/>
        </w:rPr>
        <w:t xml:space="preserve"> זירות סוחר</w:t>
      </w:r>
    </w:p>
    <w:p w:rsidR="00031CD4" w:rsidRPr="00400B52" w:rsidRDefault="00BB5267" w:rsidP="000A4A54">
      <w:pPr>
        <w:spacing w:after="120" w:line="360" w:lineRule="auto"/>
        <w:jc w:val="both"/>
        <w:rPr>
          <w:rFonts w:cs="David"/>
          <w:sz w:val="24"/>
          <w:szCs w:val="24"/>
          <w:rtl/>
        </w:rPr>
      </w:pPr>
      <w:r>
        <w:rPr>
          <w:rFonts w:cs="David" w:hint="cs"/>
          <w:sz w:val="24"/>
          <w:szCs w:val="24"/>
          <w:rtl/>
        </w:rPr>
        <w:t xml:space="preserve">טיוטת </w:t>
      </w:r>
      <w:r w:rsidR="004724E6" w:rsidRPr="00400B52">
        <w:rPr>
          <w:rFonts w:cs="David" w:hint="cs"/>
          <w:sz w:val="24"/>
          <w:szCs w:val="24"/>
          <w:rtl/>
        </w:rPr>
        <w:t xml:space="preserve">הצו </w:t>
      </w:r>
      <w:r>
        <w:rPr>
          <w:rFonts w:cs="David" w:hint="cs"/>
          <w:sz w:val="24"/>
          <w:szCs w:val="24"/>
          <w:rtl/>
        </w:rPr>
        <w:t xml:space="preserve">שהונחה על שולחן הוועדה לצורך אישר, </w:t>
      </w:r>
      <w:r w:rsidR="004724E6" w:rsidRPr="00400B52">
        <w:rPr>
          <w:rFonts w:cs="David" w:hint="cs"/>
          <w:sz w:val="24"/>
          <w:szCs w:val="24"/>
          <w:rtl/>
        </w:rPr>
        <w:t>דומה במהות</w:t>
      </w:r>
      <w:r>
        <w:rPr>
          <w:rFonts w:cs="David" w:hint="cs"/>
          <w:sz w:val="24"/>
          <w:szCs w:val="24"/>
          <w:rtl/>
        </w:rPr>
        <w:t>ה</w:t>
      </w:r>
      <w:r w:rsidR="004724E6" w:rsidRPr="00400B52">
        <w:rPr>
          <w:rFonts w:cs="David" w:hint="cs"/>
          <w:sz w:val="24"/>
          <w:szCs w:val="24"/>
          <w:rtl/>
        </w:rPr>
        <w:t xml:space="preserve"> לצווים המקבילים החלים על הגופים הפיננסיים האחרים (תאגידים בנקאיים</w:t>
      </w:r>
      <w:r w:rsidR="00400B52" w:rsidRPr="00400B52">
        <w:rPr>
          <w:rFonts w:cs="David" w:hint="cs"/>
          <w:sz w:val="24"/>
          <w:szCs w:val="24"/>
          <w:rtl/>
        </w:rPr>
        <w:t>,</w:t>
      </w:r>
      <w:r w:rsidR="004724E6" w:rsidRPr="00400B52">
        <w:rPr>
          <w:rFonts w:cs="David" w:hint="cs"/>
          <w:sz w:val="24"/>
          <w:szCs w:val="24"/>
          <w:rtl/>
        </w:rPr>
        <w:t xml:space="preserve"> חברי בורסה</w:t>
      </w:r>
      <w:r w:rsidR="00400B52" w:rsidRPr="00400B52">
        <w:rPr>
          <w:rFonts w:cs="David" w:hint="cs"/>
          <w:sz w:val="24"/>
          <w:szCs w:val="24"/>
          <w:rtl/>
        </w:rPr>
        <w:t xml:space="preserve"> וכו'</w:t>
      </w:r>
      <w:r w:rsidR="004724E6" w:rsidRPr="00400B52">
        <w:rPr>
          <w:rFonts w:cs="David" w:hint="cs"/>
          <w:sz w:val="24"/>
          <w:szCs w:val="24"/>
          <w:rtl/>
        </w:rPr>
        <w:t>), תוך ביצוע התאמות לאופי פעילותן של זירות הסוחר. הצו כולל הוראות וחובות העוסקות בזיהוי והכרת בעל החשבון, בקרה על פעילות בעלי החשבונות, דיווח על פעולות מסוימות, רישום פרטים ושמירת מסמכים.</w:t>
      </w:r>
    </w:p>
    <w:p w:rsidR="003D0D56" w:rsidRPr="00400B52" w:rsidRDefault="003D0D56" w:rsidP="000A4A54">
      <w:pPr>
        <w:spacing w:after="0" w:line="360" w:lineRule="auto"/>
        <w:jc w:val="both"/>
        <w:rPr>
          <w:rFonts w:cs="David"/>
          <w:sz w:val="24"/>
          <w:szCs w:val="24"/>
          <w:rtl/>
        </w:rPr>
      </w:pPr>
    </w:p>
    <w:p w:rsidR="003D0D56" w:rsidRPr="00400B52" w:rsidRDefault="003D0D56" w:rsidP="000A4A54">
      <w:pPr>
        <w:spacing w:after="0" w:line="360" w:lineRule="auto"/>
        <w:jc w:val="both"/>
        <w:rPr>
          <w:rFonts w:cs="David"/>
          <w:sz w:val="24"/>
          <w:szCs w:val="24"/>
          <w:rtl/>
        </w:rPr>
      </w:pPr>
      <w:r w:rsidRPr="00400B52">
        <w:rPr>
          <w:rFonts w:cs="David" w:hint="cs"/>
          <w:sz w:val="24"/>
          <w:szCs w:val="24"/>
          <w:rtl/>
        </w:rPr>
        <w:t>התייחסות מפורטת לסעיפים השונים של הצו</w:t>
      </w:r>
      <w:r w:rsidR="00400B52" w:rsidRPr="00400B52">
        <w:rPr>
          <w:rFonts w:cs="David" w:hint="cs"/>
          <w:sz w:val="24"/>
          <w:szCs w:val="24"/>
          <w:rtl/>
        </w:rPr>
        <w:t>,</w:t>
      </w:r>
      <w:r w:rsidRPr="00400B52">
        <w:rPr>
          <w:rFonts w:cs="David" w:hint="cs"/>
          <w:sz w:val="24"/>
          <w:szCs w:val="24"/>
          <w:rtl/>
        </w:rPr>
        <w:t xml:space="preserve"> יש </w:t>
      </w:r>
      <w:r w:rsidR="009A2647">
        <w:rPr>
          <w:rFonts w:cs="David" w:hint="cs"/>
          <w:sz w:val="24"/>
          <w:szCs w:val="24"/>
          <w:rtl/>
        </w:rPr>
        <w:t>בתיקוני הניסוח ו</w:t>
      </w:r>
      <w:r w:rsidRPr="00400B52">
        <w:rPr>
          <w:rFonts w:cs="David" w:hint="cs"/>
          <w:sz w:val="24"/>
          <w:szCs w:val="24"/>
          <w:rtl/>
        </w:rPr>
        <w:t>בהערות הפרטניות לנוסח המעודכן של הצו שהונח על שולחן הוועדה.</w:t>
      </w:r>
    </w:p>
    <w:p w:rsidR="00031CD4" w:rsidRPr="00400B52" w:rsidRDefault="00031CD4" w:rsidP="000A4A54">
      <w:pPr>
        <w:spacing w:after="0" w:line="360" w:lineRule="auto"/>
        <w:jc w:val="both"/>
        <w:rPr>
          <w:rFonts w:cs="David"/>
          <w:sz w:val="24"/>
          <w:szCs w:val="24"/>
          <w:rtl/>
        </w:rPr>
      </w:pPr>
    </w:p>
    <w:p w:rsidR="00031CD4" w:rsidRPr="00AF1C80" w:rsidRDefault="00031CD4" w:rsidP="000A4A54">
      <w:pPr>
        <w:spacing w:after="0" w:line="360" w:lineRule="auto"/>
        <w:jc w:val="both"/>
        <w:rPr>
          <w:rFonts w:cs="David"/>
          <w:color w:val="0070C0"/>
          <w:sz w:val="24"/>
          <w:szCs w:val="24"/>
          <w:rtl/>
        </w:rPr>
      </w:pPr>
    </w:p>
    <w:p w:rsidR="00031CD4" w:rsidRPr="00400B52" w:rsidRDefault="00D7379D" w:rsidP="00801C46">
      <w:pPr>
        <w:spacing w:after="240" w:line="240" w:lineRule="auto"/>
        <w:jc w:val="center"/>
        <w:rPr>
          <w:rFonts w:ascii="Times New Roman" w:eastAsia="Times New Roman" w:hAnsi="Times New Roman" w:cs="David"/>
          <w:b/>
          <w:bCs/>
          <w:spacing w:val="6"/>
          <w:sz w:val="28"/>
          <w:szCs w:val="28"/>
          <w:u w:val="single"/>
          <w:rtl/>
          <w:lang w:eastAsia="he-IL"/>
        </w:rPr>
      </w:pPr>
      <w:r w:rsidRPr="00D7379D">
        <w:rPr>
          <w:rFonts w:ascii="Times New Roman" w:eastAsia="Times New Roman" w:hAnsi="Times New Roman" w:cs="David"/>
          <w:b/>
          <w:bCs/>
          <w:spacing w:val="6"/>
          <w:sz w:val="28"/>
          <w:szCs w:val="28"/>
          <w:u w:val="single"/>
          <w:rtl/>
          <w:lang w:eastAsia="he-IL"/>
        </w:rPr>
        <w:t>צו איסור הלבנת הון (</w:t>
      </w:r>
      <w:r w:rsidRPr="00D7379D">
        <w:rPr>
          <w:rFonts w:ascii="Times New Roman" w:eastAsia="Times New Roman" w:hAnsi="Times New Roman" w:cs="David" w:hint="cs"/>
          <w:b/>
          <w:bCs/>
          <w:spacing w:val="6"/>
          <w:sz w:val="28"/>
          <w:szCs w:val="28"/>
          <w:u w:val="single"/>
          <w:rtl/>
          <w:lang w:eastAsia="he-IL"/>
        </w:rPr>
        <w:t xml:space="preserve">פטור מחובת רישום במרשם נותני שירותי מטבע), </w:t>
      </w:r>
      <w:r w:rsidRPr="00400B52">
        <w:rPr>
          <w:rFonts w:ascii="Times New Roman" w:eastAsia="Times New Roman" w:hAnsi="Times New Roman" w:cs="David" w:hint="cs"/>
          <w:b/>
          <w:bCs/>
          <w:spacing w:val="6"/>
          <w:sz w:val="28"/>
          <w:szCs w:val="28"/>
          <w:u w:val="single"/>
          <w:rtl/>
          <w:lang w:eastAsia="he-IL"/>
        </w:rPr>
        <w:t>התשע"ה-2015</w:t>
      </w:r>
    </w:p>
    <w:p w:rsidR="00535446" w:rsidRPr="00400B52" w:rsidRDefault="00376022" w:rsidP="000A4A54">
      <w:pPr>
        <w:spacing w:after="120" w:line="360" w:lineRule="auto"/>
        <w:jc w:val="both"/>
        <w:rPr>
          <w:rFonts w:cs="David"/>
          <w:sz w:val="24"/>
          <w:szCs w:val="24"/>
          <w:rtl/>
        </w:rPr>
      </w:pPr>
      <w:r w:rsidRPr="00400B52">
        <w:rPr>
          <w:rFonts w:cs="David" w:hint="cs"/>
          <w:sz w:val="24"/>
          <w:szCs w:val="24"/>
          <w:rtl/>
        </w:rPr>
        <w:t xml:space="preserve">במסגרת פעילותן של זירות הסוחר, עוסקות הזירות גם בפעילות של המרת מטבע. </w:t>
      </w:r>
    </w:p>
    <w:p w:rsidR="002F1DD5" w:rsidRPr="00400B52" w:rsidRDefault="00535446" w:rsidP="000A4A54">
      <w:pPr>
        <w:spacing w:after="120" w:line="360" w:lineRule="auto"/>
        <w:jc w:val="both"/>
        <w:rPr>
          <w:rFonts w:cs="David"/>
          <w:sz w:val="24"/>
          <w:szCs w:val="24"/>
          <w:rtl/>
        </w:rPr>
      </w:pPr>
      <w:r w:rsidRPr="00400B52">
        <w:rPr>
          <w:rFonts w:cs="David" w:hint="cs"/>
          <w:sz w:val="24"/>
          <w:szCs w:val="24"/>
          <w:rtl/>
        </w:rPr>
        <w:t xml:space="preserve">עיסוק בפעילות של המרת מטבע מחייבת, לפי פרק ד'1 לחוק איסור הלבנת הון, להירשם כנותן שירותי מטבע במרשם המנוהל על ידי משרד האוצר, ולקיים את החובות המוטלות על נותן שירותי מטבע מכוח צו איסור הלבנת הון (חובות זיהוי, דיווח וניהול רישומים למניעת הלבנת הון ומימון טרור), התשע"ד-2014, החל על נותני שירותי מטבע. </w:t>
      </w:r>
      <w:r w:rsidR="002F1DD5" w:rsidRPr="00400B52">
        <w:rPr>
          <w:rFonts w:cs="David" w:hint="cs"/>
          <w:sz w:val="24"/>
          <w:szCs w:val="24"/>
          <w:rtl/>
        </w:rPr>
        <w:t>לכן</w:t>
      </w:r>
      <w:r w:rsidRPr="00400B52">
        <w:rPr>
          <w:rFonts w:cs="David" w:hint="cs"/>
          <w:sz w:val="24"/>
          <w:szCs w:val="24"/>
          <w:rtl/>
        </w:rPr>
        <w:t xml:space="preserve">, </w:t>
      </w:r>
      <w:r w:rsidR="00376022" w:rsidRPr="00400B52">
        <w:rPr>
          <w:rFonts w:cs="David" w:hint="cs"/>
          <w:sz w:val="24"/>
          <w:szCs w:val="24"/>
          <w:rtl/>
        </w:rPr>
        <w:t>חלק מזירות הסוחר מצאו לנכון להירשם כנותן שירותי מטבע</w:t>
      </w:r>
      <w:r w:rsidRPr="00400B52">
        <w:rPr>
          <w:rFonts w:cs="David" w:hint="cs"/>
          <w:sz w:val="24"/>
          <w:szCs w:val="24"/>
          <w:rtl/>
        </w:rPr>
        <w:t>, כנדרש</w:t>
      </w:r>
      <w:r w:rsidR="00376022" w:rsidRPr="00400B52">
        <w:rPr>
          <w:rFonts w:cs="David" w:hint="cs"/>
          <w:sz w:val="24"/>
          <w:szCs w:val="24"/>
          <w:rtl/>
        </w:rPr>
        <w:t xml:space="preserve">. </w:t>
      </w:r>
    </w:p>
    <w:p w:rsidR="00031CD4" w:rsidRPr="00400B52" w:rsidRDefault="00535446" w:rsidP="000A4A54">
      <w:pPr>
        <w:spacing w:after="120" w:line="360" w:lineRule="auto"/>
        <w:jc w:val="both"/>
        <w:rPr>
          <w:rFonts w:cs="David"/>
          <w:sz w:val="24"/>
          <w:szCs w:val="24"/>
          <w:rtl/>
        </w:rPr>
      </w:pPr>
      <w:r w:rsidRPr="00400B52">
        <w:rPr>
          <w:rFonts w:cs="David" w:hint="cs"/>
          <w:sz w:val="24"/>
          <w:szCs w:val="24"/>
          <w:rtl/>
        </w:rPr>
        <w:t xml:space="preserve">ואולם, </w:t>
      </w:r>
      <w:r w:rsidR="00376022" w:rsidRPr="00400B52">
        <w:rPr>
          <w:rFonts w:cs="David" w:hint="cs"/>
          <w:sz w:val="24"/>
          <w:szCs w:val="24"/>
          <w:rtl/>
        </w:rPr>
        <w:t xml:space="preserve">היות ומוצע להסדיר את זירות הסוחר בצו ייעודי, מוצע </w:t>
      </w:r>
      <w:r w:rsidR="005618B4" w:rsidRPr="00400B52">
        <w:rPr>
          <w:rFonts w:cs="David" w:hint="cs"/>
          <w:sz w:val="24"/>
          <w:szCs w:val="24"/>
          <w:rtl/>
        </w:rPr>
        <w:t xml:space="preserve">בצו איסור הלבנת הון (פטור מחובת רישום כנותני שירותי מטבע), התשע"ה-2015, </w:t>
      </w:r>
      <w:r w:rsidR="00376022" w:rsidRPr="00400B52">
        <w:rPr>
          <w:rFonts w:cs="David" w:hint="cs"/>
          <w:sz w:val="24"/>
          <w:szCs w:val="24"/>
          <w:rtl/>
        </w:rPr>
        <w:t>לפטור את זירות הסוחר מחובת רישום כנותן שירותי מטבע ומתחולת צו איסור הלבנת הון החל על נותני שירות מטבע</w:t>
      </w:r>
      <w:r w:rsidR="00400B52" w:rsidRPr="00400B52">
        <w:rPr>
          <w:rFonts w:cs="David" w:hint="cs"/>
          <w:sz w:val="24"/>
          <w:szCs w:val="24"/>
          <w:rtl/>
        </w:rPr>
        <w:t>, בהתאם להוראות סעיף 11ג(ב)(7) לחוק, שמאפשר לעשות זאת</w:t>
      </w:r>
      <w:r w:rsidR="00376022" w:rsidRPr="00400B52">
        <w:rPr>
          <w:rFonts w:cs="David" w:hint="cs"/>
          <w:sz w:val="24"/>
          <w:szCs w:val="24"/>
          <w:rtl/>
        </w:rPr>
        <w:t>.</w:t>
      </w:r>
    </w:p>
    <w:p w:rsidR="00F3093D" w:rsidRPr="00400B52" w:rsidRDefault="00F3093D" w:rsidP="000A4A54">
      <w:pPr>
        <w:spacing w:after="0" w:line="360" w:lineRule="auto"/>
        <w:jc w:val="both"/>
        <w:rPr>
          <w:rFonts w:cs="David"/>
          <w:sz w:val="24"/>
          <w:szCs w:val="24"/>
          <w:rtl/>
        </w:rPr>
      </w:pPr>
    </w:p>
    <w:p w:rsidR="00694D80" w:rsidRPr="00E944A4" w:rsidRDefault="00694D80" w:rsidP="00694D80">
      <w:pPr>
        <w:spacing w:after="0" w:line="240" w:lineRule="auto"/>
        <w:jc w:val="both"/>
        <w:rPr>
          <w:rFonts w:cs="David"/>
          <w:sz w:val="24"/>
          <w:szCs w:val="24"/>
          <w:rtl/>
        </w:rPr>
      </w:pPr>
    </w:p>
    <w:p w:rsidR="00496A35" w:rsidRDefault="00943F6B"/>
    <w:sectPr w:rsidR="00496A35" w:rsidSect="00D276EF">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F6B" w:rsidRDefault="00943F6B" w:rsidP="000761A5">
      <w:pPr>
        <w:spacing w:after="0" w:line="240" w:lineRule="auto"/>
      </w:pPr>
      <w:r>
        <w:separator/>
      </w:r>
    </w:p>
  </w:endnote>
  <w:endnote w:type="continuationSeparator" w:id="0">
    <w:p w:rsidR="00943F6B" w:rsidRDefault="00943F6B" w:rsidP="0007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983436638"/>
      <w:docPartObj>
        <w:docPartGallery w:val="Page Numbers (Bottom of Page)"/>
        <w:docPartUnique/>
      </w:docPartObj>
    </w:sdtPr>
    <w:sdtEndPr>
      <w:rPr>
        <w:cs/>
      </w:rPr>
    </w:sdtEndPr>
    <w:sdtContent>
      <w:p w:rsidR="000A4A54" w:rsidRPr="000A4A54" w:rsidRDefault="000A4A54">
        <w:pPr>
          <w:pStyle w:val="aa"/>
          <w:jc w:val="center"/>
          <w:rPr>
            <w:sz w:val="16"/>
            <w:szCs w:val="16"/>
            <w:rtl/>
            <w:cs/>
          </w:rPr>
        </w:pPr>
        <w:r w:rsidRPr="000A4A54">
          <w:rPr>
            <w:sz w:val="16"/>
            <w:szCs w:val="16"/>
          </w:rPr>
          <w:fldChar w:fldCharType="begin"/>
        </w:r>
        <w:r w:rsidRPr="000A4A54">
          <w:rPr>
            <w:sz w:val="16"/>
            <w:szCs w:val="16"/>
            <w:rtl/>
            <w:cs/>
          </w:rPr>
          <w:instrText xml:space="preserve">PAGE   </w:instrText>
        </w:r>
        <w:r w:rsidRPr="000A4A54">
          <w:rPr>
            <w:sz w:val="16"/>
            <w:szCs w:val="16"/>
            <w:cs/>
          </w:rPr>
          <w:instrText>\</w:instrText>
        </w:r>
        <w:r w:rsidRPr="000A4A54">
          <w:rPr>
            <w:sz w:val="16"/>
            <w:szCs w:val="16"/>
            <w:rtl/>
            <w:cs/>
          </w:rPr>
          <w:instrText xml:space="preserve">* </w:instrText>
        </w:r>
        <w:r w:rsidRPr="000A4A54">
          <w:rPr>
            <w:sz w:val="16"/>
            <w:szCs w:val="16"/>
            <w:cs/>
          </w:rPr>
          <w:instrText>MERGEFORMAT</w:instrText>
        </w:r>
        <w:r w:rsidRPr="000A4A54">
          <w:rPr>
            <w:sz w:val="16"/>
            <w:szCs w:val="16"/>
          </w:rPr>
          <w:fldChar w:fldCharType="separate"/>
        </w:r>
        <w:r w:rsidR="00F25B13" w:rsidRPr="00F25B13">
          <w:rPr>
            <w:noProof/>
            <w:sz w:val="16"/>
            <w:szCs w:val="16"/>
            <w:rtl/>
            <w:lang w:val="he-IL"/>
          </w:rPr>
          <w:t>1</w:t>
        </w:r>
        <w:r w:rsidRPr="000A4A54">
          <w:rPr>
            <w:sz w:val="16"/>
            <w:szCs w:val="16"/>
          </w:rPr>
          <w:fldChar w:fldCharType="end"/>
        </w:r>
      </w:p>
    </w:sdtContent>
  </w:sdt>
  <w:p w:rsidR="000A4A54" w:rsidRDefault="000A4A5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F6B" w:rsidRDefault="00943F6B" w:rsidP="000761A5">
      <w:pPr>
        <w:spacing w:after="0" w:line="240" w:lineRule="auto"/>
      </w:pPr>
      <w:r>
        <w:separator/>
      </w:r>
    </w:p>
  </w:footnote>
  <w:footnote w:type="continuationSeparator" w:id="0">
    <w:p w:rsidR="00943F6B" w:rsidRDefault="00943F6B" w:rsidP="000761A5">
      <w:pPr>
        <w:spacing w:after="0" w:line="240" w:lineRule="auto"/>
      </w:pPr>
      <w:r>
        <w:continuationSeparator/>
      </w:r>
    </w:p>
  </w:footnote>
  <w:footnote w:id="1">
    <w:p w:rsidR="00C561C5" w:rsidRDefault="00C561C5" w:rsidP="00C561C5">
      <w:pPr>
        <w:pStyle w:val="a3"/>
        <w:jc w:val="both"/>
      </w:pPr>
      <w:r>
        <w:rPr>
          <w:rStyle w:val="a5"/>
        </w:rPr>
        <w:footnoteRef/>
      </w:r>
      <w:r>
        <w:rPr>
          <w:rtl/>
        </w:rPr>
        <w:t xml:space="preserve"> </w:t>
      </w:r>
      <w:r w:rsidRPr="0083757F">
        <w:rPr>
          <w:rFonts w:hint="cs"/>
          <w:sz w:val="18"/>
          <w:rtl/>
        </w:rPr>
        <w:t>נכון להיום, הגופים הפיננסיים שהחובות הנוגעות למערך הדיווחים חלות עליהן הם הגופים הבאים: תאגיד בנקאי; חבר בורסה; מנהל תיקים; חברת ביטוח וסוכן ביטוח; חברה מנהלת של קופות גמל; נותן שירותי מטבע; בנק הדואר</w:t>
      </w:r>
      <w:r>
        <w:rPr>
          <w:rFonts w:hint="cs"/>
          <w:sz w:val="18"/>
          <w:rtl/>
        </w:rPr>
        <w:t xml:space="preserve">; וסוחרים באבנים יקרות. </w:t>
      </w:r>
    </w:p>
  </w:footnote>
  <w:footnote w:id="2">
    <w:p w:rsidR="00C561C5" w:rsidRDefault="00C561C5" w:rsidP="00C561C5">
      <w:pPr>
        <w:pStyle w:val="a3"/>
        <w:jc w:val="both"/>
      </w:pPr>
      <w:r>
        <w:rPr>
          <w:rStyle w:val="a5"/>
        </w:rPr>
        <w:footnoteRef/>
      </w:r>
      <w:r>
        <w:rPr>
          <w:rtl/>
        </w:rPr>
        <w:t xml:space="preserve"> </w:t>
      </w:r>
      <w:r w:rsidRPr="0068418D">
        <w:rPr>
          <w:rFonts w:hint="cs"/>
          <w:sz w:val="18"/>
          <w:rtl/>
        </w:rPr>
        <w:t xml:space="preserve">שני נדבכים מרכזיים נוספים </w:t>
      </w:r>
      <w:r>
        <w:rPr>
          <w:rFonts w:hint="cs"/>
          <w:sz w:val="18"/>
          <w:rtl/>
        </w:rPr>
        <w:t xml:space="preserve">בחוק </w:t>
      </w:r>
      <w:r w:rsidRPr="0068418D">
        <w:rPr>
          <w:rFonts w:hint="cs"/>
          <w:sz w:val="18"/>
          <w:rtl/>
        </w:rPr>
        <w:t xml:space="preserve">הם: </w:t>
      </w:r>
      <w:r w:rsidRPr="0068418D">
        <w:rPr>
          <w:rFonts w:hint="cs"/>
          <w:sz w:val="18"/>
          <w:u w:val="single"/>
          <w:rtl/>
        </w:rPr>
        <w:t>ענישה</w:t>
      </w:r>
      <w:r w:rsidRPr="0068418D">
        <w:rPr>
          <w:rFonts w:hint="cs"/>
          <w:sz w:val="18"/>
          <w:rtl/>
        </w:rPr>
        <w:t xml:space="preserve">: יצירת עבירות פליליות עצמאיות של הלבנת הון, </w:t>
      </w:r>
      <w:r w:rsidRPr="0068418D">
        <w:rPr>
          <w:rFonts w:hint="cs"/>
          <w:b/>
          <w:bCs/>
          <w:sz w:val="18"/>
          <w:rtl/>
        </w:rPr>
        <w:t>נוסף</w:t>
      </w:r>
      <w:r w:rsidRPr="0068418D">
        <w:rPr>
          <w:rFonts w:hint="cs"/>
          <w:sz w:val="18"/>
          <w:rtl/>
        </w:rPr>
        <w:t xml:space="preserve"> על עבירת המקור ממנה הופקו רווחי הפשיעה; </w:t>
      </w:r>
      <w:r>
        <w:rPr>
          <w:rFonts w:hint="cs"/>
          <w:sz w:val="18"/>
          <w:rtl/>
        </w:rPr>
        <w:t>ו</w:t>
      </w:r>
      <w:r w:rsidRPr="0068418D">
        <w:rPr>
          <w:rFonts w:hint="cs"/>
          <w:sz w:val="18"/>
          <w:u w:val="single"/>
          <w:rtl/>
        </w:rPr>
        <w:t>חילוט</w:t>
      </w:r>
      <w:r w:rsidRPr="0068418D">
        <w:rPr>
          <w:rFonts w:hint="cs"/>
          <w:sz w:val="18"/>
          <w:rtl/>
        </w:rPr>
        <w:t>: חילוט חובה של רכוש שהופק מעבירה במטרה</w:t>
      </w:r>
      <w:r w:rsidRPr="0068418D">
        <w:rPr>
          <w:rFonts w:hint="cs"/>
          <w:noProof/>
          <w:sz w:val="18"/>
          <w:rtl/>
        </w:rPr>
        <w:t xml:space="preserve"> לשלול מהעבריין את הרווח הכלכלי.</w:t>
      </w:r>
    </w:p>
  </w:footnote>
  <w:footnote w:id="3">
    <w:p w:rsidR="00C561C5" w:rsidRDefault="00C561C5" w:rsidP="00C561C5">
      <w:pPr>
        <w:pStyle w:val="a3"/>
        <w:jc w:val="both"/>
        <w:rPr>
          <w:rtl/>
        </w:rPr>
      </w:pPr>
      <w:r>
        <w:rPr>
          <w:rStyle w:val="a5"/>
        </w:rPr>
        <w:footnoteRef/>
      </w:r>
      <w:r>
        <w:rPr>
          <w:rtl/>
        </w:rPr>
        <w:t xml:space="preserve"> </w:t>
      </w:r>
      <w:r w:rsidRPr="00857869">
        <w:rPr>
          <w:rFonts w:hint="cs"/>
          <w:rtl/>
        </w:rPr>
        <w:t>שם, מספר זהות, תאריך לידה ומען</w:t>
      </w:r>
      <w:r>
        <w:rPr>
          <w:rFonts w:hint="cs"/>
          <w:rtl/>
        </w:rPr>
        <w:t>.</w:t>
      </w:r>
    </w:p>
  </w:footnote>
  <w:footnote w:id="4">
    <w:p w:rsidR="00C561C5" w:rsidRDefault="00C561C5" w:rsidP="00C561C5">
      <w:pPr>
        <w:pStyle w:val="a3"/>
        <w:jc w:val="both"/>
        <w:rPr>
          <w:rtl/>
        </w:rPr>
      </w:pPr>
      <w:r>
        <w:rPr>
          <w:rStyle w:val="a5"/>
        </w:rPr>
        <w:footnoteRef/>
      </w:r>
      <w:r>
        <w:rPr>
          <w:rtl/>
        </w:rPr>
        <w:t xml:space="preserve"> </w:t>
      </w:r>
      <w:r w:rsidRPr="00857869">
        <w:rPr>
          <w:rFonts w:hint="cs"/>
          <w:rtl/>
        </w:rPr>
        <w:t>בדיקה מול מרשם האוכלוסין, שימוש במסמכים נוספים שיש בהם תמונה ומספר זהות וכו'</w:t>
      </w:r>
      <w:r>
        <w:rPr>
          <w:rFonts w:hint="cs"/>
          <w:rtl/>
        </w:rPr>
        <w:t>.</w:t>
      </w:r>
    </w:p>
  </w:footnote>
  <w:footnote w:id="5">
    <w:p w:rsidR="00C561C5" w:rsidRDefault="00C561C5" w:rsidP="00C561C5">
      <w:pPr>
        <w:pStyle w:val="a3"/>
        <w:jc w:val="both"/>
        <w:rPr>
          <w:rtl/>
        </w:rPr>
      </w:pPr>
      <w:r>
        <w:rPr>
          <w:rStyle w:val="a5"/>
        </w:rPr>
        <w:footnoteRef/>
      </w:r>
      <w:r>
        <w:rPr>
          <w:rtl/>
        </w:rPr>
        <w:t xml:space="preserve"> </w:t>
      </w:r>
      <w:r w:rsidRPr="00726F36">
        <w:rPr>
          <w:rFonts w:hint="cs"/>
          <w:rtl/>
        </w:rPr>
        <w:t>למשל: פעילות שנראה שמטרתה לעקוף את חובת הדיווח; פעולה שנראית חסרת היגיון כלכלי או עסקי, בהתאם לסוג החשבון; הפקדה ומשיכה מיידית של כספים או ניירות ערך בחשבון ללא סיבה הנראית לעין; היקף פעילות יוצא דופן או לא אופייני לבעל החשבון וכו'.</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14B2A"/>
    <w:multiLevelType w:val="hybridMultilevel"/>
    <w:tmpl w:val="AC084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4F4182"/>
    <w:multiLevelType w:val="hybridMultilevel"/>
    <w:tmpl w:val="BC189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F82421"/>
    <w:multiLevelType w:val="hybridMultilevel"/>
    <w:tmpl w:val="7D6E78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D76164A"/>
    <w:multiLevelType w:val="hybridMultilevel"/>
    <w:tmpl w:val="275A1628"/>
    <w:lvl w:ilvl="0" w:tplc="7D3E47EC">
      <w:start w:val="1"/>
      <w:numFmt w:val="decimal"/>
      <w:lvlText w:val="%1."/>
      <w:lvlJc w:val="left"/>
      <w:pPr>
        <w:ind w:left="720" w:hanging="360"/>
      </w:pPr>
      <w:rPr>
        <w:rFonts w:cs="David" w:hint="default"/>
        <w:b/>
        <w:sz w:val="24"/>
        <w:szCs w:val="24"/>
      </w:rPr>
    </w:lvl>
    <w:lvl w:ilvl="1" w:tplc="68807534">
      <w:start w:val="1"/>
      <w:numFmt w:val="decimal"/>
      <w:lvlText w:val="%2)"/>
      <w:lvlJc w:val="left"/>
      <w:pPr>
        <w:ind w:left="1440" w:hanging="360"/>
      </w:pPr>
      <w:rPr>
        <w:rFonts w:ascii="Arial" w:eastAsia="Times New Roman" w:hAnsi="Arial" w:hint="default"/>
        <w:color w:val="00B05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D80"/>
    <w:rsid w:val="00031CD4"/>
    <w:rsid w:val="00053E8A"/>
    <w:rsid w:val="000541A8"/>
    <w:rsid w:val="000761A5"/>
    <w:rsid w:val="000A4A54"/>
    <w:rsid w:val="00115C4D"/>
    <w:rsid w:val="001307C6"/>
    <w:rsid w:val="00186833"/>
    <w:rsid w:val="001A5D7A"/>
    <w:rsid w:val="001F1871"/>
    <w:rsid w:val="00234D6B"/>
    <w:rsid w:val="002C24A3"/>
    <w:rsid w:val="002F1DD5"/>
    <w:rsid w:val="00376022"/>
    <w:rsid w:val="003B65FB"/>
    <w:rsid w:val="003D0D56"/>
    <w:rsid w:val="00400B52"/>
    <w:rsid w:val="00460512"/>
    <w:rsid w:val="004724E6"/>
    <w:rsid w:val="004A03C2"/>
    <w:rsid w:val="00511240"/>
    <w:rsid w:val="00535446"/>
    <w:rsid w:val="005618B4"/>
    <w:rsid w:val="00694D80"/>
    <w:rsid w:val="006C274E"/>
    <w:rsid w:val="00713B19"/>
    <w:rsid w:val="007470E6"/>
    <w:rsid w:val="00770884"/>
    <w:rsid w:val="007D131B"/>
    <w:rsid w:val="007F5853"/>
    <w:rsid w:val="00801C46"/>
    <w:rsid w:val="00826168"/>
    <w:rsid w:val="00851A4B"/>
    <w:rsid w:val="00897A13"/>
    <w:rsid w:val="008D7647"/>
    <w:rsid w:val="00943F6B"/>
    <w:rsid w:val="009A2647"/>
    <w:rsid w:val="009B3498"/>
    <w:rsid w:val="009B79BD"/>
    <w:rsid w:val="009C1016"/>
    <w:rsid w:val="009C2AEB"/>
    <w:rsid w:val="00AF1C80"/>
    <w:rsid w:val="00B2478B"/>
    <w:rsid w:val="00B51C3E"/>
    <w:rsid w:val="00BB5267"/>
    <w:rsid w:val="00BD1A6F"/>
    <w:rsid w:val="00BE53FB"/>
    <w:rsid w:val="00C561C5"/>
    <w:rsid w:val="00CC0901"/>
    <w:rsid w:val="00CF0772"/>
    <w:rsid w:val="00D06EFA"/>
    <w:rsid w:val="00D276EF"/>
    <w:rsid w:val="00D33FE0"/>
    <w:rsid w:val="00D71827"/>
    <w:rsid w:val="00D7379D"/>
    <w:rsid w:val="00D801C2"/>
    <w:rsid w:val="00DA276F"/>
    <w:rsid w:val="00EA7F56"/>
    <w:rsid w:val="00F25B13"/>
    <w:rsid w:val="00F3093D"/>
    <w:rsid w:val="00F31C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79E653-3483-464D-BAE4-69499BD4C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4D80"/>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1">
    <w:name w:val="כותרת 41"/>
    <w:basedOn w:val="a"/>
    <w:next w:val="a"/>
    <w:rsid w:val="00B51C3E"/>
    <w:pPr>
      <w:keepNext/>
      <w:tabs>
        <w:tab w:val="left" w:pos="567"/>
        <w:tab w:val="left" w:pos="1134"/>
        <w:tab w:val="left" w:pos="1701"/>
        <w:tab w:val="left" w:pos="2268"/>
        <w:tab w:val="right" w:pos="7371"/>
        <w:tab w:val="right" w:pos="7938"/>
      </w:tabs>
      <w:spacing w:after="0" w:line="360" w:lineRule="auto"/>
      <w:jc w:val="both"/>
      <w:outlineLvl w:val="3"/>
    </w:pPr>
    <w:rPr>
      <w:rFonts w:ascii="Times New Roman" w:eastAsia="Times New Roman" w:hAnsi="Times New Roman" w:cs="David"/>
      <w:b/>
      <w:bCs/>
      <w:spacing w:val="6"/>
      <w:sz w:val="24"/>
      <w:szCs w:val="24"/>
      <w:lang w:eastAsia="he-IL"/>
    </w:rPr>
  </w:style>
  <w:style w:type="paragraph" w:customStyle="1" w:styleId="TableText">
    <w:name w:val="Table Text"/>
    <w:basedOn w:val="a"/>
    <w:rsid w:val="009B79BD"/>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9B79BD"/>
  </w:style>
  <w:style w:type="paragraph" w:customStyle="1" w:styleId="TableBlock">
    <w:name w:val="Table Block"/>
    <w:basedOn w:val="TableText"/>
    <w:rsid w:val="009B79BD"/>
    <w:pPr>
      <w:ind w:right="0"/>
      <w:jc w:val="both"/>
    </w:pPr>
  </w:style>
  <w:style w:type="paragraph" w:customStyle="1" w:styleId="HeadHatzaotHok">
    <w:name w:val="Head HatzaotHok"/>
    <w:basedOn w:val="a"/>
    <w:rsid w:val="009B79BD"/>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DivreiHesber">
    <w:name w:val="Head DivreiHesber"/>
    <w:basedOn w:val="a"/>
    <w:rsid w:val="009B79BD"/>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styleId="a3">
    <w:name w:val="footnote text"/>
    <w:basedOn w:val="a"/>
    <w:link w:val="a4"/>
    <w:autoRedefine/>
    <w:rsid w:val="009B79BD"/>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4">
    <w:name w:val="טקסט הערת שוליים תו"/>
    <w:basedOn w:val="a0"/>
    <w:link w:val="a3"/>
    <w:rsid w:val="009B79BD"/>
    <w:rPr>
      <w:rFonts w:ascii="Arial" w:eastAsia="Arial Unicode MS" w:hAnsi="Arial" w:cs="David"/>
      <w:snapToGrid w:val="0"/>
      <w:color w:val="000000"/>
      <w:sz w:val="14"/>
      <w:szCs w:val="20"/>
      <w:lang w:eastAsia="ja-JP"/>
    </w:rPr>
  </w:style>
  <w:style w:type="character" w:styleId="a5">
    <w:name w:val="footnote reference"/>
    <w:aliases w:val="Footnote Reference"/>
    <w:basedOn w:val="a0"/>
    <w:rsid w:val="009B79BD"/>
    <w:rPr>
      <w:vertAlign w:val="superscript"/>
    </w:rPr>
  </w:style>
  <w:style w:type="paragraph" w:styleId="a6">
    <w:name w:val="header"/>
    <w:basedOn w:val="a"/>
    <w:link w:val="a7"/>
    <w:rsid w:val="00AF1C80"/>
    <w:pPr>
      <w:widowControl w:val="0"/>
      <w:tabs>
        <w:tab w:val="center" w:pos="4153"/>
        <w:tab w:val="right" w:pos="8306"/>
      </w:tabs>
      <w:autoSpaceDE w:val="0"/>
      <w:autoSpaceDN w:val="0"/>
      <w:spacing w:before="60" w:after="0" w:line="240" w:lineRule="auto"/>
      <w:ind w:left="2835"/>
      <w:jc w:val="both"/>
    </w:pPr>
    <w:rPr>
      <w:rFonts w:ascii="Times New Roman" w:eastAsia="Times New Roman" w:hAnsi="Times New Roman" w:cs="Times New Roman"/>
      <w:sz w:val="20"/>
      <w:szCs w:val="20"/>
      <w:lang w:eastAsia="he-IL"/>
    </w:rPr>
  </w:style>
  <w:style w:type="character" w:customStyle="1" w:styleId="a7">
    <w:name w:val="כותרת עליונה תו"/>
    <w:basedOn w:val="a0"/>
    <w:link w:val="a6"/>
    <w:rsid w:val="00AF1C80"/>
    <w:rPr>
      <w:rFonts w:ascii="Times New Roman" w:eastAsia="Times New Roman" w:hAnsi="Times New Roman" w:cs="Times New Roman"/>
      <w:sz w:val="20"/>
      <w:szCs w:val="20"/>
      <w:lang w:eastAsia="he-IL"/>
    </w:rPr>
  </w:style>
  <w:style w:type="character" w:customStyle="1" w:styleId="default">
    <w:name w:val="default"/>
    <w:rsid w:val="00DA276F"/>
    <w:rPr>
      <w:rFonts w:ascii="Times New Roman" w:hAnsi="Times New Roman" w:cs="Times New Roman"/>
      <w:sz w:val="26"/>
      <w:szCs w:val="26"/>
    </w:rPr>
  </w:style>
  <w:style w:type="paragraph" w:styleId="a8">
    <w:name w:val="List Paragraph"/>
    <w:basedOn w:val="a"/>
    <w:uiPriority w:val="34"/>
    <w:qFormat/>
    <w:rsid w:val="00DA276F"/>
    <w:pPr>
      <w:autoSpaceDE w:val="0"/>
      <w:autoSpaceDN w:val="0"/>
      <w:spacing w:after="0" w:line="360" w:lineRule="auto"/>
      <w:ind w:left="720"/>
      <w:contextualSpacing/>
      <w:jc w:val="both"/>
    </w:pPr>
    <w:rPr>
      <w:rFonts w:ascii="Times New Roman" w:eastAsia="Times New Roman" w:hAnsi="Times New Roman" w:cs="Times New Roman"/>
      <w:szCs w:val="24"/>
      <w:lang w:eastAsia="he-IL"/>
    </w:rPr>
  </w:style>
  <w:style w:type="paragraph" w:styleId="NormalWeb">
    <w:name w:val="Normal (Web)"/>
    <w:basedOn w:val="a"/>
    <w:uiPriority w:val="99"/>
    <w:semiHidden/>
    <w:unhideWhenUsed/>
    <w:rsid w:val="002C24A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2C24A3"/>
    <w:rPr>
      <w:b/>
      <w:bCs/>
    </w:rPr>
  </w:style>
  <w:style w:type="paragraph" w:styleId="aa">
    <w:name w:val="footer"/>
    <w:basedOn w:val="a"/>
    <w:link w:val="ab"/>
    <w:uiPriority w:val="99"/>
    <w:unhideWhenUsed/>
    <w:rsid w:val="000A4A54"/>
    <w:pPr>
      <w:tabs>
        <w:tab w:val="center" w:pos="4153"/>
        <w:tab w:val="right" w:pos="8306"/>
      </w:tabs>
      <w:spacing w:after="0" w:line="240" w:lineRule="auto"/>
    </w:pPr>
  </w:style>
  <w:style w:type="character" w:customStyle="1" w:styleId="ab">
    <w:name w:val="כותרת תחתונה תו"/>
    <w:basedOn w:val="a0"/>
    <w:link w:val="aa"/>
    <w:uiPriority w:val="99"/>
    <w:rsid w:val="000A4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92A7AA-22DC-43DD-94F5-CA51419841CE}"/>
</file>

<file path=customXml/itemProps2.xml><?xml version="1.0" encoding="utf-8"?>
<ds:datastoreItem xmlns:ds="http://schemas.openxmlformats.org/officeDocument/2006/customXml" ds:itemID="{6559470D-56C6-4C2C-8CC5-CF357255E5AE}"/>
</file>

<file path=customXml/itemProps3.xml><?xml version="1.0" encoding="utf-8"?>
<ds:datastoreItem xmlns:ds="http://schemas.openxmlformats.org/officeDocument/2006/customXml" ds:itemID="{F7AD42BA-0787-4580-9CCF-A05718EE6AF7}"/>
</file>

<file path=docProps/app.xml><?xml version="1.0" encoding="utf-8"?>
<Properties xmlns="http://schemas.openxmlformats.org/officeDocument/2006/extended-properties" xmlns:vt="http://schemas.openxmlformats.org/officeDocument/2006/docPropsVTypes">
  <Template>Normal</Template>
  <TotalTime>1</TotalTime>
  <Pages>3</Pages>
  <Words>1031</Words>
  <Characters>5159</Characters>
  <Application>Microsoft Office Word</Application>
  <DocSecurity>0</DocSecurity>
  <Lines>42</Lines>
  <Paragraphs>12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6178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נטלי שלף</cp:lastModifiedBy>
  <cp:revision>2</cp:revision>
  <dcterms:created xsi:type="dcterms:W3CDTF">2015-11-02T12:21:00Z</dcterms:created>
  <dcterms:modified xsi:type="dcterms:W3CDTF">2015-11-02T12:21:00Z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