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0AE" w:rsidRPr="00BD0B05" w:rsidRDefault="005F20AE" w:rsidP="005F20AE">
      <w:pPr>
        <w:spacing w:after="0" w:line="240" w:lineRule="auto"/>
        <w:jc w:val="right"/>
        <w:rPr>
          <w:rFonts w:cs="David"/>
          <w:sz w:val="24"/>
          <w:szCs w:val="24"/>
          <w:rtl/>
        </w:rPr>
      </w:pPr>
      <w:r>
        <w:rPr>
          <w:rFonts w:cs="David" w:hint="cs"/>
          <w:sz w:val="24"/>
          <w:szCs w:val="24"/>
          <w:rtl/>
        </w:rPr>
        <w:t>י"ז</w:t>
      </w:r>
      <w:r w:rsidRPr="00BD0B05">
        <w:rPr>
          <w:rFonts w:cs="David" w:hint="cs"/>
          <w:sz w:val="24"/>
          <w:szCs w:val="24"/>
          <w:rtl/>
        </w:rPr>
        <w:t xml:space="preserve"> בסיוון </w:t>
      </w:r>
      <w:proofErr w:type="spellStart"/>
      <w:r w:rsidRPr="00BD0B05">
        <w:rPr>
          <w:rFonts w:cs="David" w:hint="cs"/>
          <w:sz w:val="24"/>
          <w:szCs w:val="24"/>
          <w:rtl/>
        </w:rPr>
        <w:t>התשע"ה</w:t>
      </w:r>
      <w:proofErr w:type="spellEnd"/>
    </w:p>
    <w:p w:rsidR="005F20AE" w:rsidRPr="00BD0B05" w:rsidRDefault="005F20AE" w:rsidP="005F20AE">
      <w:pPr>
        <w:spacing w:after="0" w:line="240" w:lineRule="auto"/>
        <w:jc w:val="right"/>
        <w:rPr>
          <w:rFonts w:cs="David"/>
          <w:sz w:val="24"/>
          <w:szCs w:val="24"/>
          <w:rtl/>
        </w:rPr>
      </w:pPr>
      <w:r>
        <w:rPr>
          <w:rFonts w:cs="David" w:hint="cs"/>
          <w:sz w:val="24"/>
          <w:szCs w:val="24"/>
          <w:rtl/>
        </w:rPr>
        <w:t>4</w:t>
      </w:r>
      <w:r w:rsidRPr="00BD0B05">
        <w:rPr>
          <w:rFonts w:cs="David" w:hint="cs"/>
          <w:sz w:val="24"/>
          <w:szCs w:val="24"/>
          <w:rtl/>
        </w:rPr>
        <w:t xml:space="preserve"> ביוני 2015</w:t>
      </w:r>
    </w:p>
    <w:p w:rsidR="00465EC2" w:rsidRPr="006D7D44" w:rsidRDefault="00465EC2" w:rsidP="00641E21">
      <w:pPr>
        <w:spacing w:after="0" w:line="240" w:lineRule="auto"/>
        <w:jc w:val="right"/>
        <w:rPr>
          <w:rFonts w:cs="David"/>
          <w:sz w:val="24"/>
          <w:szCs w:val="24"/>
          <w:rtl/>
        </w:rPr>
      </w:pPr>
    </w:p>
    <w:p w:rsidR="00465EC2" w:rsidRPr="00ED5495" w:rsidRDefault="00465EC2" w:rsidP="00465EC2">
      <w:pPr>
        <w:spacing w:after="0" w:line="240" w:lineRule="auto"/>
        <w:jc w:val="both"/>
        <w:rPr>
          <w:rFonts w:cs="David"/>
          <w:sz w:val="24"/>
          <w:szCs w:val="24"/>
          <w:rtl/>
        </w:rPr>
      </w:pPr>
      <w:r w:rsidRPr="006D7D44">
        <w:rPr>
          <w:rFonts w:cs="David" w:hint="cs"/>
          <w:sz w:val="24"/>
          <w:szCs w:val="24"/>
          <w:u w:val="single"/>
          <w:rtl/>
        </w:rPr>
        <w:t>אל</w:t>
      </w:r>
      <w:r w:rsidRPr="006D7D44">
        <w:rPr>
          <w:rFonts w:cs="David" w:hint="cs"/>
          <w:sz w:val="24"/>
          <w:szCs w:val="24"/>
          <w:rtl/>
        </w:rPr>
        <w:t>: חב</w:t>
      </w:r>
      <w:bookmarkStart w:id="0" w:name="_GoBack"/>
      <w:bookmarkEnd w:id="0"/>
      <w:r w:rsidRPr="006D7D44">
        <w:rPr>
          <w:rFonts w:cs="David" w:hint="cs"/>
          <w:sz w:val="24"/>
          <w:szCs w:val="24"/>
          <w:rtl/>
        </w:rPr>
        <w:t>רי ועדת החוקה, חוק ומשפט</w:t>
      </w:r>
    </w:p>
    <w:p w:rsidR="00465EC2" w:rsidRPr="00AE3501" w:rsidRDefault="00465EC2" w:rsidP="00465EC2">
      <w:pPr>
        <w:spacing w:after="0" w:line="240" w:lineRule="auto"/>
        <w:jc w:val="both"/>
        <w:rPr>
          <w:rFonts w:cs="David"/>
          <w:sz w:val="24"/>
          <w:szCs w:val="24"/>
          <w:rtl/>
        </w:rPr>
      </w:pPr>
      <w:r w:rsidRPr="00911BD6">
        <w:rPr>
          <w:rFonts w:cs="David" w:hint="cs"/>
          <w:sz w:val="24"/>
          <w:szCs w:val="24"/>
          <w:u w:val="single"/>
          <w:rtl/>
        </w:rPr>
        <w:t>מאת</w:t>
      </w:r>
      <w:r w:rsidRPr="00ED5495">
        <w:rPr>
          <w:rFonts w:cs="David" w:hint="cs"/>
          <w:sz w:val="24"/>
          <w:szCs w:val="24"/>
          <w:rtl/>
        </w:rPr>
        <w:t xml:space="preserve">: הייעוץ </w:t>
      </w:r>
      <w:r w:rsidRPr="00AE3501">
        <w:rPr>
          <w:rFonts w:cs="David" w:hint="cs"/>
          <w:sz w:val="24"/>
          <w:szCs w:val="24"/>
          <w:rtl/>
        </w:rPr>
        <w:t>המשפטי לוועדה</w:t>
      </w:r>
    </w:p>
    <w:p w:rsidR="00465EC2" w:rsidRPr="00AE3501" w:rsidRDefault="00465EC2" w:rsidP="00465EC2">
      <w:pPr>
        <w:spacing w:after="0" w:line="240" w:lineRule="auto"/>
        <w:jc w:val="both"/>
        <w:rPr>
          <w:rFonts w:cs="David"/>
          <w:rtl/>
        </w:rPr>
      </w:pPr>
    </w:p>
    <w:p w:rsidR="007967E3" w:rsidRPr="00AE3501" w:rsidRDefault="007967E3" w:rsidP="00465EC2">
      <w:pPr>
        <w:spacing w:after="0" w:line="240" w:lineRule="auto"/>
        <w:jc w:val="both"/>
        <w:rPr>
          <w:rFonts w:cs="David"/>
          <w:rtl/>
        </w:rPr>
      </w:pPr>
    </w:p>
    <w:p w:rsidR="00465EC2" w:rsidRPr="00AE3501" w:rsidRDefault="00167704" w:rsidP="000B6B2E">
      <w:pPr>
        <w:spacing w:after="240" w:line="240" w:lineRule="auto"/>
        <w:jc w:val="center"/>
        <w:rPr>
          <w:rFonts w:cs="David"/>
          <w:b/>
          <w:bCs/>
          <w:sz w:val="28"/>
          <w:szCs w:val="28"/>
          <w:u w:val="single"/>
          <w:rtl/>
        </w:rPr>
      </w:pPr>
      <w:r w:rsidRPr="00AE3501">
        <w:rPr>
          <w:rFonts w:cs="David" w:hint="cs"/>
          <w:b/>
          <w:bCs/>
          <w:sz w:val="28"/>
          <w:szCs w:val="28"/>
          <w:u w:val="single"/>
          <w:rtl/>
        </w:rPr>
        <w:t xml:space="preserve">חוק לתיקון פקודת הנישואין והגירושין (רישום) (מס' </w:t>
      </w:r>
      <w:r w:rsidR="000B6B2E" w:rsidRPr="00AE3501">
        <w:rPr>
          <w:rFonts w:cs="David" w:hint="cs"/>
          <w:b/>
          <w:bCs/>
          <w:sz w:val="28"/>
          <w:szCs w:val="28"/>
          <w:u w:val="single"/>
          <w:rtl/>
        </w:rPr>
        <w:t>2</w:t>
      </w:r>
      <w:r w:rsidRPr="00AE3501">
        <w:rPr>
          <w:rFonts w:cs="David" w:hint="cs"/>
          <w:b/>
          <w:bCs/>
          <w:sz w:val="28"/>
          <w:szCs w:val="28"/>
          <w:u w:val="single"/>
          <w:rtl/>
        </w:rPr>
        <w:t>), התשע"</w:t>
      </w:r>
      <w:r w:rsidR="000B6B2E" w:rsidRPr="00AE3501">
        <w:rPr>
          <w:rFonts w:cs="David" w:hint="cs"/>
          <w:b/>
          <w:bCs/>
          <w:sz w:val="28"/>
          <w:szCs w:val="28"/>
          <w:u w:val="single"/>
          <w:rtl/>
        </w:rPr>
        <w:t>ד</w:t>
      </w:r>
      <w:r w:rsidRPr="00AE3501">
        <w:rPr>
          <w:rFonts w:cs="David" w:hint="cs"/>
          <w:b/>
          <w:bCs/>
          <w:sz w:val="28"/>
          <w:szCs w:val="28"/>
          <w:u w:val="single"/>
          <w:rtl/>
        </w:rPr>
        <w:t>-201</w:t>
      </w:r>
      <w:r w:rsidR="000B6B2E" w:rsidRPr="00AE3501">
        <w:rPr>
          <w:rFonts w:cs="David" w:hint="cs"/>
          <w:b/>
          <w:bCs/>
          <w:sz w:val="28"/>
          <w:szCs w:val="28"/>
          <w:u w:val="single"/>
          <w:rtl/>
        </w:rPr>
        <w:t>3</w:t>
      </w:r>
      <w:r w:rsidR="00A33A10" w:rsidRPr="00AE3501">
        <w:rPr>
          <w:rFonts w:cs="David" w:hint="cs"/>
          <w:b/>
          <w:bCs/>
          <w:sz w:val="28"/>
          <w:szCs w:val="28"/>
          <w:u w:val="single"/>
          <w:rtl/>
        </w:rPr>
        <w:t xml:space="preserve"> </w:t>
      </w:r>
      <w:r w:rsidR="000B6B2E" w:rsidRPr="00AE3501">
        <w:rPr>
          <w:rFonts w:cs="David" w:hint="cs"/>
          <w:b/>
          <w:bCs/>
          <w:sz w:val="28"/>
          <w:szCs w:val="28"/>
          <w:u w:val="single"/>
          <w:rtl/>
        </w:rPr>
        <w:t xml:space="preserve">("חוק צוהר") </w:t>
      </w:r>
      <w:r w:rsidR="00A33A10" w:rsidRPr="00AE3501">
        <w:rPr>
          <w:rFonts w:cs="David"/>
          <w:b/>
          <w:bCs/>
          <w:sz w:val="28"/>
          <w:szCs w:val="28"/>
          <w:u w:val="single"/>
          <w:rtl/>
        </w:rPr>
        <w:t>–</w:t>
      </w:r>
      <w:r w:rsidR="00A33A10" w:rsidRPr="00AE3501">
        <w:rPr>
          <w:rFonts w:cs="David" w:hint="cs"/>
          <w:b/>
          <w:bCs/>
          <w:sz w:val="28"/>
          <w:szCs w:val="28"/>
          <w:u w:val="single"/>
          <w:rtl/>
        </w:rPr>
        <w:t xml:space="preserve"> נקודות לדיון</w:t>
      </w:r>
      <w:r w:rsidR="000B6B2E" w:rsidRPr="00AE3501">
        <w:rPr>
          <w:rFonts w:cs="David" w:hint="cs"/>
          <w:b/>
          <w:bCs/>
          <w:sz w:val="28"/>
          <w:szCs w:val="28"/>
          <w:u w:val="single"/>
          <w:rtl/>
        </w:rPr>
        <w:t xml:space="preserve"> מעקב</w:t>
      </w:r>
    </w:p>
    <w:p w:rsidR="00793057" w:rsidRPr="00AE3501" w:rsidRDefault="00CE7D11" w:rsidP="00CE7D11">
      <w:pPr>
        <w:spacing w:after="120" w:line="240" w:lineRule="auto"/>
        <w:jc w:val="both"/>
        <w:rPr>
          <w:rFonts w:cs="David"/>
          <w:b/>
          <w:bCs/>
          <w:sz w:val="24"/>
          <w:szCs w:val="24"/>
          <w:u w:val="single"/>
          <w:rtl/>
        </w:rPr>
      </w:pPr>
      <w:r w:rsidRPr="00AE3501">
        <w:rPr>
          <w:rFonts w:cs="David" w:hint="cs"/>
          <w:b/>
          <w:bCs/>
          <w:sz w:val="24"/>
          <w:szCs w:val="24"/>
          <w:u w:val="single"/>
          <w:rtl/>
        </w:rPr>
        <w:t>רקע</w:t>
      </w:r>
      <w:r w:rsidR="00C26FA7" w:rsidRPr="00AE3501">
        <w:rPr>
          <w:rFonts w:cs="David" w:hint="cs"/>
          <w:b/>
          <w:bCs/>
          <w:sz w:val="24"/>
          <w:szCs w:val="24"/>
          <w:u w:val="single"/>
          <w:rtl/>
        </w:rPr>
        <w:t xml:space="preserve"> כללי</w:t>
      </w:r>
    </w:p>
    <w:p w:rsidR="007D5B0F" w:rsidRPr="00AE3501" w:rsidRDefault="007D5B0F" w:rsidP="000B6B2E">
      <w:pPr>
        <w:spacing w:after="120" w:line="360" w:lineRule="auto"/>
        <w:jc w:val="both"/>
        <w:rPr>
          <w:rFonts w:cs="David"/>
          <w:sz w:val="24"/>
          <w:szCs w:val="24"/>
          <w:rtl/>
        </w:rPr>
      </w:pPr>
      <w:r w:rsidRPr="00AE3501">
        <w:rPr>
          <w:rFonts w:cs="David" w:hint="cs"/>
          <w:sz w:val="24"/>
          <w:szCs w:val="24"/>
          <w:rtl/>
        </w:rPr>
        <w:t>ס</w:t>
      </w:r>
      <w:r w:rsidR="000B6B2E" w:rsidRPr="00AE3501">
        <w:rPr>
          <w:rFonts w:cs="David" w:hint="cs"/>
          <w:sz w:val="24"/>
          <w:szCs w:val="24"/>
          <w:rtl/>
        </w:rPr>
        <w:t>עיף</w:t>
      </w:r>
      <w:r w:rsidRPr="00AE3501">
        <w:rPr>
          <w:rFonts w:cs="David" w:hint="cs"/>
          <w:sz w:val="24"/>
          <w:szCs w:val="24"/>
          <w:rtl/>
        </w:rPr>
        <w:t xml:space="preserve"> 7 לפקודת הנישואין והגירושין (רישום) (להלן </w:t>
      </w:r>
      <w:r w:rsidRPr="00AE3501">
        <w:rPr>
          <w:rFonts w:cs="David"/>
          <w:sz w:val="24"/>
          <w:szCs w:val="24"/>
          <w:rtl/>
        </w:rPr>
        <w:t>–</w:t>
      </w:r>
      <w:r w:rsidRPr="00AE3501">
        <w:rPr>
          <w:rFonts w:cs="David" w:hint="cs"/>
          <w:sz w:val="24"/>
          <w:szCs w:val="24"/>
          <w:rtl/>
        </w:rPr>
        <w:t xml:space="preserve"> "הפקודה"), קובע כי </w:t>
      </w:r>
      <w:r w:rsidR="00080444" w:rsidRPr="00AE3501">
        <w:rPr>
          <w:rFonts w:cs="David" w:hint="cs"/>
          <w:sz w:val="24"/>
          <w:szCs w:val="24"/>
          <w:rtl/>
        </w:rPr>
        <w:t xml:space="preserve">בני זוג המבקשים להינשא </w:t>
      </w:r>
      <w:r w:rsidR="00D42740" w:rsidRPr="00AE3501">
        <w:rPr>
          <w:rFonts w:cs="David" w:hint="cs"/>
          <w:sz w:val="24"/>
          <w:szCs w:val="24"/>
          <w:rtl/>
        </w:rPr>
        <w:t>או להתגרש, מחויבים לדאוג לכך שהנישואין או הגירושין יירשמו על ידי "הרשות הרושמת"</w:t>
      </w:r>
      <w:r w:rsidR="007263C3" w:rsidRPr="00AE3501">
        <w:rPr>
          <w:rStyle w:val="a3"/>
          <w:rFonts w:cs="David"/>
          <w:sz w:val="20"/>
          <w:szCs w:val="20"/>
          <w:rtl/>
        </w:rPr>
        <w:footnoteReference w:id="1"/>
      </w:r>
      <w:r w:rsidRPr="00AE3501">
        <w:rPr>
          <w:rFonts w:cs="David" w:hint="cs"/>
          <w:sz w:val="24"/>
          <w:szCs w:val="24"/>
          <w:rtl/>
        </w:rPr>
        <w:t>,</w:t>
      </w:r>
      <w:r w:rsidR="00BD5A08" w:rsidRPr="00AE3501">
        <w:rPr>
          <w:rFonts w:cs="David" w:hint="cs"/>
          <w:sz w:val="24"/>
          <w:szCs w:val="24"/>
          <w:rtl/>
        </w:rPr>
        <w:t xml:space="preserve"> </w:t>
      </w:r>
      <w:r w:rsidRPr="00AE3501">
        <w:rPr>
          <w:rFonts w:cs="David" w:hint="cs"/>
          <w:sz w:val="24"/>
          <w:szCs w:val="24"/>
          <w:rtl/>
        </w:rPr>
        <w:t xml:space="preserve">והימנעות מרישום כאמור היא עבירה פלילית. </w:t>
      </w:r>
    </w:p>
    <w:p w:rsidR="00080444" w:rsidRPr="00AE3501" w:rsidRDefault="00E12E42" w:rsidP="00CF6F46">
      <w:pPr>
        <w:spacing w:after="120" w:line="360" w:lineRule="auto"/>
        <w:jc w:val="both"/>
        <w:rPr>
          <w:rFonts w:cs="David"/>
          <w:sz w:val="24"/>
          <w:szCs w:val="24"/>
          <w:rtl/>
        </w:rPr>
      </w:pPr>
      <w:r w:rsidRPr="00AE3501">
        <w:rPr>
          <w:rFonts w:cs="David" w:hint="cs"/>
          <w:sz w:val="24"/>
          <w:szCs w:val="24"/>
          <w:rtl/>
        </w:rPr>
        <w:t xml:space="preserve">עד לתיקון שנערך, לא נקבעו בפקודה הוראות לגבי </w:t>
      </w:r>
      <w:r w:rsidR="007D5B0F" w:rsidRPr="00AE3501">
        <w:rPr>
          <w:rFonts w:cs="David" w:hint="cs"/>
          <w:sz w:val="24"/>
          <w:szCs w:val="24"/>
          <w:u w:val="single"/>
          <w:rtl/>
        </w:rPr>
        <w:t>המקום</w:t>
      </w:r>
      <w:r w:rsidR="007D5B0F" w:rsidRPr="00AE3501">
        <w:rPr>
          <w:rFonts w:cs="David" w:hint="cs"/>
          <w:sz w:val="24"/>
          <w:szCs w:val="24"/>
          <w:rtl/>
        </w:rPr>
        <w:t xml:space="preserve"> שבו </w:t>
      </w:r>
      <w:r w:rsidR="005A25E7" w:rsidRPr="00AE3501">
        <w:rPr>
          <w:rFonts w:cs="David" w:hint="cs"/>
          <w:sz w:val="24"/>
          <w:szCs w:val="24"/>
          <w:rtl/>
        </w:rPr>
        <w:t>רשאים</w:t>
      </w:r>
      <w:r w:rsidR="007D5B0F" w:rsidRPr="00AE3501">
        <w:rPr>
          <w:rFonts w:cs="David" w:hint="cs"/>
          <w:sz w:val="24"/>
          <w:szCs w:val="24"/>
          <w:rtl/>
        </w:rPr>
        <w:t xml:space="preserve"> בני הזוג להירשם </w:t>
      </w:r>
      <w:r w:rsidR="00BD5A08" w:rsidRPr="00AE3501">
        <w:rPr>
          <w:rFonts w:cs="David" w:hint="cs"/>
          <w:sz w:val="24"/>
          <w:szCs w:val="24"/>
          <w:rtl/>
        </w:rPr>
        <w:t xml:space="preserve">לנישואין. </w:t>
      </w:r>
      <w:r w:rsidRPr="00AE3501">
        <w:rPr>
          <w:rFonts w:cs="David" w:hint="cs"/>
          <w:sz w:val="24"/>
          <w:szCs w:val="24"/>
          <w:rtl/>
        </w:rPr>
        <w:t xml:space="preserve">עם זאת, </w:t>
      </w:r>
      <w:r w:rsidR="00BD5A08" w:rsidRPr="00AE3501">
        <w:rPr>
          <w:rFonts w:cs="David" w:hint="cs"/>
          <w:sz w:val="24"/>
          <w:szCs w:val="24"/>
          <w:rtl/>
        </w:rPr>
        <w:t xml:space="preserve">לגבי בני זוג יהודיים, </w:t>
      </w:r>
      <w:r w:rsidR="005A25E7" w:rsidRPr="00AE3501">
        <w:rPr>
          <w:rFonts w:cs="David" w:hint="cs"/>
          <w:sz w:val="24"/>
          <w:szCs w:val="24"/>
          <w:rtl/>
        </w:rPr>
        <w:t>סעיף 7 ל</w:t>
      </w:r>
      <w:r w:rsidR="00BD5A08" w:rsidRPr="00AE3501">
        <w:rPr>
          <w:rFonts w:cs="David" w:hint="cs"/>
          <w:sz w:val="24"/>
          <w:szCs w:val="24"/>
          <w:rtl/>
        </w:rPr>
        <w:t>הוראות "נוהל רישום נישואין" שנקבע במסגרת חוזר מנכ"ל</w:t>
      </w:r>
      <w:r w:rsidR="00BD5A08" w:rsidRPr="00AE3501">
        <w:rPr>
          <w:rStyle w:val="a3"/>
          <w:rFonts w:cs="David"/>
          <w:sz w:val="20"/>
          <w:szCs w:val="20"/>
          <w:rtl/>
        </w:rPr>
        <w:footnoteReference w:id="2"/>
      </w:r>
      <w:r w:rsidR="005A25E7" w:rsidRPr="00AE3501">
        <w:rPr>
          <w:rFonts w:cs="David" w:hint="cs"/>
          <w:sz w:val="24"/>
          <w:szCs w:val="24"/>
          <w:rtl/>
        </w:rPr>
        <w:t xml:space="preserve"> </w:t>
      </w:r>
      <w:r w:rsidRPr="00AE3501">
        <w:rPr>
          <w:rFonts w:cs="David" w:hint="cs"/>
          <w:sz w:val="24"/>
          <w:szCs w:val="24"/>
          <w:rtl/>
        </w:rPr>
        <w:t xml:space="preserve">המשרד לשירותי דת </w:t>
      </w:r>
      <w:r w:rsidR="005A25E7" w:rsidRPr="00AE3501">
        <w:rPr>
          <w:rFonts w:cs="David" w:hint="cs"/>
          <w:sz w:val="24"/>
          <w:szCs w:val="24"/>
          <w:rtl/>
        </w:rPr>
        <w:t>קבע, כי "</w:t>
      </w:r>
      <w:r w:rsidR="005A25E7" w:rsidRPr="00AE3501">
        <w:rPr>
          <w:rFonts w:cs="Narkisim" w:hint="cs"/>
          <w:sz w:val="24"/>
          <w:szCs w:val="24"/>
          <w:rtl/>
        </w:rPr>
        <w:t xml:space="preserve">הרשמה לנישואים תעשה באחד ממקומות המגורים הקבוע של אחד מבני הזוג המבקשים </w:t>
      </w:r>
      <w:proofErr w:type="spellStart"/>
      <w:r w:rsidR="005A25E7" w:rsidRPr="00AE3501">
        <w:rPr>
          <w:rFonts w:cs="Narkisim" w:hint="cs"/>
          <w:sz w:val="24"/>
          <w:szCs w:val="24"/>
          <w:rtl/>
        </w:rPr>
        <w:t>להרשם</w:t>
      </w:r>
      <w:proofErr w:type="spellEnd"/>
      <w:r w:rsidR="005A25E7" w:rsidRPr="00AE3501">
        <w:rPr>
          <w:rFonts w:cs="Narkisim" w:hint="cs"/>
          <w:sz w:val="24"/>
          <w:szCs w:val="24"/>
          <w:rtl/>
        </w:rPr>
        <w:t xml:space="preserve"> לנישואין לפי בחירתם או במקום שבו אמורים להתקיים </w:t>
      </w:r>
      <w:proofErr w:type="spellStart"/>
      <w:r w:rsidR="005A25E7" w:rsidRPr="00AE3501">
        <w:rPr>
          <w:rFonts w:cs="Narkisim" w:hint="cs"/>
          <w:sz w:val="24"/>
          <w:szCs w:val="24"/>
          <w:rtl/>
        </w:rPr>
        <w:t>החו"ק</w:t>
      </w:r>
      <w:proofErr w:type="spellEnd"/>
      <w:r w:rsidR="005A25E7" w:rsidRPr="00AE3501">
        <w:rPr>
          <w:rFonts w:cs="David" w:hint="cs"/>
          <w:sz w:val="24"/>
          <w:szCs w:val="24"/>
          <w:rtl/>
        </w:rPr>
        <w:t xml:space="preserve"> (=החופה וקידושין)".</w:t>
      </w:r>
      <w:r w:rsidR="00BD5A08" w:rsidRPr="00AE3501">
        <w:rPr>
          <w:rFonts w:cs="David" w:hint="cs"/>
          <w:sz w:val="24"/>
          <w:szCs w:val="24"/>
          <w:rtl/>
        </w:rPr>
        <w:t xml:space="preserve"> </w:t>
      </w:r>
    </w:p>
    <w:p w:rsidR="00080444" w:rsidRPr="00AE3501" w:rsidRDefault="00080444" w:rsidP="004E48C8">
      <w:pPr>
        <w:spacing w:after="120" w:line="360" w:lineRule="auto"/>
        <w:jc w:val="both"/>
        <w:rPr>
          <w:rFonts w:cs="David"/>
          <w:noProof/>
          <w:sz w:val="24"/>
          <w:szCs w:val="24"/>
          <w:rtl/>
        </w:rPr>
      </w:pPr>
    </w:p>
    <w:p w:rsidR="00C26FA7" w:rsidRPr="00AE3501" w:rsidRDefault="00C26FA7" w:rsidP="004E48C8">
      <w:pPr>
        <w:spacing w:after="120" w:line="360" w:lineRule="auto"/>
        <w:jc w:val="both"/>
        <w:rPr>
          <w:rFonts w:cs="David"/>
          <w:b/>
          <w:bCs/>
          <w:noProof/>
          <w:sz w:val="24"/>
          <w:szCs w:val="24"/>
          <w:u w:val="single"/>
          <w:rtl/>
        </w:rPr>
      </w:pPr>
      <w:r w:rsidRPr="00AE3501">
        <w:rPr>
          <w:rFonts w:cs="David" w:hint="cs"/>
          <w:b/>
          <w:bCs/>
          <w:noProof/>
          <w:sz w:val="24"/>
          <w:szCs w:val="24"/>
          <w:u w:val="single"/>
          <w:rtl/>
        </w:rPr>
        <w:t>התיקון לפקודה</w:t>
      </w:r>
    </w:p>
    <w:p w:rsidR="00F06842" w:rsidRPr="00AE3501" w:rsidRDefault="003C041A" w:rsidP="00B62321">
      <w:pPr>
        <w:spacing w:after="120" w:line="360" w:lineRule="auto"/>
        <w:jc w:val="both"/>
        <w:rPr>
          <w:rFonts w:cs="David"/>
          <w:sz w:val="24"/>
          <w:szCs w:val="24"/>
          <w:rtl/>
        </w:rPr>
      </w:pPr>
      <w:r w:rsidRPr="00AE3501">
        <w:rPr>
          <w:rFonts w:cs="David" w:hint="cs"/>
          <w:sz w:val="24"/>
          <w:szCs w:val="24"/>
          <w:rtl/>
        </w:rPr>
        <w:t>בכנסת ה-18 יזמו מספר חברי כנסת</w:t>
      </w:r>
      <w:r w:rsidR="00894C90" w:rsidRPr="00AE3501">
        <w:rPr>
          <w:rStyle w:val="a3"/>
          <w:rFonts w:cs="David"/>
          <w:sz w:val="24"/>
          <w:szCs w:val="24"/>
          <w:rtl/>
        </w:rPr>
        <w:footnoteReference w:id="3"/>
      </w:r>
      <w:r w:rsidRPr="00AE3501">
        <w:rPr>
          <w:rFonts w:cs="David" w:hint="cs"/>
          <w:sz w:val="24"/>
          <w:szCs w:val="24"/>
          <w:rtl/>
        </w:rPr>
        <w:t xml:space="preserve"> </w:t>
      </w:r>
      <w:r w:rsidR="00894C90" w:rsidRPr="00AE3501">
        <w:rPr>
          <w:rFonts w:cs="David" w:hint="cs"/>
          <w:sz w:val="24"/>
          <w:szCs w:val="24"/>
          <w:rtl/>
        </w:rPr>
        <w:t xml:space="preserve">את </w:t>
      </w:r>
      <w:r w:rsidRPr="00AE3501">
        <w:rPr>
          <w:rFonts w:cs="David" w:hint="cs"/>
          <w:sz w:val="24"/>
          <w:szCs w:val="24"/>
          <w:rtl/>
        </w:rPr>
        <w:t>הצעת חוק לתיקון פקודת הנישואין והגירושין (רישום) (מס'</w:t>
      </w:r>
      <w:r w:rsidR="00DF2BE7" w:rsidRPr="00AE3501">
        <w:rPr>
          <w:rFonts w:cs="David" w:hint="cs"/>
          <w:sz w:val="24"/>
          <w:szCs w:val="24"/>
          <w:rtl/>
        </w:rPr>
        <w:t xml:space="preserve"> 3</w:t>
      </w:r>
      <w:r w:rsidRPr="00AE3501">
        <w:rPr>
          <w:rFonts w:cs="David" w:hint="cs"/>
          <w:sz w:val="24"/>
          <w:szCs w:val="24"/>
          <w:rtl/>
        </w:rPr>
        <w:t xml:space="preserve">) (רישום לנישואין של בני זוג יהודים), </w:t>
      </w:r>
      <w:proofErr w:type="spellStart"/>
      <w:r w:rsidRPr="00AE3501">
        <w:rPr>
          <w:rFonts w:cs="David" w:hint="cs"/>
          <w:sz w:val="24"/>
          <w:szCs w:val="24"/>
          <w:rtl/>
        </w:rPr>
        <w:t>התשע"ב</w:t>
      </w:r>
      <w:proofErr w:type="spellEnd"/>
      <w:r w:rsidRPr="00AE3501">
        <w:rPr>
          <w:rFonts w:cs="David" w:hint="cs"/>
          <w:sz w:val="24"/>
          <w:szCs w:val="24"/>
          <w:rtl/>
        </w:rPr>
        <w:t>–2012</w:t>
      </w:r>
      <w:r w:rsidR="00516305" w:rsidRPr="00AE3501">
        <w:rPr>
          <w:rFonts w:cs="David" w:hint="cs"/>
          <w:sz w:val="24"/>
          <w:szCs w:val="24"/>
          <w:rtl/>
        </w:rPr>
        <w:t>.</w:t>
      </w:r>
      <w:r w:rsidR="00F06842" w:rsidRPr="00AE3501">
        <w:rPr>
          <w:rFonts w:cs="David" w:hint="cs"/>
          <w:sz w:val="24"/>
          <w:szCs w:val="24"/>
          <w:rtl/>
        </w:rPr>
        <w:t xml:space="preserve"> הצעת </w:t>
      </w:r>
      <w:r w:rsidR="00B62321">
        <w:rPr>
          <w:rFonts w:cs="David" w:hint="cs"/>
          <w:sz w:val="24"/>
          <w:szCs w:val="24"/>
          <w:rtl/>
        </w:rPr>
        <w:t>ה</w:t>
      </w:r>
      <w:r w:rsidR="00F06842" w:rsidRPr="00AE3501">
        <w:rPr>
          <w:rFonts w:cs="David" w:hint="cs"/>
          <w:sz w:val="24"/>
          <w:szCs w:val="24"/>
          <w:rtl/>
        </w:rPr>
        <w:t>חוק ביקשה לקבוע</w:t>
      </w:r>
      <w:r w:rsidR="00B62321">
        <w:rPr>
          <w:rFonts w:cs="David" w:hint="cs"/>
          <w:sz w:val="24"/>
          <w:szCs w:val="24"/>
          <w:rtl/>
        </w:rPr>
        <w:t>,</w:t>
      </w:r>
      <w:r w:rsidR="00F06842" w:rsidRPr="00AE3501">
        <w:rPr>
          <w:rFonts w:cs="David" w:hint="cs"/>
          <w:sz w:val="24"/>
          <w:szCs w:val="24"/>
          <w:rtl/>
        </w:rPr>
        <w:t xml:space="preserve"> כי נוסף על האפשרות להירשם במקום המגורים הקבוע של אחד מבני הזוג או במקום שבו אמורים להתקיים החופה והקידושין, בני זוג יהודיים יהיו רשאים להירשם גם בלשכ</w:t>
      </w:r>
      <w:r w:rsidR="00A8002E" w:rsidRPr="00AE3501">
        <w:rPr>
          <w:rFonts w:cs="David" w:hint="cs"/>
          <w:sz w:val="24"/>
          <w:szCs w:val="24"/>
          <w:rtl/>
        </w:rPr>
        <w:t>ות</w:t>
      </w:r>
      <w:r w:rsidR="00F06842" w:rsidRPr="00AE3501">
        <w:rPr>
          <w:rFonts w:cs="David" w:hint="cs"/>
          <w:sz w:val="24"/>
          <w:szCs w:val="24"/>
          <w:rtl/>
        </w:rPr>
        <w:t xml:space="preserve"> ארצי</w:t>
      </w:r>
      <w:r w:rsidR="00A8002E" w:rsidRPr="00AE3501">
        <w:rPr>
          <w:rFonts w:cs="David" w:hint="cs"/>
          <w:sz w:val="24"/>
          <w:szCs w:val="24"/>
          <w:rtl/>
        </w:rPr>
        <w:t>ו</w:t>
      </w:r>
      <w:r w:rsidR="00F06842" w:rsidRPr="00AE3501">
        <w:rPr>
          <w:rFonts w:cs="David" w:hint="cs"/>
          <w:sz w:val="24"/>
          <w:szCs w:val="24"/>
          <w:rtl/>
        </w:rPr>
        <w:t>ת לרישום נישואין, בכל אחד מ</w:t>
      </w:r>
      <w:r w:rsidR="006244B7">
        <w:rPr>
          <w:rFonts w:cs="David" w:hint="cs"/>
          <w:sz w:val="24"/>
          <w:szCs w:val="24"/>
          <w:rtl/>
        </w:rPr>
        <w:t>-14 היישובים שנמנו בהצעת החוק</w:t>
      </w:r>
      <w:r w:rsidR="00F06842" w:rsidRPr="00AE3501">
        <w:rPr>
          <w:rFonts w:cs="David" w:hint="cs"/>
          <w:sz w:val="24"/>
          <w:szCs w:val="24"/>
          <w:rtl/>
        </w:rPr>
        <w:t xml:space="preserve">. </w:t>
      </w:r>
      <w:r w:rsidR="004B742E" w:rsidRPr="00AE3501">
        <w:rPr>
          <w:rFonts w:cs="David" w:hint="cs"/>
          <w:sz w:val="24"/>
          <w:szCs w:val="24"/>
          <w:rtl/>
        </w:rPr>
        <w:t xml:space="preserve">בדברי ההסבר להצעת החוק נטען, כי לנוהג של רישום לנישואין במקום המגורים היה טעם כאשר רב העיר הכיר את בני עירו. אולם כיום, בשל גודל </w:t>
      </w:r>
      <w:r w:rsidR="00A66AA3" w:rsidRPr="00AE3501">
        <w:rPr>
          <w:rFonts w:cs="David" w:hint="cs"/>
          <w:sz w:val="24"/>
          <w:szCs w:val="24"/>
          <w:rtl/>
        </w:rPr>
        <w:t>האוכלוסייה</w:t>
      </w:r>
      <w:r w:rsidR="004B742E" w:rsidRPr="00AE3501">
        <w:rPr>
          <w:rFonts w:cs="David" w:hint="cs"/>
          <w:sz w:val="24"/>
          <w:szCs w:val="24"/>
          <w:rtl/>
        </w:rPr>
        <w:t xml:space="preserve"> בערים, במרבית המקרים רב העיר רושם את בני הזוג לנישואין אף שהוא אינו מכיר אותם, ועל כן אין סיבה שלא להסמיכו לרשום לנישואין גם בני זוג שאינם תושבים בעירו. מטרת ההצעה, כך נטען, היא להקל על בני זוג להירשם לנישואין ולחסוך להם זמן יקר והוצאות נסיעה מיותרות.</w:t>
      </w:r>
    </w:p>
    <w:p w:rsidR="001E1D44" w:rsidRPr="00AE3501" w:rsidRDefault="00A17A2A" w:rsidP="001E1D44">
      <w:pPr>
        <w:spacing w:after="120" w:line="360" w:lineRule="auto"/>
        <w:jc w:val="both"/>
        <w:rPr>
          <w:rFonts w:cs="David"/>
          <w:sz w:val="24"/>
          <w:szCs w:val="24"/>
          <w:rtl/>
        </w:rPr>
      </w:pPr>
      <w:r w:rsidRPr="00AE3501">
        <w:rPr>
          <w:rFonts w:cs="David" w:hint="cs"/>
          <w:sz w:val="24"/>
          <w:szCs w:val="24"/>
          <w:rtl/>
        </w:rPr>
        <w:t>ה</w:t>
      </w:r>
      <w:r w:rsidR="00414472" w:rsidRPr="00AE3501">
        <w:rPr>
          <w:rFonts w:cs="David" w:hint="cs"/>
          <w:sz w:val="24"/>
          <w:szCs w:val="24"/>
          <w:rtl/>
        </w:rPr>
        <w:t xml:space="preserve">צעת החוק עברה </w:t>
      </w:r>
      <w:r w:rsidRPr="00AE3501">
        <w:rPr>
          <w:rFonts w:cs="David" w:hint="cs"/>
          <w:sz w:val="24"/>
          <w:szCs w:val="24"/>
          <w:rtl/>
        </w:rPr>
        <w:t xml:space="preserve">קריאה ראשונה </w:t>
      </w:r>
      <w:r w:rsidR="00F434B9" w:rsidRPr="00AE3501">
        <w:rPr>
          <w:rFonts w:cs="David" w:hint="cs"/>
          <w:sz w:val="24"/>
          <w:szCs w:val="24"/>
          <w:rtl/>
        </w:rPr>
        <w:t xml:space="preserve">בכנסת ה-18, ומליאת הכנסת ה-19 החליטה להחיל </w:t>
      </w:r>
      <w:r w:rsidR="00E067D6" w:rsidRPr="00AE3501">
        <w:rPr>
          <w:rFonts w:cs="David" w:hint="cs"/>
          <w:sz w:val="24"/>
          <w:szCs w:val="24"/>
          <w:rtl/>
        </w:rPr>
        <w:t>דין רציפות על הצעת החוק</w:t>
      </w:r>
      <w:r w:rsidR="00B41AA0" w:rsidRPr="00AE3501">
        <w:rPr>
          <w:rStyle w:val="a3"/>
          <w:rFonts w:cs="David"/>
          <w:sz w:val="20"/>
          <w:szCs w:val="20"/>
          <w:rtl/>
        </w:rPr>
        <w:footnoteReference w:id="4"/>
      </w:r>
      <w:r w:rsidR="00120C75" w:rsidRPr="00AE3501">
        <w:rPr>
          <w:rFonts w:cs="David" w:hint="cs"/>
          <w:sz w:val="24"/>
          <w:szCs w:val="24"/>
          <w:rtl/>
        </w:rPr>
        <w:t xml:space="preserve"> בהתאם להוראות חוק </w:t>
      </w:r>
      <w:r w:rsidR="001E1D44" w:rsidRPr="00AE3501">
        <w:rPr>
          <w:rFonts w:cs="David" w:hint="cs"/>
          <w:sz w:val="24"/>
          <w:szCs w:val="24"/>
          <w:rtl/>
        </w:rPr>
        <w:t>רציפות הדיון בהצעות חוק, התשנ"ג-1993.</w:t>
      </w:r>
      <w:r w:rsidRPr="00AE3501">
        <w:rPr>
          <w:rFonts w:cs="David" w:hint="cs"/>
          <w:sz w:val="24"/>
          <w:szCs w:val="24"/>
          <w:rtl/>
        </w:rPr>
        <w:t xml:space="preserve"> </w:t>
      </w:r>
    </w:p>
    <w:p w:rsidR="00EC2658" w:rsidRPr="00AE3501" w:rsidRDefault="001E1D44" w:rsidP="00154C85">
      <w:pPr>
        <w:spacing w:after="120" w:line="360" w:lineRule="auto"/>
        <w:jc w:val="both"/>
        <w:rPr>
          <w:rFonts w:cs="David"/>
          <w:sz w:val="24"/>
          <w:szCs w:val="24"/>
          <w:rtl/>
        </w:rPr>
      </w:pPr>
      <w:r w:rsidRPr="00AE3501">
        <w:rPr>
          <w:rFonts w:cs="David" w:hint="cs"/>
          <w:sz w:val="24"/>
          <w:szCs w:val="24"/>
          <w:rtl/>
        </w:rPr>
        <w:t xml:space="preserve">במסגרת הדיונים </w:t>
      </w:r>
      <w:r w:rsidR="00154C85" w:rsidRPr="00AE3501">
        <w:rPr>
          <w:rFonts w:cs="David" w:hint="cs"/>
          <w:sz w:val="24"/>
          <w:szCs w:val="24"/>
          <w:rtl/>
        </w:rPr>
        <w:t xml:space="preserve">להכנת הצעת החוק לקריאה </w:t>
      </w:r>
      <w:proofErr w:type="spellStart"/>
      <w:r w:rsidR="00154C85" w:rsidRPr="00AE3501">
        <w:rPr>
          <w:rFonts w:cs="David" w:hint="cs"/>
          <w:sz w:val="24"/>
          <w:szCs w:val="24"/>
          <w:rtl/>
        </w:rPr>
        <w:t>השניה</w:t>
      </w:r>
      <w:proofErr w:type="spellEnd"/>
      <w:r w:rsidR="00154C85" w:rsidRPr="00AE3501">
        <w:rPr>
          <w:rFonts w:cs="David" w:hint="cs"/>
          <w:sz w:val="24"/>
          <w:szCs w:val="24"/>
          <w:rtl/>
        </w:rPr>
        <w:t xml:space="preserve"> והשלישית </w:t>
      </w:r>
      <w:r w:rsidR="00A8002E" w:rsidRPr="00AE3501">
        <w:rPr>
          <w:rFonts w:cs="David" w:hint="cs"/>
          <w:sz w:val="24"/>
          <w:szCs w:val="24"/>
          <w:rtl/>
        </w:rPr>
        <w:t xml:space="preserve">שנערכו </w:t>
      </w:r>
      <w:r w:rsidRPr="00AE3501">
        <w:rPr>
          <w:rFonts w:cs="David" w:hint="cs"/>
          <w:sz w:val="24"/>
          <w:szCs w:val="24"/>
          <w:rtl/>
        </w:rPr>
        <w:t>ב</w:t>
      </w:r>
      <w:r w:rsidR="00A17A2A" w:rsidRPr="00AE3501">
        <w:rPr>
          <w:rFonts w:cs="David" w:hint="cs"/>
          <w:sz w:val="24"/>
          <w:szCs w:val="24"/>
          <w:rtl/>
        </w:rPr>
        <w:t xml:space="preserve">וועדת החוקה, חוק ומשפט </w:t>
      </w:r>
      <w:r w:rsidR="004B742E" w:rsidRPr="00AE3501">
        <w:rPr>
          <w:rFonts w:cs="David" w:hint="cs"/>
          <w:sz w:val="24"/>
          <w:szCs w:val="24"/>
          <w:rtl/>
        </w:rPr>
        <w:t xml:space="preserve">(להלן </w:t>
      </w:r>
      <w:r w:rsidR="004B742E" w:rsidRPr="00AE3501">
        <w:rPr>
          <w:rFonts w:cs="David"/>
          <w:sz w:val="24"/>
          <w:szCs w:val="24"/>
          <w:rtl/>
        </w:rPr>
        <w:t>–</w:t>
      </w:r>
      <w:r w:rsidR="004B742E" w:rsidRPr="00AE3501">
        <w:rPr>
          <w:rFonts w:cs="David" w:hint="cs"/>
          <w:sz w:val="24"/>
          <w:szCs w:val="24"/>
          <w:rtl/>
        </w:rPr>
        <w:t xml:space="preserve"> הוועדה) </w:t>
      </w:r>
      <w:r w:rsidR="00A8002E" w:rsidRPr="00AE3501">
        <w:rPr>
          <w:rFonts w:cs="David" w:hint="cs"/>
          <w:sz w:val="24"/>
          <w:szCs w:val="24"/>
          <w:rtl/>
        </w:rPr>
        <w:t xml:space="preserve">בכנסת ה-19, </w:t>
      </w:r>
      <w:r w:rsidRPr="00AE3501">
        <w:rPr>
          <w:rFonts w:cs="David" w:hint="cs"/>
          <w:sz w:val="24"/>
          <w:szCs w:val="24"/>
          <w:rtl/>
        </w:rPr>
        <w:t xml:space="preserve">החליטה הוועדה להרחיב את ההסדר שבהצעת החוק לכל </w:t>
      </w:r>
      <w:r w:rsidRPr="00AE3501">
        <w:rPr>
          <w:rFonts w:cs="David" w:hint="cs"/>
          <w:sz w:val="24"/>
          <w:szCs w:val="24"/>
          <w:rtl/>
        </w:rPr>
        <w:lastRenderedPageBreak/>
        <w:t xml:space="preserve">הארץ, כך שבני זוג יהודים המבקשים להינשא, יהיו רשאים להירשם לנישואין </w:t>
      </w:r>
      <w:r w:rsidR="00EC2658" w:rsidRPr="00AE3501">
        <w:rPr>
          <w:rFonts w:cs="David" w:hint="cs"/>
          <w:sz w:val="24"/>
          <w:szCs w:val="24"/>
          <w:rtl/>
        </w:rPr>
        <w:t>אצל כל רב שמונה כרושם נישואין, בלא קשר למקום מגוריהם או למקום עריכת הנישואין.</w:t>
      </w:r>
    </w:p>
    <w:p w:rsidR="00C26FA7" w:rsidRPr="00AE3501" w:rsidRDefault="00AC237E" w:rsidP="00AC237E">
      <w:pPr>
        <w:spacing w:after="120" w:line="360" w:lineRule="auto"/>
        <w:jc w:val="both"/>
        <w:rPr>
          <w:rFonts w:cs="David"/>
          <w:sz w:val="24"/>
          <w:szCs w:val="24"/>
          <w:rtl/>
        </w:rPr>
      </w:pPr>
      <w:r w:rsidRPr="00AE3501">
        <w:rPr>
          <w:rFonts w:cs="David" w:hint="cs"/>
          <w:sz w:val="24"/>
          <w:szCs w:val="24"/>
          <w:rtl/>
        </w:rPr>
        <w:t xml:space="preserve">מליאת הכנסת </w:t>
      </w:r>
      <w:r w:rsidR="004B742E" w:rsidRPr="00AE3501">
        <w:rPr>
          <w:rFonts w:cs="David" w:hint="cs"/>
          <w:sz w:val="24"/>
          <w:szCs w:val="24"/>
          <w:rtl/>
        </w:rPr>
        <w:t xml:space="preserve">ה-19 </w:t>
      </w:r>
      <w:r w:rsidRPr="00AE3501">
        <w:rPr>
          <w:rFonts w:cs="David" w:hint="cs"/>
          <w:sz w:val="24"/>
          <w:szCs w:val="24"/>
          <w:rtl/>
        </w:rPr>
        <w:t xml:space="preserve">אישרה את הצעת החוק </w:t>
      </w:r>
      <w:r w:rsidR="004B742E" w:rsidRPr="00AE3501">
        <w:rPr>
          <w:rFonts w:cs="David" w:hint="cs"/>
          <w:sz w:val="24"/>
          <w:szCs w:val="24"/>
          <w:rtl/>
        </w:rPr>
        <w:t xml:space="preserve">בנוסח המורחב עליו החליטה הוועדה </w:t>
      </w:r>
      <w:r w:rsidRPr="00AE3501">
        <w:rPr>
          <w:rFonts w:cs="David" w:hint="cs"/>
          <w:sz w:val="24"/>
          <w:szCs w:val="24"/>
          <w:rtl/>
        </w:rPr>
        <w:t>בקריאה שניה ושלישית, והתיקון האמור נכנס לתוקף ב-1 בספטמבר 2013.</w:t>
      </w:r>
    </w:p>
    <w:p w:rsidR="00A17A2A" w:rsidRPr="00AE3501" w:rsidRDefault="00A17A2A" w:rsidP="00A17A2A">
      <w:pPr>
        <w:spacing w:after="120" w:line="360" w:lineRule="auto"/>
        <w:jc w:val="both"/>
        <w:rPr>
          <w:rFonts w:cs="David"/>
          <w:sz w:val="24"/>
          <w:szCs w:val="24"/>
          <w:rtl/>
        </w:rPr>
      </w:pPr>
    </w:p>
    <w:p w:rsidR="00A17A2A" w:rsidRPr="00AE3501" w:rsidRDefault="00A17A2A" w:rsidP="000E4E05">
      <w:pPr>
        <w:spacing w:after="120" w:line="240" w:lineRule="auto"/>
        <w:jc w:val="both"/>
        <w:rPr>
          <w:rFonts w:cs="David"/>
          <w:b/>
          <w:bCs/>
          <w:sz w:val="24"/>
          <w:szCs w:val="24"/>
          <w:u w:val="single"/>
          <w:rtl/>
        </w:rPr>
      </w:pPr>
      <w:r w:rsidRPr="00AE3501">
        <w:rPr>
          <w:rFonts w:cs="David" w:hint="cs"/>
          <w:b/>
          <w:bCs/>
          <w:sz w:val="24"/>
          <w:szCs w:val="24"/>
          <w:u w:val="single"/>
          <w:rtl/>
        </w:rPr>
        <w:t>נקודות לדיון</w:t>
      </w:r>
    </w:p>
    <w:p w:rsidR="001A7166" w:rsidRPr="00AE3501" w:rsidRDefault="001A7166" w:rsidP="001A7166">
      <w:pPr>
        <w:spacing w:after="120" w:line="360" w:lineRule="auto"/>
        <w:jc w:val="both"/>
        <w:rPr>
          <w:rFonts w:cs="David"/>
          <w:sz w:val="24"/>
          <w:szCs w:val="24"/>
          <w:rtl/>
        </w:rPr>
      </w:pPr>
      <w:r w:rsidRPr="00AE3501">
        <w:rPr>
          <w:rFonts w:cs="David" w:hint="cs"/>
          <w:sz w:val="24"/>
          <w:szCs w:val="24"/>
          <w:rtl/>
        </w:rPr>
        <w:t>להלן הצעה של נקודות לדיון אודות החוק המתקן:</w:t>
      </w:r>
    </w:p>
    <w:p w:rsidR="001A7166" w:rsidRPr="00AE3501" w:rsidRDefault="00042061" w:rsidP="001A7166">
      <w:pPr>
        <w:pStyle w:val="a6"/>
        <w:numPr>
          <w:ilvl w:val="0"/>
          <w:numId w:val="3"/>
        </w:numPr>
        <w:spacing w:after="120" w:line="360" w:lineRule="auto"/>
        <w:jc w:val="both"/>
        <w:rPr>
          <w:rFonts w:cs="David"/>
          <w:sz w:val="24"/>
          <w:szCs w:val="24"/>
        </w:rPr>
      </w:pPr>
      <w:r w:rsidRPr="00AE3501">
        <w:rPr>
          <w:rFonts w:cs="David" w:hint="cs"/>
          <w:sz w:val="24"/>
          <w:szCs w:val="24"/>
          <w:rtl/>
        </w:rPr>
        <w:t xml:space="preserve">האם וכיצד מופעל החוק, הלכה למעשה, על ידי לשכות רישום הנישואין? </w:t>
      </w:r>
    </w:p>
    <w:p w:rsidR="001A7166" w:rsidRPr="00AE3501" w:rsidRDefault="00042061" w:rsidP="001A7166">
      <w:pPr>
        <w:pStyle w:val="a6"/>
        <w:numPr>
          <w:ilvl w:val="0"/>
          <w:numId w:val="3"/>
        </w:numPr>
        <w:spacing w:after="120" w:line="360" w:lineRule="auto"/>
        <w:jc w:val="both"/>
        <w:rPr>
          <w:rFonts w:cs="David"/>
          <w:sz w:val="24"/>
          <w:szCs w:val="24"/>
        </w:rPr>
      </w:pPr>
      <w:r w:rsidRPr="00AE3501">
        <w:rPr>
          <w:rFonts w:cs="David" w:hint="cs"/>
          <w:sz w:val="24"/>
          <w:szCs w:val="24"/>
          <w:rtl/>
        </w:rPr>
        <w:t xml:space="preserve">האם התגלו </w:t>
      </w:r>
      <w:r w:rsidR="001A7166" w:rsidRPr="00AE3501">
        <w:rPr>
          <w:rFonts w:cs="David" w:hint="cs"/>
          <w:sz w:val="24"/>
          <w:szCs w:val="24"/>
          <w:rtl/>
        </w:rPr>
        <w:t>תקלות ו</w:t>
      </w:r>
      <w:r w:rsidRPr="00AE3501">
        <w:rPr>
          <w:rFonts w:cs="David" w:hint="cs"/>
          <w:sz w:val="24"/>
          <w:szCs w:val="24"/>
          <w:rtl/>
        </w:rPr>
        <w:t xml:space="preserve">בעיות בהפעלת החוק? </w:t>
      </w:r>
    </w:p>
    <w:p w:rsidR="007F4735" w:rsidRPr="00AE3501" w:rsidRDefault="007F4735" w:rsidP="007F4735">
      <w:pPr>
        <w:pStyle w:val="a6"/>
        <w:numPr>
          <w:ilvl w:val="0"/>
          <w:numId w:val="3"/>
        </w:numPr>
        <w:spacing w:after="120" w:line="360" w:lineRule="auto"/>
        <w:jc w:val="both"/>
        <w:rPr>
          <w:rFonts w:cs="David"/>
          <w:sz w:val="24"/>
          <w:szCs w:val="24"/>
        </w:rPr>
      </w:pPr>
      <w:r w:rsidRPr="00AE3501">
        <w:rPr>
          <w:rFonts w:cs="David" w:hint="cs"/>
          <w:sz w:val="24"/>
          <w:szCs w:val="24"/>
          <w:rtl/>
        </w:rPr>
        <w:t>נציגת המשרד לשירותי דת בדיוני הוועדה ביקשה כי החוק ייכנס לתוקף ב-1 בספטמבר 2013, כדי שהמערכת הממוחשבת המעודכנת שתאפשר להפעיל את החוק תהיה מוכנה. האם המערכת הממוחשבת התחילה לפעול? האם התגלו בעיות בהפעלת המערכת?</w:t>
      </w:r>
    </w:p>
    <w:p w:rsidR="007F4735" w:rsidRPr="00AE3501" w:rsidRDefault="007F4735" w:rsidP="00AB4503">
      <w:pPr>
        <w:pStyle w:val="a6"/>
        <w:numPr>
          <w:ilvl w:val="0"/>
          <w:numId w:val="3"/>
        </w:numPr>
        <w:spacing w:after="120" w:line="360" w:lineRule="auto"/>
        <w:jc w:val="both"/>
        <w:rPr>
          <w:rFonts w:cs="David"/>
          <w:sz w:val="24"/>
          <w:szCs w:val="24"/>
        </w:rPr>
      </w:pPr>
      <w:r w:rsidRPr="00AE3501">
        <w:rPr>
          <w:rFonts w:cs="David" w:hint="cs"/>
          <w:sz w:val="24"/>
          <w:szCs w:val="24"/>
          <w:rtl/>
        </w:rPr>
        <w:t xml:space="preserve">לידי הוועדה הגיעו ידיעות ולפיהן החוק התפרש כך שהוא חל רק ביחס לאקט הרישום עצמו, אך אינו חל על פעולות אחרות הכלולות בתהליך הרישום, למשל, הוצאת תעודת רווקות, שלגביהן עדיין מערך הרישום דורש את קיומן במקום המגורים. האם הדברים נכונים? ככל שאמנם הדברים נכונים </w:t>
      </w:r>
      <w:r w:rsidRPr="00AE3501">
        <w:rPr>
          <w:rFonts w:cs="David"/>
          <w:sz w:val="24"/>
          <w:szCs w:val="24"/>
          <w:rtl/>
        </w:rPr>
        <w:t>–</w:t>
      </w:r>
      <w:r w:rsidRPr="00AE3501">
        <w:rPr>
          <w:rFonts w:cs="David" w:hint="cs"/>
          <w:sz w:val="24"/>
          <w:szCs w:val="24"/>
          <w:rtl/>
        </w:rPr>
        <w:t xml:space="preserve"> האם אין כאן פרשנות דווקנית שפועלת נגד כוונת המחוקק שהתכוון שכל תהליך הרישום יכול להיעשות בכל לשכה ?</w:t>
      </w:r>
    </w:p>
    <w:p w:rsidR="00A66AA3" w:rsidRPr="00AE3501" w:rsidRDefault="00A66AA3" w:rsidP="00A17A2A">
      <w:pPr>
        <w:spacing w:after="120" w:line="360" w:lineRule="auto"/>
        <w:jc w:val="both"/>
        <w:rPr>
          <w:rFonts w:cs="David"/>
          <w:sz w:val="24"/>
          <w:szCs w:val="24"/>
          <w:rtl/>
        </w:rPr>
      </w:pPr>
    </w:p>
    <w:sectPr w:rsidR="00A66AA3" w:rsidRPr="00AE3501" w:rsidSect="00DF2BE7">
      <w:pgSz w:w="11906" w:h="16838"/>
      <w:pgMar w:top="1440" w:right="1800" w:bottom="1440" w:left="180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136" w:rsidRDefault="00890136" w:rsidP="003C041A">
      <w:pPr>
        <w:spacing w:after="0" w:line="240" w:lineRule="auto"/>
      </w:pPr>
      <w:r>
        <w:separator/>
      </w:r>
    </w:p>
  </w:endnote>
  <w:endnote w:type="continuationSeparator" w:id="0">
    <w:p w:rsidR="00890136" w:rsidRDefault="00890136" w:rsidP="003C0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136" w:rsidRDefault="00890136" w:rsidP="003C041A">
      <w:pPr>
        <w:spacing w:after="0" w:line="240" w:lineRule="auto"/>
      </w:pPr>
      <w:r>
        <w:separator/>
      </w:r>
    </w:p>
  </w:footnote>
  <w:footnote w:type="continuationSeparator" w:id="0">
    <w:p w:rsidR="00890136" w:rsidRDefault="00890136" w:rsidP="003C041A">
      <w:pPr>
        <w:spacing w:after="0" w:line="240" w:lineRule="auto"/>
      </w:pPr>
      <w:r>
        <w:continuationSeparator/>
      </w:r>
    </w:p>
  </w:footnote>
  <w:footnote w:id="1">
    <w:p w:rsidR="007263C3" w:rsidRDefault="007263C3" w:rsidP="000B6B2E">
      <w:pPr>
        <w:pStyle w:val="a4"/>
        <w:rPr>
          <w:rtl/>
        </w:rPr>
      </w:pPr>
      <w:r>
        <w:rPr>
          <w:rStyle w:val="a3"/>
        </w:rPr>
        <w:footnoteRef/>
      </w:r>
      <w:r>
        <w:rPr>
          <w:rtl/>
        </w:rPr>
        <w:t xml:space="preserve"> </w:t>
      </w:r>
      <w:r w:rsidR="00EB6C3D">
        <w:rPr>
          <w:rFonts w:hint="cs"/>
          <w:rtl/>
        </w:rPr>
        <w:t>לעניין זה, קובע ס</w:t>
      </w:r>
      <w:r w:rsidR="000B6B2E">
        <w:rPr>
          <w:rFonts w:hint="cs"/>
          <w:rtl/>
        </w:rPr>
        <w:t>עיף</w:t>
      </w:r>
      <w:r w:rsidR="00EB6C3D">
        <w:rPr>
          <w:rFonts w:hint="cs"/>
          <w:rtl/>
        </w:rPr>
        <w:t xml:space="preserve"> 2 לפקודה כי "</w:t>
      </w:r>
      <w:r w:rsidR="00EB6C3D">
        <w:rPr>
          <w:rStyle w:val="default"/>
          <w:rFonts w:cs="David" w:hint="cs"/>
          <w:sz w:val="20"/>
          <w:szCs w:val="20"/>
          <w:rtl/>
        </w:rPr>
        <w:t>'</w:t>
      </w:r>
      <w:r w:rsidR="00EB6C3D" w:rsidRPr="00EB6C3D">
        <w:rPr>
          <w:rStyle w:val="default"/>
          <w:rFonts w:cs="David"/>
          <w:sz w:val="20"/>
          <w:szCs w:val="20"/>
          <w:rtl/>
        </w:rPr>
        <w:t>ה</w:t>
      </w:r>
      <w:r w:rsidR="00EB6C3D" w:rsidRPr="00EB6C3D">
        <w:rPr>
          <w:rStyle w:val="default"/>
          <w:rFonts w:cs="David" w:hint="cs"/>
          <w:sz w:val="20"/>
          <w:szCs w:val="20"/>
          <w:rtl/>
        </w:rPr>
        <w:t>רשות הרושמת</w:t>
      </w:r>
      <w:r w:rsidR="00EB6C3D">
        <w:rPr>
          <w:rStyle w:val="default"/>
          <w:rFonts w:cs="David" w:hint="cs"/>
          <w:sz w:val="20"/>
          <w:szCs w:val="20"/>
          <w:rtl/>
        </w:rPr>
        <w:t>'</w:t>
      </w:r>
      <w:r w:rsidR="00EB6C3D" w:rsidRPr="00EB6C3D">
        <w:rPr>
          <w:rStyle w:val="default"/>
          <w:rFonts w:cs="David" w:hint="cs"/>
          <w:sz w:val="20"/>
          <w:szCs w:val="20"/>
          <w:rtl/>
        </w:rPr>
        <w:t xml:space="preserve"> פירושה הפקיד המסדר את הקידושין, אם היו </w:t>
      </w:r>
      <w:proofErr w:type="spellStart"/>
      <w:r w:rsidR="00EB6C3D" w:rsidRPr="00EB6C3D">
        <w:rPr>
          <w:rStyle w:val="default"/>
          <w:rFonts w:cs="David" w:hint="cs"/>
          <w:sz w:val="20"/>
          <w:szCs w:val="20"/>
          <w:rtl/>
        </w:rPr>
        <w:t>הנשואין</w:t>
      </w:r>
      <w:proofErr w:type="spellEnd"/>
      <w:r w:rsidR="00EB6C3D" w:rsidRPr="00EB6C3D">
        <w:rPr>
          <w:rStyle w:val="default"/>
          <w:rFonts w:cs="David" w:hint="cs"/>
          <w:sz w:val="20"/>
          <w:szCs w:val="20"/>
          <w:rtl/>
        </w:rPr>
        <w:t xml:space="preserve"> </w:t>
      </w:r>
      <w:proofErr w:type="spellStart"/>
      <w:r w:rsidR="00EB6C3D" w:rsidRPr="00EB6C3D">
        <w:rPr>
          <w:rStyle w:val="default"/>
          <w:rFonts w:cs="David" w:hint="cs"/>
          <w:sz w:val="20"/>
          <w:szCs w:val="20"/>
          <w:rtl/>
        </w:rPr>
        <w:t>נשואין</w:t>
      </w:r>
      <w:proofErr w:type="spellEnd"/>
      <w:r w:rsidR="00EB6C3D" w:rsidRPr="00EB6C3D">
        <w:rPr>
          <w:rStyle w:val="default"/>
          <w:rFonts w:cs="David" w:hint="cs"/>
          <w:sz w:val="20"/>
          <w:szCs w:val="20"/>
          <w:rtl/>
        </w:rPr>
        <w:t xml:space="preserve"> אזרחיים, האימם, </w:t>
      </w:r>
      <w:proofErr w:type="spellStart"/>
      <w:r w:rsidR="00EB6C3D" w:rsidRPr="00EB6C3D">
        <w:rPr>
          <w:rStyle w:val="default"/>
          <w:rFonts w:cs="David" w:hint="cs"/>
          <w:sz w:val="20"/>
          <w:szCs w:val="20"/>
          <w:rtl/>
        </w:rPr>
        <w:t>בנשואין</w:t>
      </w:r>
      <w:proofErr w:type="spellEnd"/>
      <w:r w:rsidR="00EB6C3D" w:rsidRPr="00EB6C3D">
        <w:rPr>
          <w:rStyle w:val="default"/>
          <w:rFonts w:cs="David" w:hint="cs"/>
          <w:sz w:val="20"/>
          <w:szCs w:val="20"/>
          <w:rtl/>
        </w:rPr>
        <w:t xml:space="preserve"> לפי דת </w:t>
      </w:r>
      <w:proofErr w:type="spellStart"/>
      <w:r w:rsidR="00EB6C3D" w:rsidRPr="00EB6C3D">
        <w:rPr>
          <w:rStyle w:val="default"/>
          <w:rFonts w:cs="David" w:hint="cs"/>
          <w:sz w:val="20"/>
          <w:szCs w:val="20"/>
          <w:rtl/>
        </w:rPr>
        <w:t>האיסלם</w:t>
      </w:r>
      <w:proofErr w:type="spellEnd"/>
      <w:r w:rsidR="00EB6C3D" w:rsidRPr="00EB6C3D">
        <w:rPr>
          <w:rStyle w:val="default"/>
          <w:rFonts w:cs="David" w:hint="cs"/>
          <w:sz w:val="20"/>
          <w:szCs w:val="20"/>
          <w:rtl/>
        </w:rPr>
        <w:t xml:space="preserve">, הכומר </w:t>
      </w:r>
      <w:proofErr w:type="spellStart"/>
      <w:r w:rsidR="00EB6C3D" w:rsidRPr="00EB6C3D">
        <w:rPr>
          <w:rStyle w:val="default"/>
          <w:rFonts w:cs="David" w:hint="cs"/>
          <w:sz w:val="20"/>
          <w:szCs w:val="20"/>
          <w:rtl/>
        </w:rPr>
        <w:t>בנשואין</w:t>
      </w:r>
      <w:proofErr w:type="spellEnd"/>
      <w:r w:rsidR="00EB6C3D" w:rsidRPr="00EB6C3D">
        <w:rPr>
          <w:rStyle w:val="default"/>
          <w:rFonts w:cs="David"/>
          <w:sz w:val="20"/>
          <w:szCs w:val="20"/>
          <w:rtl/>
        </w:rPr>
        <w:t xml:space="preserve"> </w:t>
      </w:r>
      <w:r w:rsidR="00EB6C3D" w:rsidRPr="00EB6C3D">
        <w:rPr>
          <w:rStyle w:val="default"/>
          <w:rFonts w:cs="David" w:hint="cs"/>
          <w:sz w:val="20"/>
          <w:szCs w:val="20"/>
          <w:rtl/>
        </w:rPr>
        <w:t xml:space="preserve">לפי דת הנצרות, הרב, </w:t>
      </w:r>
      <w:proofErr w:type="spellStart"/>
      <w:r w:rsidR="00EB6C3D" w:rsidRPr="00EB6C3D">
        <w:rPr>
          <w:rStyle w:val="default"/>
          <w:rFonts w:cs="David" w:hint="cs"/>
          <w:sz w:val="20"/>
          <w:szCs w:val="20"/>
          <w:rtl/>
        </w:rPr>
        <w:t>בנשואין</w:t>
      </w:r>
      <w:proofErr w:type="spellEnd"/>
      <w:r w:rsidR="00EB6C3D" w:rsidRPr="00EB6C3D">
        <w:rPr>
          <w:rStyle w:val="default"/>
          <w:rFonts w:cs="David" w:hint="cs"/>
          <w:sz w:val="20"/>
          <w:szCs w:val="20"/>
          <w:rtl/>
        </w:rPr>
        <w:t xml:space="preserve"> לפי דיני ישראל </w:t>
      </w:r>
      <w:proofErr w:type="spellStart"/>
      <w:r w:rsidR="00EB6C3D" w:rsidRPr="00EB6C3D">
        <w:rPr>
          <w:rStyle w:val="default"/>
          <w:rFonts w:cs="David" w:hint="cs"/>
          <w:sz w:val="20"/>
          <w:szCs w:val="20"/>
          <w:rtl/>
        </w:rPr>
        <w:t>והשיך</w:t>
      </w:r>
      <w:proofErr w:type="spellEnd"/>
      <w:r w:rsidR="00EB6C3D" w:rsidRPr="00EB6C3D">
        <w:rPr>
          <w:rStyle w:val="default"/>
          <w:rFonts w:cs="David" w:hint="cs"/>
          <w:sz w:val="20"/>
          <w:szCs w:val="20"/>
          <w:rtl/>
        </w:rPr>
        <w:t xml:space="preserve"> </w:t>
      </w:r>
      <w:r w:rsidR="00EB6C3D">
        <w:rPr>
          <w:rStyle w:val="default"/>
          <w:rFonts w:cs="David" w:hint="cs"/>
          <w:sz w:val="20"/>
          <w:szCs w:val="20"/>
          <w:rtl/>
        </w:rPr>
        <w:t xml:space="preserve">של השבט, </w:t>
      </w:r>
      <w:proofErr w:type="spellStart"/>
      <w:r w:rsidR="00EB6C3D">
        <w:rPr>
          <w:rStyle w:val="default"/>
          <w:rFonts w:cs="David" w:hint="cs"/>
          <w:sz w:val="20"/>
          <w:szCs w:val="20"/>
          <w:rtl/>
        </w:rPr>
        <w:t>בנשואין</w:t>
      </w:r>
      <w:proofErr w:type="spellEnd"/>
      <w:r w:rsidR="00EB6C3D">
        <w:rPr>
          <w:rStyle w:val="default"/>
          <w:rFonts w:cs="David" w:hint="cs"/>
          <w:sz w:val="20"/>
          <w:szCs w:val="20"/>
          <w:rtl/>
        </w:rPr>
        <w:t xml:space="preserve"> לפי דת הדרוזים".</w:t>
      </w:r>
    </w:p>
  </w:footnote>
  <w:footnote w:id="2">
    <w:p w:rsidR="00BD5A08" w:rsidRDefault="00BD5A08" w:rsidP="00420622">
      <w:pPr>
        <w:pStyle w:val="a4"/>
        <w:rPr>
          <w:rtl/>
        </w:rPr>
      </w:pPr>
      <w:r>
        <w:rPr>
          <w:rStyle w:val="a3"/>
        </w:rPr>
        <w:footnoteRef/>
      </w:r>
      <w:r>
        <w:rPr>
          <w:rtl/>
        </w:rPr>
        <w:t xml:space="preserve"> </w:t>
      </w:r>
      <w:r w:rsidR="00420622">
        <w:rPr>
          <w:rFonts w:hint="cs"/>
          <w:rtl/>
        </w:rPr>
        <w:t xml:space="preserve">המשרד לענייני דתות, חוזר המנכ"ל, </w:t>
      </w:r>
      <w:proofErr w:type="spellStart"/>
      <w:r w:rsidR="00420622">
        <w:rPr>
          <w:rFonts w:hint="cs"/>
          <w:rtl/>
        </w:rPr>
        <w:t>סג</w:t>
      </w:r>
      <w:proofErr w:type="spellEnd"/>
      <w:r w:rsidR="00420622">
        <w:rPr>
          <w:rFonts w:hint="cs"/>
          <w:rtl/>
        </w:rPr>
        <w:t xml:space="preserve">/1 (טבת תשס"ג-דצמבר 2002), סעיף 730. </w:t>
      </w:r>
    </w:p>
  </w:footnote>
  <w:footnote w:id="3">
    <w:p w:rsidR="00894C90" w:rsidRDefault="00894C90" w:rsidP="00894C90">
      <w:pPr>
        <w:pStyle w:val="a4"/>
      </w:pPr>
      <w:r>
        <w:rPr>
          <w:rStyle w:val="a3"/>
        </w:rPr>
        <w:footnoteRef/>
      </w:r>
      <w:r>
        <w:rPr>
          <w:rtl/>
        </w:rPr>
        <w:t xml:space="preserve"> </w:t>
      </w:r>
      <w:r w:rsidRPr="00894C90">
        <w:rPr>
          <w:rFonts w:hint="cs"/>
          <w:color w:val="auto"/>
          <w:sz w:val="20"/>
          <w:rtl/>
        </w:rPr>
        <w:t>ח</w:t>
      </w:r>
      <w:r>
        <w:rPr>
          <w:rFonts w:hint="cs"/>
          <w:color w:val="auto"/>
          <w:sz w:val="20"/>
          <w:rtl/>
        </w:rPr>
        <w:t xml:space="preserve">ברי הכנסת: </w:t>
      </w:r>
      <w:proofErr w:type="spellStart"/>
      <w:r w:rsidRPr="00894C90">
        <w:rPr>
          <w:rFonts w:hint="cs"/>
          <w:color w:val="auto"/>
          <w:sz w:val="20"/>
          <w:rtl/>
        </w:rPr>
        <w:t>פאינה</w:t>
      </w:r>
      <w:proofErr w:type="spellEnd"/>
      <w:r w:rsidRPr="00894C90">
        <w:rPr>
          <w:rFonts w:hint="cs"/>
          <w:color w:val="auto"/>
          <w:sz w:val="20"/>
          <w:rtl/>
        </w:rPr>
        <w:t xml:space="preserve"> קירשנבאום, זאב אלקין, איתן כבל ועינת </w:t>
      </w:r>
      <w:proofErr w:type="spellStart"/>
      <w:r w:rsidRPr="00894C90">
        <w:rPr>
          <w:rFonts w:hint="cs"/>
          <w:color w:val="auto"/>
          <w:sz w:val="20"/>
          <w:rtl/>
        </w:rPr>
        <w:t>וילף</w:t>
      </w:r>
      <w:proofErr w:type="spellEnd"/>
      <w:r>
        <w:rPr>
          <w:rFonts w:hint="cs"/>
          <w:color w:val="auto"/>
          <w:sz w:val="20"/>
          <w:rtl/>
        </w:rPr>
        <w:t>.</w:t>
      </w:r>
    </w:p>
  </w:footnote>
  <w:footnote w:id="4">
    <w:p w:rsidR="00B41AA0" w:rsidRDefault="00B41AA0" w:rsidP="00B04384">
      <w:pPr>
        <w:pStyle w:val="a4"/>
      </w:pPr>
      <w:r>
        <w:rPr>
          <w:rStyle w:val="a3"/>
        </w:rPr>
        <w:footnoteRef/>
      </w:r>
      <w:r>
        <w:rPr>
          <w:rtl/>
        </w:rPr>
        <w:t xml:space="preserve"> </w:t>
      </w:r>
      <w:r w:rsidRPr="00E067D6">
        <w:rPr>
          <w:rFonts w:hint="cs"/>
          <w:sz w:val="20"/>
          <w:rtl/>
        </w:rPr>
        <w:t xml:space="preserve">מתוך המציעים רשאי היה להביע הסכמה להחלת דין רציפות רק חבר הכנסת איתן כבל (יתר המציעים </w:t>
      </w:r>
      <w:r w:rsidR="00B04384">
        <w:rPr>
          <w:rFonts w:hint="cs"/>
          <w:sz w:val="20"/>
          <w:rtl/>
        </w:rPr>
        <w:t>שימשו כ</w:t>
      </w:r>
      <w:r w:rsidRPr="00E067D6">
        <w:rPr>
          <w:rFonts w:hint="cs"/>
          <w:sz w:val="20"/>
          <w:rtl/>
        </w:rPr>
        <w:t xml:space="preserve">סגני שרים או </w:t>
      </w:r>
      <w:r w:rsidR="00B04384">
        <w:rPr>
          <w:rFonts w:hint="cs"/>
          <w:sz w:val="20"/>
          <w:rtl/>
        </w:rPr>
        <w:t>שלא כיהנו</w:t>
      </w:r>
      <w:r w:rsidRPr="00E067D6">
        <w:rPr>
          <w:rFonts w:hint="cs"/>
          <w:sz w:val="20"/>
          <w:rtl/>
        </w:rPr>
        <w:t xml:space="preserve"> בכנסת).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949C1"/>
    <w:multiLevelType w:val="hybridMultilevel"/>
    <w:tmpl w:val="E5EAE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E02F4B"/>
    <w:multiLevelType w:val="hybridMultilevel"/>
    <w:tmpl w:val="1FB6CA0E"/>
    <w:lvl w:ilvl="0" w:tplc="7EA03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D06D02"/>
    <w:multiLevelType w:val="hybridMultilevel"/>
    <w:tmpl w:val="7F9A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CC2"/>
    <w:rsid w:val="000106EC"/>
    <w:rsid w:val="00042061"/>
    <w:rsid w:val="00057F05"/>
    <w:rsid w:val="00080444"/>
    <w:rsid w:val="000A0E0A"/>
    <w:rsid w:val="000B6B2E"/>
    <w:rsid w:val="000E4E05"/>
    <w:rsid w:val="000E71EB"/>
    <w:rsid w:val="000F2FA4"/>
    <w:rsid w:val="00114653"/>
    <w:rsid w:val="00120C75"/>
    <w:rsid w:val="00154C85"/>
    <w:rsid w:val="00156565"/>
    <w:rsid w:val="00167704"/>
    <w:rsid w:val="00176DDC"/>
    <w:rsid w:val="001A7166"/>
    <w:rsid w:val="001C38AA"/>
    <w:rsid w:val="001E1D44"/>
    <w:rsid w:val="00236732"/>
    <w:rsid w:val="002770CA"/>
    <w:rsid w:val="002A2E7F"/>
    <w:rsid w:val="00365F1F"/>
    <w:rsid w:val="003665C2"/>
    <w:rsid w:val="003C041A"/>
    <w:rsid w:val="003E1CC7"/>
    <w:rsid w:val="003E5F9C"/>
    <w:rsid w:val="00414472"/>
    <w:rsid w:val="00420622"/>
    <w:rsid w:val="00454A4A"/>
    <w:rsid w:val="0045687C"/>
    <w:rsid w:val="00465EC2"/>
    <w:rsid w:val="00484123"/>
    <w:rsid w:val="004B742E"/>
    <w:rsid w:val="004E48C8"/>
    <w:rsid w:val="004E4FCF"/>
    <w:rsid w:val="00516305"/>
    <w:rsid w:val="005400E6"/>
    <w:rsid w:val="005508D0"/>
    <w:rsid w:val="00580F85"/>
    <w:rsid w:val="005A25E7"/>
    <w:rsid w:val="005C0E86"/>
    <w:rsid w:val="005D032A"/>
    <w:rsid w:val="005E1382"/>
    <w:rsid w:val="005E1CDB"/>
    <w:rsid w:val="005F20AE"/>
    <w:rsid w:val="006244B7"/>
    <w:rsid w:val="00641E21"/>
    <w:rsid w:val="00656F2E"/>
    <w:rsid w:val="006D7D44"/>
    <w:rsid w:val="007263C3"/>
    <w:rsid w:val="0073116C"/>
    <w:rsid w:val="00736A52"/>
    <w:rsid w:val="00770DC0"/>
    <w:rsid w:val="00793057"/>
    <w:rsid w:val="007967E3"/>
    <w:rsid w:val="007B4725"/>
    <w:rsid w:val="007B68A2"/>
    <w:rsid w:val="007D5B0F"/>
    <w:rsid w:val="007F4735"/>
    <w:rsid w:val="008038C8"/>
    <w:rsid w:val="00890136"/>
    <w:rsid w:val="00894C90"/>
    <w:rsid w:val="008E27CF"/>
    <w:rsid w:val="00901097"/>
    <w:rsid w:val="00911BD6"/>
    <w:rsid w:val="0093639E"/>
    <w:rsid w:val="009B3087"/>
    <w:rsid w:val="009F2C0B"/>
    <w:rsid w:val="00A07F5D"/>
    <w:rsid w:val="00A10E51"/>
    <w:rsid w:val="00A17A2A"/>
    <w:rsid w:val="00A33A10"/>
    <w:rsid w:val="00A546FA"/>
    <w:rsid w:val="00A66AA3"/>
    <w:rsid w:val="00A77BFF"/>
    <w:rsid w:val="00A8002E"/>
    <w:rsid w:val="00A82E5F"/>
    <w:rsid w:val="00AB4503"/>
    <w:rsid w:val="00AC237E"/>
    <w:rsid w:val="00AE3501"/>
    <w:rsid w:val="00B04384"/>
    <w:rsid w:val="00B41AA0"/>
    <w:rsid w:val="00B44021"/>
    <w:rsid w:val="00B62321"/>
    <w:rsid w:val="00B62AB2"/>
    <w:rsid w:val="00B64F48"/>
    <w:rsid w:val="00BD5A08"/>
    <w:rsid w:val="00BE5CC2"/>
    <w:rsid w:val="00C05814"/>
    <w:rsid w:val="00C26FA7"/>
    <w:rsid w:val="00C344CD"/>
    <w:rsid w:val="00C47820"/>
    <w:rsid w:val="00C92681"/>
    <w:rsid w:val="00CA508E"/>
    <w:rsid w:val="00CC0859"/>
    <w:rsid w:val="00CE7D11"/>
    <w:rsid w:val="00CF6F46"/>
    <w:rsid w:val="00D00466"/>
    <w:rsid w:val="00D42740"/>
    <w:rsid w:val="00D84814"/>
    <w:rsid w:val="00D86136"/>
    <w:rsid w:val="00DB233C"/>
    <w:rsid w:val="00DC71DA"/>
    <w:rsid w:val="00DE417C"/>
    <w:rsid w:val="00DE56B4"/>
    <w:rsid w:val="00DF2BE7"/>
    <w:rsid w:val="00E067D6"/>
    <w:rsid w:val="00E07946"/>
    <w:rsid w:val="00E12BE4"/>
    <w:rsid w:val="00E12E42"/>
    <w:rsid w:val="00EB6C3D"/>
    <w:rsid w:val="00EC2658"/>
    <w:rsid w:val="00EC447B"/>
    <w:rsid w:val="00EC57E3"/>
    <w:rsid w:val="00ED0BB0"/>
    <w:rsid w:val="00ED5495"/>
    <w:rsid w:val="00F06842"/>
    <w:rsid w:val="00F360B6"/>
    <w:rsid w:val="00F434B9"/>
    <w:rsid w:val="00F47345"/>
    <w:rsid w:val="00F559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sber">
    <w:name w:val="Hesber"/>
    <w:basedOn w:val="a"/>
    <w:rsid w:val="003C041A"/>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Writers">
    <w:name w:val="Hesber Writers"/>
    <w:basedOn w:val="Hesber"/>
    <w:rsid w:val="003C041A"/>
    <w:pPr>
      <w:spacing w:before="120" w:after="6000"/>
      <w:ind w:left="1418" w:firstLine="0"/>
      <w:jc w:val="right"/>
    </w:pPr>
    <w:rPr>
      <w:b/>
      <w:bCs/>
    </w:rPr>
  </w:style>
  <w:style w:type="character" w:styleId="a3">
    <w:name w:val="footnote reference"/>
    <w:uiPriority w:val="99"/>
    <w:semiHidden/>
    <w:rsid w:val="003C041A"/>
    <w:rPr>
      <w:vertAlign w:val="superscript"/>
    </w:rPr>
  </w:style>
  <w:style w:type="paragraph" w:styleId="a4">
    <w:name w:val="footnote text"/>
    <w:basedOn w:val="a"/>
    <w:link w:val="a5"/>
    <w:autoRedefine/>
    <w:uiPriority w:val="99"/>
    <w:semiHidden/>
    <w:rsid w:val="007967E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uiPriority w:val="99"/>
    <w:semiHidden/>
    <w:rsid w:val="007967E3"/>
    <w:rPr>
      <w:rFonts w:ascii="Arial" w:eastAsia="Arial Unicode MS" w:hAnsi="Arial" w:cs="David"/>
      <w:snapToGrid w:val="0"/>
      <w:color w:val="000000"/>
      <w:sz w:val="14"/>
      <w:szCs w:val="20"/>
      <w:lang w:eastAsia="ja-JP"/>
    </w:rPr>
  </w:style>
  <w:style w:type="paragraph" w:customStyle="1" w:styleId="HeadHatzaotHok">
    <w:name w:val="Head HatzaotHok"/>
    <w:basedOn w:val="a"/>
    <w:rsid w:val="003C041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6">
    <w:name w:val="List Paragraph"/>
    <w:basedOn w:val="a"/>
    <w:uiPriority w:val="34"/>
    <w:qFormat/>
    <w:rsid w:val="003C041A"/>
    <w:pPr>
      <w:ind w:left="720"/>
      <w:contextualSpacing/>
    </w:pPr>
  </w:style>
  <w:style w:type="paragraph" w:customStyle="1" w:styleId="TableText">
    <w:name w:val="Table Text"/>
    <w:basedOn w:val="a"/>
    <w:rsid w:val="00ED5495"/>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ED5495"/>
    <w:pPr>
      <w:ind w:right="0"/>
      <w:jc w:val="both"/>
    </w:pPr>
  </w:style>
  <w:style w:type="paragraph" w:customStyle="1" w:styleId="TableSideHeading">
    <w:name w:val="Table SideHeading"/>
    <w:basedOn w:val="TableText"/>
    <w:rsid w:val="00ED5495"/>
  </w:style>
  <w:style w:type="paragraph" w:customStyle="1" w:styleId="TableInnerSideHeading">
    <w:name w:val="Table InnerSideHeading"/>
    <w:basedOn w:val="TableSideHeading"/>
    <w:rsid w:val="00ED5495"/>
  </w:style>
  <w:style w:type="paragraph" w:customStyle="1" w:styleId="big-header">
    <w:name w:val="big-header"/>
    <w:basedOn w:val="a"/>
    <w:rsid w:val="00C4782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rsid w:val="00C4782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47820"/>
    <w:rPr>
      <w:rFonts w:ascii="Times New Roman" w:hAnsi="Times New Roman" w:cs="Times New Roman"/>
      <w:sz w:val="26"/>
      <w:szCs w:val="26"/>
    </w:rPr>
  </w:style>
  <w:style w:type="character" w:customStyle="1" w:styleId="big-number">
    <w:name w:val="big-number"/>
    <w:rsid w:val="00C47820"/>
    <w:rPr>
      <w:rFonts w:ascii="Times New Roman" w:hAnsi="Times New Roman" w:cs="Times New Roman"/>
      <w:sz w:val="32"/>
      <w:szCs w:val="32"/>
    </w:rPr>
  </w:style>
  <w:style w:type="paragraph" w:customStyle="1" w:styleId="footnote">
    <w:name w:val="footnote"/>
    <w:basedOn w:val="P00"/>
    <w:rsid w:val="00C47820"/>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C4782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sber">
    <w:name w:val="Hesber"/>
    <w:basedOn w:val="a"/>
    <w:rsid w:val="003C041A"/>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Writers">
    <w:name w:val="Hesber Writers"/>
    <w:basedOn w:val="Hesber"/>
    <w:rsid w:val="003C041A"/>
    <w:pPr>
      <w:spacing w:before="120" w:after="6000"/>
      <w:ind w:left="1418" w:firstLine="0"/>
      <w:jc w:val="right"/>
    </w:pPr>
    <w:rPr>
      <w:b/>
      <w:bCs/>
    </w:rPr>
  </w:style>
  <w:style w:type="character" w:styleId="a3">
    <w:name w:val="footnote reference"/>
    <w:uiPriority w:val="99"/>
    <w:semiHidden/>
    <w:rsid w:val="003C041A"/>
    <w:rPr>
      <w:vertAlign w:val="superscript"/>
    </w:rPr>
  </w:style>
  <w:style w:type="paragraph" w:styleId="a4">
    <w:name w:val="footnote text"/>
    <w:basedOn w:val="a"/>
    <w:link w:val="a5"/>
    <w:autoRedefine/>
    <w:uiPriority w:val="99"/>
    <w:semiHidden/>
    <w:rsid w:val="007967E3"/>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uiPriority w:val="99"/>
    <w:semiHidden/>
    <w:rsid w:val="007967E3"/>
    <w:rPr>
      <w:rFonts w:ascii="Arial" w:eastAsia="Arial Unicode MS" w:hAnsi="Arial" w:cs="David"/>
      <w:snapToGrid w:val="0"/>
      <w:color w:val="000000"/>
      <w:sz w:val="14"/>
      <w:szCs w:val="20"/>
      <w:lang w:eastAsia="ja-JP"/>
    </w:rPr>
  </w:style>
  <w:style w:type="paragraph" w:customStyle="1" w:styleId="HeadHatzaotHok">
    <w:name w:val="Head HatzaotHok"/>
    <w:basedOn w:val="a"/>
    <w:rsid w:val="003C041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6">
    <w:name w:val="List Paragraph"/>
    <w:basedOn w:val="a"/>
    <w:uiPriority w:val="34"/>
    <w:qFormat/>
    <w:rsid w:val="003C041A"/>
    <w:pPr>
      <w:ind w:left="720"/>
      <w:contextualSpacing/>
    </w:pPr>
  </w:style>
  <w:style w:type="paragraph" w:customStyle="1" w:styleId="TableText">
    <w:name w:val="Table Text"/>
    <w:basedOn w:val="a"/>
    <w:rsid w:val="00ED5495"/>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ED5495"/>
    <w:pPr>
      <w:ind w:right="0"/>
      <w:jc w:val="both"/>
    </w:pPr>
  </w:style>
  <w:style w:type="paragraph" w:customStyle="1" w:styleId="TableSideHeading">
    <w:name w:val="Table SideHeading"/>
    <w:basedOn w:val="TableText"/>
    <w:rsid w:val="00ED5495"/>
  </w:style>
  <w:style w:type="paragraph" w:customStyle="1" w:styleId="TableInnerSideHeading">
    <w:name w:val="Table InnerSideHeading"/>
    <w:basedOn w:val="TableSideHeading"/>
    <w:rsid w:val="00ED5495"/>
  </w:style>
  <w:style w:type="paragraph" w:customStyle="1" w:styleId="big-header">
    <w:name w:val="big-header"/>
    <w:basedOn w:val="a"/>
    <w:rsid w:val="00C4782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rsid w:val="00C4782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C47820"/>
    <w:rPr>
      <w:rFonts w:ascii="Times New Roman" w:hAnsi="Times New Roman" w:cs="Times New Roman"/>
      <w:sz w:val="26"/>
      <w:szCs w:val="26"/>
    </w:rPr>
  </w:style>
  <w:style w:type="character" w:customStyle="1" w:styleId="big-number">
    <w:name w:val="big-number"/>
    <w:rsid w:val="00C47820"/>
    <w:rPr>
      <w:rFonts w:ascii="Times New Roman" w:hAnsi="Times New Roman" w:cs="Times New Roman"/>
      <w:sz w:val="32"/>
      <w:szCs w:val="32"/>
    </w:rPr>
  </w:style>
  <w:style w:type="paragraph" w:customStyle="1" w:styleId="footnote">
    <w:name w:val="footnote"/>
    <w:basedOn w:val="P00"/>
    <w:rsid w:val="00C47820"/>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rsid w:val="00C478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39D9C-D293-4A09-AE29-E8D67753F5DA}"/>
</file>

<file path=customXml/itemProps2.xml><?xml version="1.0" encoding="utf-8"?>
<ds:datastoreItem xmlns:ds="http://schemas.openxmlformats.org/officeDocument/2006/customXml" ds:itemID="{A977530E-F7FB-4C0C-8DCA-144CE3349991}"/>
</file>

<file path=customXml/itemProps3.xml><?xml version="1.0" encoding="utf-8"?>
<ds:datastoreItem xmlns:ds="http://schemas.openxmlformats.org/officeDocument/2006/customXml" ds:itemID="{211F7A06-3C2D-4DC0-B5BD-4C8E34869B64}"/>
</file>

<file path=docProps/app.xml><?xml version="1.0" encoding="utf-8"?>
<Properties xmlns="http://schemas.openxmlformats.org/officeDocument/2006/extended-properties" xmlns:vt="http://schemas.openxmlformats.org/officeDocument/2006/docPropsVTypes">
  <Template>Normal</Template>
  <TotalTime>72</TotalTime>
  <Pages>2</Pages>
  <Words>478</Words>
  <Characters>2392</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אלעזר שטרן</cp:lastModifiedBy>
  <cp:revision>34</cp:revision>
  <dcterms:created xsi:type="dcterms:W3CDTF">2015-06-03T08:39:00Z</dcterms:created>
  <dcterms:modified xsi:type="dcterms:W3CDTF">2015-06-04T10:57:00Z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