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C7D" w:rsidRPr="000C6542" w:rsidRDefault="005E2C7D" w:rsidP="005E2C7D">
      <w:pPr>
        <w:tabs>
          <w:tab w:val="right" w:pos="9638"/>
        </w:tabs>
        <w:autoSpaceDE w:val="0"/>
        <w:autoSpaceDN w:val="0"/>
        <w:spacing w:after="0" w:line="240" w:lineRule="auto"/>
        <w:ind w:left="0"/>
        <w:jc w:val="right"/>
        <w:rPr>
          <w:rFonts w:eastAsia="Times New Roman" w:cs="David"/>
          <w:sz w:val="24"/>
          <w:szCs w:val="24"/>
          <w:rtl/>
          <w:lang w:eastAsia="he-IL"/>
        </w:rPr>
      </w:pPr>
      <w:bookmarkStart w:id="0" w:name="_GoBack"/>
      <w:bookmarkEnd w:id="0"/>
      <w:r w:rsidRPr="000C6542">
        <w:rPr>
          <w:rFonts w:eastAsia="Times New Roman" w:cs="David" w:hint="eastAsia"/>
          <w:sz w:val="24"/>
          <w:szCs w:val="24"/>
          <w:rtl/>
          <w:lang w:eastAsia="he-IL"/>
        </w:rPr>
        <w:t>י</w:t>
      </w:r>
      <w:r w:rsidRPr="000C6542">
        <w:rPr>
          <w:rFonts w:eastAsia="Times New Roman" w:cs="David"/>
          <w:sz w:val="24"/>
          <w:szCs w:val="24"/>
          <w:rtl/>
          <w:lang w:eastAsia="he-IL"/>
        </w:rPr>
        <w:t>"ז סיון תשע"ה</w:t>
      </w:r>
    </w:p>
    <w:p w:rsidR="005E2C7D" w:rsidRPr="000C6542" w:rsidRDefault="005E2C7D" w:rsidP="005E2C7D">
      <w:pPr>
        <w:autoSpaceDE w:val="0"/>
        <w:autoSpaceDN w:val="0"/>
        <w:spacing w:after="0" w:line="240" w:lineRule="auto"/>
        <w:ind w:left="0"/>
        <w:jc w:val="right"/>
        <w:rPr>
          <w:rFonts w:eastAsia="Times New Roman" w:cs="David"/>
          <w:sz w:val="24"/>
          <w:szCs w:val="24"/>
          <w:rtl/>
          <w:lang w:eastAsia="he-IL"/>
        </w:rPr>
      </w:pPr>
      <w:r w:rsidRPr="000C6542">
        <w:rPr>
          <w:rFonts w:eastAsia="Times New Roman" w:cs="David" w:hint="eastAsia"/>
          <w:sz w:val="24"/>
          <w:szCs w:val="24"/>
          <w:rtl/>
          <w:lang w:eastAsia="he-IL"/>
        </w:rPr>
        <w:t>‏</w:t>
      </w:r>
      <w:r w:rsidRPr="000C6542">
        <w:rPr>
          <w:rFonts w:eastAsia="Times New Roman" w:cs="David"/>
          <w:sz w:val="24"/>
          <w:szCs w:val="24"/>
          <w:rtl/>
          <w:lang w:eastAsia="he-IL"/>
        </w:rPr>
        <w:t>04 יוני 2015</w:t>
      </w:r>
    </w:p>
    <w:p w:rsidR="005E2C7D" w:rsidRPr="000C6542" w:rsidRDefault="005E2C7D" w:rsidP="005E2C7D">
      <w:pPr>
        <w:autoSpaceDE w:val="0"/>
        <w:autoSpaceDN w:val="0"/>
        <w:spacing w:after="0" w:line="240" w:lineRule="auto"/>
        <w:ind w:left="0"/>
        <w:jc w:val="both"/>
        <w:rPr>
          <w:rFonts w:ascii="Times New Roman" w:eastAsia="Times New Roman" w:hAnsi="Times New Roman" w:cs="David"/>
          <w:sz w:val="24"/>
          <w:szCs w:val="24"/>
          <w:rtl/>
          <w:lang w:eastAsia="he-IL"/>
        </w:rPr>
      </w:pPr>
      <w:r w:rsidRPr="000C6542">
        <w:rPr>
          <w:rFonts w:ascii="Times New Roman" w:eastAsia="Times New Roman" w:hAnsi="Times New Roman" w:cs="David"/>
          <w:sz w:val="24"/>
          <w:szCs w:val="24"/>
          <w:u w:val="single"/>
          <w:rtl/>
          <w:lang w:eastAsia="he-IL"/>
        </w:rPr>
        <w:t>אל</w:t>
      </w:r>
      <w:r w:rsidRPr="000C6542">
        <w:rPr>
          <w:rFonts w:ascii="Times New Roman" w:eastAsia="Times New Roman" w:hAnsi="Times New Roman" w:cs="David"/>
          <w:sz w:val="24"/>
          <w:szCs w:val="24"/>
          <w:rtl/>
          <w:lang w:eastAsia="he-IL"/>
        </w:rPr>
        <w:t>: חברי ועדת החוקה, חוק ומשפט</w:t>
      </w:r>
    </w:p>
    <w:p w:rsidR="005E2C7D" w:rsidRPr="000C6542" w:rsidRDefault="005E2C7D" w:rsidP="005E2C7D">
      <w:pPr>
        <w:autoSpaceDE w:val="0"/>
        <w:autoSpaceDN w:val="0"/>
        <w:spacing w:after="0" w:line="240" w:lineRule="auto"/>
        <w:ind w:left="0"/>
        <w:jc w:val="both"/>
        <w:rPr>
          <w:rFonts w:ascii="Times New Roman" w:eastAsia="Times New Roman" w:hAnsi="Times New Roman" w:cs="David"/>
          <w:sz w:val="24"/>
          <w:szCs w:val="24"/>
          <w:rtl/>
          <w:lang w:eastAsia="he-IL"/>
        </w:rPr>
      </w:pPr>
      <w:r w:rsidRPr="000C6542">
        <w:rPr>
          <w:rFonts w:ascii="Times New Roman" w:eastAsia="Times New Roman" w:hAnsi="Times New Roman" w:cs="David"/>
          <w:sz w:val="24"/>
          <w:szCs w:val="24"/>
          <w:u w:val="single"/>
          <w:rtl/>
          <w:lang w:eastAsia="he-IL"/>
        </w:rPr>
        <w:t>מאת</w:t>
      </w:r>
      <w:r w:rsidRPr="000C6542">
        <w:rPr>
          <w:rFonts w:ascii="Times New Roman" w:eastAsia="Times New Roman" w:hAnsi="Times New Roman" w:cs="David"/>
          <w:sz w:val="24"/>
          <w:szCs w:val="24"/>
          <w:rtl/>
          <w:lang w:eastAsia="he-IL"/>
        </w:rPr>
        <w:t>: הייעוץ המשפטי לוועדה</w:t>
      </w:r>
    </w:p>
    <w:p w:rsidR="005E2C7D" w:rsidRDefault="005E2C7D" w:rsidP="00AC2A5C">
      <w:pPr>
        <w:spacing w:after="0" w:line="240" w:lineRule="auto"/>
        <w:ind w:right="-567"/>
        <w:jc w:val="both"/>
        <w:rPr>
          <w:rFonts w:ascii="Garamond" w:hAnsi="Garamond" w:cs="FrankRuehl"/>
          <w:b/>
          <w:bCs/>
          <w:sz w:val="26"/>
          <w:szCs w:val="26"/>
          <w:u w:val="single"/>
          <w:rtl/>
        </w:rPr>
      </w:pPr>
    </w:p>
    <w:p w:rsidR="00577A43" w:rsidRPr="00D75B3F" w:rsidRDefault="005E2C7D" w:rsidP="00577A43">
      <w:pPr>
        <w:keepNext/>
        <w:keepLines/>
        <w:tabs>
          <w:tab w:val="left" w:pos="4071"/>
          <w:tab w:val="center" w:pos="4819"/>
        </w:tabs>
        <w:snapToGrid w:val="0"/>
        <w:spacing w:line="360" w:lineRule="auto"/>
        <w:jc w:val="center"/>
        <w:rPr>
          <w:rFonts w:ascii="Arial" w:eastAsia="Calibri" w:hAnsi="Arial" w:cs="David"/>
          <w:b/>
          <w:bCs/>
          <w:sz w:val="24"/>
          <w:szCs w:val="24"/>
          <w:rtl/>
        </w:rPr>
      </w:pPr>
      <w:r>
        <w:rPr>
          <w:rFonts w:ascii="Arial" w:eastAsia="Calibri" w:hAnsi="Arial" w:cs="David" w:hint="cs"/>
          <w:b/>
          <w:bCs/>
          <w:sz w:val="24"/>
          <w:szCs w:val="24"/>
          <w:u w:val="single"/>
          <w:rtl/>
        </w:rPr>
        <w:t xml:space="preserve">סעיפי </w:t>
      </w:r>
      <w:r w:rsidR="00697936">
        <w:rPr>
          <w:rFonts w:ascii="Arial" w:eastAsia="Calibri" w:hAnsi="Arial" w:cs="David" w:hint="cs"/>
          <w:b/>
          <w:bCs/>
          <w:sz w:val="24"/>
          <w:szCs w:val="24"/>
          <w:u w:val="single"/>
          <w:rtl/>
        </w:rPr>
        <w:t>חוק רלבנטיים</w:t>
      </w:r>
      <w:r w:rsidRPr="00D75B3F">
        <w:rPr>
          <w:rFonts w:ascii="Arial" w:eastAsia="Calibri" w:hAnsi="Arial" w:cs="David" w:hint="cs"/>
          <w:b/>
          <w:bCs/>
          <w:sz w:val="24"/>
          <w:szCs w:val="24"/>
          <w:u w:val="single"/>
          <w:rtl/>
        </w:rPr>
        <w:t xml:space="preserve"> לדיון </w:t>
      </w:r>
      <w:r w:rsidR="00577A43" w:rsidRPr="00D75B3F">
        <w:rPr>
          <w:rFonts w:ascii="Arial" w:eastAsia="Calibri" w:hAnsi="Arial" w:cs="David" w:hint="cs"/>
          <w:b/>
          <w:bCs/>
          <w:sz w:val="24"/>
          <w:szCs w:val="24"/>
          <w:u w:val="single"/>
          <w:rtl/>
        </w:rPr>
        <w:t xml:space="preserve">מעקב </w:t>
      </w:r>
      <w:r w:rsidR="00577A43" w:rsidRPr="009F6050">
        <w:rPr>
          <w:rFonts w:ascii="Arial" w:eastAsia="Calibri" w:hAnsi="Arial" w:cs="David"/>
          <w:b/>
          <w:bCs/>
          <w:sz w:val="24"/>
          <w:szCs w:val="24"/>
          <w:u w:val="single"/>
          <w:rtl/>
        </w:rPr>
        <w:t>ליישומו של חוק סדר הדין</w:t>
      </w:r>
      <w:r w:rsidR="00577A43">
        <w:rPr>
          <w:rFonts w:ascii="Arial" w:eastAsia="Calibri" w:hAnsi="Arial" w:cs="David"/>
          <w:b/>
          <w:bCs/>
          <w:sz w:val="24"/>
          <w:szCs w:val="24"/>
          <w:u w:val="single"/>
          <w:rtl/>
        </w:rPr>
        <w:t xml:space="preserve"> הפלילי (תיקון מס'</w:t>
      </w:r>
      <w:r w:rsidR="00577A43" w:rsidRPr="009F6050">
        <w:rPr>
          <w:rFonts w:ascii="Arial" w:eastAsia="Calibri" w:hAnsi="Arial" w:cs="David"/>
          <w:b/>
          <w:bCs/>
          <w:sz w:val="24"/>
          <w:szCs w:val="24"/>
          <w:u w:val="single"/>
          <w:rtl/>
        </w:rPr>
        <w:t xml:space="preserve"> 66), </w:t>
      </w:r>
      <w:proofErr w:type="spellStart"/>
      <w:r w:rsidR="00577A43" w:rsidRPr="009F6050">
        <w:rPr>
          <w:rFonts w:ascii="Arial" w:eastAsia="Calibri" w:hAnsi="Arial" w:cs="David"/>
          <w:b/>
          <w:bCs/>
          <w:sz w:val="24"/>
          <w:szCs w:val="24"/>
          <w:u w:val="single"/>
          <w:rtl/>
        </w:rPr>
        <w:t>התשע"ב</w:t>
      </w:r>
      <w:proofErr w:type="spellEnd"/>
      <w:r w:rsidR="00577A43">
        <w:rPr>
          <w:rFonts w:ascii="Arial" w:eastAsia="Calibri" w:hAnsi="Arial" w:cs="David" w:hint="cs"/>
          <w:b/>
          <w:bCs/>
          <w:sz w:val="24"/>
          <w:szCs w:val="24"/>
          <w:u w:val="single"/>
          <w:rtl/>
        </w:rPr>
        <w:t>–</w:t>
      </w:r>
      <w:r w:rsidR="00577A43" w:rsidRPr="009F6050">
        <w:rPr>
          <w:rFonts w:ascii="Arial" w:eastAsia="Calibri" w:hAnsi="Arial" w:cs="David"/>
          <w:b/>
          <w:bCs/>
          <w:sz w:val="24"/>
          <w:szCs w:val="24"/>
          <w:u w:val="single"/>
          <w:rtl/>
        </w:rPr>
        <w:t>2012</w:t>
      </w:r>
      <w:r w:rsidR="00577A43">
        <w:rPr>
          <w:rFonts w:ascii="Arial" w:eastAsia="Calibri" w:hAnsi="Arial" w:cs="David" w:hint="cs"/>
          <w:b/>
          <w:bCs/>
          <w:sz w:val="24"/>
          <w:szCs w:val="24"/>
          <w:u w:val="single"/>
          <w:rtl/>
        </w:rPr>
        <w:t>,</w:t>
      </w:r>
      <w:r w:rsidR="00577A43" w:rsidRPr="00D75B3F">
        <w:rPr>
          <w:rFonts w:ascii="Arial" w:eastAsia="Calibri" w:hAnsi="Arial" w:cs="David" w:hint="cs"/>
          <w:b/>
          <w:bCs/>
          <w:sz w:val="24"/>
          <w:szCs w:val="24"/>
          <w:u w:val="single"/>
          <w:rtl/>
        </w:rPr>
        <w:t xml:space="preserve"> </w:t>
      </w:r>
      <w:r w:rsidR="00577A43" w:rsidRPr="00D75B3F">
        <w:rPr>
          <w:rFonts w:ascii="Arial" w:eastAsia="Calibri" w:hAnsi="Arial" w:cs="David"/>
          <w:b/>
          <w:bCs/>
          <w:sz w:val="24"/>
          <w:szCs w:val="24"/>
          <w:u w:val="single"/>
          <w:rtl/>
        </w:rPr>
        <w:t>הסדר לסגירת תיק</w:t>
      </w:r>
      <w:r w:rsidR="00577A43">
        <w:rPr>
          <w:rFonts w:ascii="Arial" w:eastAsia="Calibri" w:hAnsi="Arial" w:cs="David" w:hint="cs"/>
          <w:b/>
          <w:bCs/>
          <w:sz w:val="24"/>
          <w:szCs w:val="24"/>
          <w:u w:val="single"/>
          <w:rtl/>
        </w:rPr>
        <w:t xml:space="preserve"> –</w:t>
      </w:r>
      <w:r w:rsidR="00577A43" w:rsidRPr="009F6050">
        <w:rPr>
          <w:rFonts w:ascii="Arial" w:eastAsia="Calibri" w:hAnsi="Arial" w:cs="David" w:hint="cs"/>
          <w:b/>
          <w:bCs/>
          <w:sz w:val="24"/>
          <w:szCs w:val="24"/>
          <w:u w:val="single"/>
          <w:rtl/>
        </w:rPr>
        <w:t xml:space="preserve"> </w:t>
      </w:r>
      <w:r w:rsidR="00577A43">
        <w:rPr>
          <w:rFonts w:ascii="Arial" w:eastAsia="Calibri" w:hAnsi="Arial" w:cs="David" w:hint="cs"/>
          <w:b/>
          <w:bCs/>
          <w:sz w:val="24"/>
          <w:szCs w:val="24"/>
          <w:u w:val="single"/>
          <w:rtl/>
        </w:rPr>
        <w:t xml:space="preserve">שקבוע ביום 9.7.15 </w:t>
      </w:r>
    </w:p>
    <w:p w:rsidR="005E2C7D" w:rsidRDefault="005E2C7D" w:rsidP="00577A43">
      <w:pPr>
        <w:keepNext/>
        <w:keepLines/>
        <w:tabs>
          <w:tab w:val="left" w:pos="4071"/>
          <w:tab w:val="center" w:pos="4819"/>
        </w:tabs>
        <w:snapToGrid w:val="0"/>
        <w:spacing w:line="360" w:lineRule="auto"/>
        <w:jc w:val="center"/>
        <w:rPr>
          <w:rFonts w:ascii="Garamond" w:hAnsi="Garamond" w:cs="FrankRuehl"/>
          <w:b/>
          <w:bCs/>
          <w:sz w:val="26"/>
          <w:szCs w:val="26"/>
          <w:u w:val="single"/>
          <w:rtl/>
        </w:rPr>
      </w:pPr>
    </w:p>
    <w:p w:rsidR="000C4ACE" w:rsidRPr="00525707" w:rsidRDefault="000C4ACE" w:rsidP="00AC2A5C">
      <w:pPr>
        <w:spacing w:after="0" w:line="240" w:lineRule="auto"/>
        <w:ind w:right="-567"/>
        <w:jc w:val="both"/>
        <w:rPr>
          <w:rFonts w:ascii="Garamond" w:hAnsi="Garamond" w:cs="FrankRuehl"/>
          <w:b/>
          <w:bCs/>
          <w:sz w:val="26"/>
          <w:szCs w:val="26"/>
          <w:u w:val="single"/>
          <w:rtl/>
        </w:rPr>
      </w:pPr>
      <w:r w:rsidRPr="00525707">
        <w:rPr>
          <w:rFonts w:ascii="Garamond" w:hAnsi="Garamond" w:cs="FrankRuehl"/>
          <w:b/>
          <w:bCs/>
          <w:sz w:val="26"/>
          <w:szCs w:val="26"/>
          <w:u w:val="single"/>
          <w:rtl/>
        </w:rPr>
        <w:t>חוק סדר הדין הפלילי [נוסח משולב], תשמ"ב-1982</w:t>
      </w:r>
    </w:p>
    <w:p w:rsidR="000C4ACE" w:rsidRPr="00525707" w:rsidRDefault="000C4ACE" w:rsidP="00AC2A5C">
      <w:pPr>
        <w:spacing w:after="0" w:line="240" w:lineRule="auto"/>
        <w:ind w:right="-567"/>
        <w:jc w:val="both"/>
        <w:rPr>
          <w:rFonts w:ascii="Garamond" w:hAnsi="Garamond" w:cs="FrankRuehl"/>
          <w:sz w:val="26"/>
          <w:szCs w:val="26"/>
          <w:rtl/>
        </w:rPr>
      </w:pPr>
    </w:p>
    <w:p w:rsidR="000C4ACE" w:rsidRPr="00525707" w:rsidRDefault="000C4ACE" w:rsidP="00AC2A5C">
      <w:pPr>
        <w:spacing w:after="0" w:line="240" w:lineRule="auto"/>
        <w:ind w:right="-567"/>
        <w:jc w:val="both"/>
        <w:rPr>
          <w:rFonts w:ascii="Garamond" w:hAnsi="Garamond" w:cs="FrankRuehl"/>
          <w:sz w:val="26"/>
          <w:szCs w:val="26"/>
        </w:rPr>
      </w:pPr>
      <w:r w:rsidRPr="00525707">
        <w:rPr>
          <w:rFonts w:ascii="Garamond" w:hAnsi="Garamond" w:cs="FrankRuehl" w:hint="cs"/>
          <w:sz w:val="26"/>
          <w:szCs w:val="26"/>
          <w:rtl/>
        </w:rPr>
        <w:t>סימן א'1: סגירת תיק בהסדר</w:t>
      </w:r>
    </w:p>
    <w:p w:rsidR="000C4ACE" w:rsidRPr="00525707" w:rsidRDefault="000C4ACE" w:rsidP="00AC2A5C">
      <w:pPr>
        <w:spacing w:after="0" w:line="240" w:lineRule="auto"/>
        <w:ind w:right="-567"/>
        <w:jc w:val="both"/>
        <w:rPr>
          <w:rFonts w:ascii="Garamond" w:hAnsi="Garamond" w:cs="FrankRuehl"/>
          <w:sz w:val="26"/>
          <w:szCs w:val="26"/>
          <w:rtl/>
        </w:rPr>
      </w:pPr>
      <w:bookmarkStart w:id="1" w:name="Rov455"/>
      <w:bookmarkStart w:id="2" w:name="Seif229"/>
      <w:bookmarkEnd w:id="1"/>
      <w:bookmarkEnd w:id="2"/>
      <w:r w:rsidRPr="00525707">
        <w:rPr>
          <w:rFonts w:ascii="Garamond" w:hAnsi="Garamond" w:cs="FrankRuehl"/>
          <w:b/>
          <w:bCs/>
          <w:sz w:val="26"/>
          <w:szCs w:val="26"/>
          <w:rtl/>
        </w:rPr>
        <w:t xml:space="preserve">סגירת תיק בהסדר </w:t>
      </w:r>
      <w:r w:rsidRPr="00525707">
        <w:rPr>
          <w:rFonts w:ascii="Garamond" w:hAnsi="Garamond" w:cs="FrankRuehl" w:hint="cs"/>
          <w:b/>
          <w:bCs/>
          <w:sz w:val="26"/>
          <w:szCs w:val="26"/>
          <w:rtl/>
        </w:rPr>
        <w:t xml:space="preserve"> </w:t>
      </w:r>
      <w:r w:rsidRPr="00525707">
        <w:rPr>
          <w:rFonts w:ascii="Garamond" w:hAnsi="Garamond" w:cs="FrankRuehl" w:hint="cs"/>
          <w:b/>
          <w:bCs/>
          <w:sz w:val="26"/>
          <w:szCs w:val="26"/>
          <w:rtl/>
        </w:rPr>
        <w:tab/>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67א.   (א)  בסימן זה –</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"תובע" – כל אחד מאלה:</w:t>
      </w:r>
    </w:p>
    <w:p w:rsidR="000C4ACE" w:rsidRPr="00525707" w:rsidRDefault="000C4ACE" w:rsidP="00AC2A5C">
      <w:pPr>
        <w:spacing w:after="0" w:line="240" w:lineRule="auto"/>
        <w:ind w:left="2160" w:right="-567"/>
        <w:jc w:val="both"/>
        <w:rPr>
          <w:rFonts w:ascii="Garamond" w:hAnsi="Garamond" w:cs="FrankRuehl"/>
          <w:sz w:val="26"/>
          <w:szCs w:val="26"/>
          <w:rtl/>
        </w:rPr>
      </w:pPr>
      <w:r w:rsidRPr="00525707">
        <w:rPr>
          <w:rFonts w:ascii="Garamond" w:hAnsi="Garamond" w:cs="FrankRuehl" w:hint="cs"/>
          <w:sz w:val="26"/>
          <w:szCs w:val="26"/>
          <w:rtl/>
        </w:rPr>
        <w:t>(1)   פרקליט כאמור בסעיף 12(א)(1)(א);</w:t>
      </w:r>
    </w:p>
    <w:p w:rsidR="000C4ACE" w:rsidRPr="00525707" w:rsidRDefault="000C4ACE" w:rsidP="00AC2A5C">
      <w:pPr>
        <w:spacing w:after="0" w:line="240" w:lineRule="auto"/>
        <w:ind w:left="2160" w:right="-567"/>
        <w:jc w:val="both"/>
        <w:rPr>
          <w:rFonts w:ascii="Garamond" w:hAnsi="Garamond" w:cs="FrankRuehl"/>
          <w:sz w:val="26"/>
          <w:szCs w:val="26"/>
          <w:rtl/>
        </w:rPr>
      </w:pPr>
      <w:r w:rsidRPr="00525707">
        <w:rPr>
          <w:rFonts w:ascii="Garamond" w:hAnsi="Garamond" w:cs="FrankRuehl" w:hint="cs"/>
          <w:sz w:val="26"/>
          <w:szCs w:val="26"/>
          <w:rtl/>
        </w:rPr>
        <w:t>(2)   תובע שהוא קצין משטרה המכהן כראש יחידת תביעות או תובע משטרתי בכיר שהוא הסמיך לעניין זה (בסימן זה – תובע משטרתי);</w:t>
      </w:r>
    </w:p>
    <w:p w:rsidR="000C4ACE" w:rsidRPr="00525707" w:rsidRDefault="000C4ACE" w:rsidP="00AC2A5C">
      <w:pPr>
        <w:spacing w:after="0" w:line="240" w:lineRule="auto"/>
        <w:ind w:left="2160" w:right="-567"/>
        <w:jc w:val="both"/>
        <w:rPr>
          <w:rFonts w:ascii="Garamond" w:hAnsi="Garamond" w:cs="FrankRuehl"/>
          <w:sz w:val="26"/>
          <w:szCs w:val="26"/>
          <w:rtl/>
        </w:rPr>
      </w:pPr>
      <w:r w:rsidRPr="00525707">
        <w:rPr>
          <w:rFonts w:ascii="Garamond" w:hAnsi="Garamond" w:cs="FrankRuehl" w:hint="cs"/>
          <w:sz w:val="26"/>
          <w:szCs w:val="26"/>
          <w:rtl/>
        </w:rPr>
        <w:t>(3)   תובע אחר המנוי בתוספת הרביעית;</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"תובע בכיר" –</w:t>
      </w:r>
    </w:p>
    <w:p w:rsidR="000C4ACE" w:rsidRPr="00525707" w:rsidRDefault="000C4ACE" w:rsidP="00AC2A5C">
      <w:pPr>
        <w:spacing w:after="0" w:line="240" w:lineRule="auto"/>
        <w:ind w:left="2160" w:right="-567"/>
        <w:jc w:val="both"/>
        <w:rPr>
          <w:rFonts w:ascii="Garamond" w:hAnsi="Garamond" w:cs="FrankRuehl"/>
          <w:sz w:val="26"/>
          <w:szCs w:val="26"/>
          <w:rtl/>
        </w:rPr>
      </w:pPr>
      <w:r w:rsidRPr="00525707">
        <w:rPr>
          <w:rFonts w:ascii="Garamond" w:hAnsi="Garamond" w:cs="FrankRuehl" w:hint="cs"/>
          <w:sz w:val="26"/>
          <w:szCs w:val="26"/>
          <w:rtl/>
        </w:rPr>
        <w:t xml:space="preserve">(1)   בתיק המנוהל על ידי פרקליט – היועץ המשפטי לממשלה, פרקליט המדינה או משנהו, מנהל מחלקה בפרקליטות המדינה או </w:t>
      </w:r>
      <w:proofErr w:type="spellStart"/>
      <w:r w:rsidRPr="00525707">
        <w:rPr>
          <w:rFonts w:ascii="Garamond" w:hAnsi="Garamond" w:cs="FrankRuehl" w:hint="cs"/>
          <w:sz w:val="26"/>
          <w:szCs w:val="26"/>
          <w:rtl/>
        </w:rPr>
        <w:t>סגנו</w:t>
      </w:r>
      <w:proofErr w:type="spellEnd"/>
      <w:r w:rsidRPr="00525707">
        <w:rPr>
          <w:rFonts w:ascii="Garamond" w:hAnsi="Garamond" w:cs="FrankRuehl" w:hint="cs"/>
          <w:sz w:val="26"/>
          <w:szCs w:val="26"/>
          <w:rtl/>
        </w:rPr>
        <w:t>, או פרקליט מחוז, משנהו או מנהל מחלקה בפרקליטות המחוז;</w:t>
      </w:r>
    </w:p>
    <w:p w:rsidR="000C4ACE" w:rsidRPr="00525707" w:rsidRDefault="000C4ACE" w:rsidP="00AC2A5C">
      <w:pPr>
        <w:spacing w:after="0" w:line="240" w:lineRule="auto"/>
        <w:ind w:left="2160" w:right="-567"/>
        <w:jc w:val="both"/>
        <w:rPr>
          <w:rFonts w:ascii="Garamond" w:hAnsi="Garamond" w:cs="FrankRuehl"/>
          <w:sz w:val="26"/>
          <w:szCs w:val="26"/>
          <w:rtl/>
        </w:rPr>
      </w:pPr>
      <w:r w:rsidRPr="00525707">
        <w:rPr>
          <w:rFonts w:ascii="Garamond" w:hAnsi="Garamond" w:cs="FrankRuehl" w:hint="cs"/>
          <w:sz w:val="26"/>
          <w:szCs w:val="26"/>
          <w:rtl/>
        </w:rPr>
        <w:t>(2)   בתיק המנוהל על ידי תובע משטרתי – תובע משטרתי;</w:t>
      </w:r>
    </w:p>
    <w:p w:rsidR="000C4ACE" w:rsidRPr="00525707" w:rsidRDefault="000C4ACE" w:rsidP="00AC2A5C">
      <w:pPr>
        <w:spacing w:after="0" w:line="240" w:lineRule="auto"/>
        <w:ind w:left="2160" w:right="-567"/>
        <w:jc w:val="both"/>
        <w:rPr>
          <w:rFonts w:ascii="Garamond" w:hAnsi="Garamond" w:cs="FrankRuehl"/>
          <w:sz w:val="26"/>
          <w:szCs w:val="26"/>
          <w:rtl/>
        </w:rPr>
      </w:pPr>
      <w:r w:rsidRPr="00525707">
        <w:rPr>
          <w:rFonts w:ascii="Garamond" w:hAnsi="Garamond" w:cs="FrankRuehl" w:hint="cs"/>
          <w:sz w:val="26"/>
          <w:szCs w:val="26"/>
          <w:rtl/>
        </w:rPr>
        <w:t>(3)   בתיק המנוהל על ידי תובע המנוי בפסקה (3) להגדרה "תובע" – תובע שהוא עובד המדינה ומנוי בתוספת הרביעית.</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(ב)  ראה תובע כי קיימות ראיות מספיקות לאישום בעבירה, רשאי הוא, על אף האמור בסעיף 62(א), שלא להעמיד חשוד לדין, ולהציע לו הסדר (בסימן זה – הסדר), אם ראה כי מילוי תנאי ההסדר יענה על העניין לציבור, בנסיבות המקרה.</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(ג)   לא ייערך הסדר אלא בעבירה מסוג חטא או עוון, או בעבירה מסוג פשע המנויה בתוספת השישית, שאינה אחת מאלה:</w:t>
      </w:r>
    </w:p>
    <w:p w:rsidR="000C4ACE" w:rsidRPr="00525707" w:rsidRDefault="000C4ACE" w:rsidP="00AC2A5C">
      <w:pPr>
        <w:spacing w:after="0" w:line="240" w:lineRule="auto"/>
        <w:ind w:left="2160" w:right="-567"/>
        <w:jc w:val="both"/>
        <w:rPr>
          <w:rFonts w:ascii="Garamond" w:hAnsi="Garamond" w:cs="FrankRuehl"/>
          <w:sz w:val="26"/>
          <w:szCs w:val="26"/>
          <w:rtl/>
        </w:rPr>
      </w:pPr>
      <w:r w:rsidRPr="00525707">
        <w:rPr>
          <w:rFonts w:ascii="Garamond" w:hAnsi="Garamond" w:cs="FrankRuehl" w:hint="cs"/>
          <w:sz w:val="26"/>
          <w:szCs w:val="26"/>
          <w:rtl/>
        </w:rPr>
        <w:t>(1)   עבירה המנויה בסעיף 240 לחוק זה;</w:t>
      </w:r>
    </w:p>
    <w:p w:rsidR="000C4ACE" w:rsidRPr="00525707" w:rsidRDefault="000C4ACE" w:rsidP="00AC2A5C">
      <w:pPr>
        <w:spacing w:after="0" w:line="240" w:lineRule="auto"/>
        <w:ind w:left="2160" w:right="-567"/>
        <w:jc w:val="both"/>
        <w:rPr>
          <w:rFonts w:ascii="Garamond" w:hAnsi="Garamond" w:cs="FrankRuehl"/>
          <w:sz w:val="26"/>
          <w:szCs w:val="26"/>
          <w:rtl/>
        </w:rPr>
      </w:pPr>
      <w:r w:rsidRPr="00525707">
        <w:rPr>
          <w:rFonts w:ascii="Garamond" w:hAnsi="Garamond" w:cs="FrankRuehl" w:hint="cs"/>
          <w:sz w:val="26"/>
          <w:szCs w:val="26"/>
          <w:rtl/>
        </w:rPr>
        <w:t>(2)   עבירה שהיסוד העובדתי בה מהווה הפרה שבשלה ניתן להטיל עיצום כספי לפי חיקוק או עבירה עם יסוד עובדתי דומה למעשה המהווה הפרה כאמור;</w:t>
      </w:r>
    </w:p>
    <w:p w:rsidR="000C4ACE" w:rsidRPr="00525707" w:rsidRDefault="000C4ACE" w:rsidP="00AC2A5C">
      <w:pPr>
        <w:spacing w:after="0" w:line="240" w:lineRule="auto"/>
        <w:ind w:left="2160" w:right="-567"/>
        <w:jc w:val="both"/>
        <w:rPr>
          <w:rFonts w:ascii="Garamond" w:hAnsi="Garamond" w:cs="FrankRuehl"/>
          <w:sz w:val="26"/>
          <w:szCs w:val="26"/>
          <w:rtl/>
        </w:rPr>
      </w:pPr>
      <w:r w:rsidRPr="00525707">
        <w:rPr>
          <w:rFonts w:ascii="Garamond" w:hAnsi="Garamond" w:cs="FrankRuehl" w:hint="cs"/>
          <w:sz w:val="26"/>
          <w:szCs w:val="26"/>
          <w:rtl/>
        </w:rPr>
        <w:t>(3)   עבירה שניתן להטיל בשלה כופר כסף.</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(ד)  תובע רשאי לסגור תיק בהסדר בהתקיים שני אלה:</w:t>
      </w:r>
    </w:p>
    <w:p w:rsidR="000C4ACE" w:rsidRPr="00525707" w:rsidRDefault="000C4ACE" w:rsidP="00AC2A5C">
      <w:pPr>
        <w:spacing w:after="0" w:line="240" w:lineRule="auto"/>
        <w:ind w:left="2160" w:right="-567"/>
        <w:jc w:val="both"/>
        <w:rPr>
          <w:rFonts w:ascii="Garamond" w:hAnsi="Garamond" w:cs="FrankRuehl"/>
          <w:sz w:val="26"/>
          <w:szCs w:val="26"/>
          <w:rtl/>
        </w:rPr>
      </w:pPr>
      <w:r w:rsidRPr="00525707">
        <w:rPr>
          <w:rFonts w:ascii="Garamond" w:hAnsi="Garamond" w:cs="FrankRuehl" w:hint="cs"/>
          <w:sz w:val="26"/>
          <w:szCs w:val="26"/>
          <w:rtl/>
        </w:rPr>
        <w:t>(1)   העונש המתאים לחשוד, לדעת התובע, לפי הוראות סימן א'1 לפרק ו' לחוק העונשין, אינו כולל מאסר בפועל;</w:t>
      </w:r>
    </w:p>
    <w:p w:rsidR="000C4ACE" w:rsidRPr="00525707" w:rsidRDefault="000C4ACE" w:rsidP="00AC2A5C">
      <w:pPr>
        <w:spacing w:after="0" w:line="240" w:lineRule="auto"/>
        <w:ind w:left="2160" w:right="-567"/>
        <w:jc w:val="both"/>
        <w:rPr>
          <w:rFonts w:ascii="Garamond" w:hAnsi="Garamond" w:cs="FrankRuehl"/>
          <w:sz w:val="26"/>
          <w:szCs w:val="26"/>
          <w:rtl/>
        </w:rPr>
      </w:pPr>
      <w:r w:rsidRPr="00525707">
        <w:rPr>
          <w:rFonts w:ascii="Garamond" w:hAnsi="Garamond" w:cs="FrankRuehl" w:hint="cs"/>
          <w:sz w:val="26"/>
          <w:szCs w:val="26"/>
          <w:rtl/>
        </w:rPr>
        <w:t>(2)   אין פרט רישום כהגדרתו בסעיף 2 לחוק המרשם הפלילי ותקנת השבים, התשמ"א-1981 (בסימן זה – חוק המרשם הפלילי), שנרשם בעניינו של החשוד, בחמש השנים שלפני ביצוע העבירה נושא ההסדר, לרבות הסדר שנערך בעבר, ואין חקירות או משפטים פליליים תלויים ועומדים בעניינו במשטרה או באותה רשות, לפי העניין, שאינם חלק מההסדר.</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(ה)  תובע לא יסגור תיק בהסדר, או בהליך דומה שלפיו אם החשוד יקיים תנאים מסוימים לא יוגש נגדו כתב אישום, בין ביוזמת התובע ובין ביוזמת החשוד, אלא לפי הוראות סימן זה או לפי חוק אחר המסמיך תובע לסגור תיק בתנאים.</w:t>
      </w:r>
    </w:p>
    <w:p w:rsidR="000C4ACE"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(ו)   הוראות סימן זה לא יחולו על חשוד שהוא קטין כהגדרתו בחוק הנוער (שפיטה, ענישה ודרכי טיפול), התשל"א-1971.</w:t>
      </w:r>
    </w:p>
    <w:p w:rsidR="00525707" w:rsidRPr="00525707" w:rsidRDefault="00525707" w:rsidP="00AC2A5C">
      <w:pPr>
        <w:pStyle w:val="a0"/>
        <w:ind w:right="-567"/>
        <w:jc w:val="both"/>
        <w:rPr>
          <w:rtl/>
        </w:rPr>
      </w:pPr>
    </w:p>
    <w:p w:rsidR="000C4ACE" w:rsidRPr="00525707" w:rsidRDefault="000C4ACE" w:rsidP="00AC2A5C">
      <w:pPr>
        <w:spacing w:after="0" w:line="240" w:lineRule="auto"/>
        <w:ind w:right="-567"/>
        <w:jc w:val="both"/>
        <w:rPr>
          <w:rFonts w:ascii="Garamond" w:hAnsi="Garamond" w:cs="FrankRuehl"/>
          <w:sz w:val="26"/>
          <w:szCs w:val="26"/>
          <w:rtl/>
        </w:rPr>
      </w:pPr>
      <w:bookmarkStart w:id="3" w:name="Rov448"/>
      <w:bookmarkStart w:id="4" w:name="Seif230"/>
      <w:bookmarkEnd w:id="3"/>
      <w:bookmarkEnd w:id="4"/>
      <w:r w:rsidRPr="00525707">
        <w:rPr>
          <w:rFonts w:ascii="Garamond" w:hAnsi="Garamond" w:cs="FrankRuehl"/>
          <w:b/>
          <w:bCs/>
          <w:sz w:val="26"/>
          <w:szCs w:val="26"/>
          <w:rtl/>
        </w:rPr>
        <w:t xml:space="preserve">הוראות לעניין עריכת הסדר </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67ב.   (א)  התובע יתחייב להימנע מהגשת כתב אישום נגד החשוד ולסגור את תיק החקירה נגדו אם יודה החשוד בעובדות המהוות את העבירה המפורטות בהסדר ויקיים את התנאים שיפורטו בו.</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(ב)  לפני שידון התובע עם החשוד בתנאי ההסדר –</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(1)   יפרט את העובדות והוראות החיקוק שלגביהן קיימות ראיות מספיקות לאישום (בסימן זה – טיוטת כתב אישום);</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(2)   יציין בהחלטה מנומקת את הנסיבות לכך שהעונש המתאים לחשוד אינו כולל מאסר בפועל ולכך שמילוי תנאי ההסדר יענה על העניין לציבור בלא העמדתו לדין.</w:t>
      </w:r>
    </w:p>
    <w:p w:rsidR="000C4ACE"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(ג)   טיוטת כתב האישום וההחלטה המנומקת יישמרו בתיק.</w:t>
      </w:r>
    </w:p>
    <w:p w:rsidR="00525707" w:rsidRPr="00525707" w:rsidRDefault="00525707" w:rsidP="00AC2A5C">
      <w:pPr>
        <w:pStyle w:val="a0"/>
        <w:ind w:right="-567"/>
        <w:jc w:val="both"/>
        <w:rPr>
          <w:rtl/>
        </w:rPr>
      </w:pPr>
    </w:p>
    <w:p w:rsidR="000C4ACE" w:rsidRPr="00525707" w:rsidRDefault="000C4ACE" w:rsidP="00AC2A5C">
      <w:pPr>
        <w:spacing w:after="0" w:line="240" w:lineRule="auto"/>
        <w:ind w:right="-567"/>
        <w:jc w:val="both"/>
        <w:rPr>
          <w:rFonts w:ascii="Garamond" w:hAnsi="Garamond" w:cs="FrankRuehl"/>
          <w:sz w:val="26"/>
          <w:szCs w:val="26"/>
          <w:rtl/>
        </w:rPr>
      </w:pPr>
      <w:bookmarkStart w:id="5" w:name="Rov458"/>
      <w:bookmarkStart w:id="6" w:name="Seif231"/>
      <w:bookmarkEnd w:id="5"/>
      <w:bookmarkEnd w:id="6"/>
      <w:r w:rsidRPr="00525707">
        <w:rPr>
          <w:rFonts w:ascii="Garamond" w:hAnsi="Garamond" w:cs="FrankRuehl"/>
          <w:b/>
          <w:bCs/>
          <w:sz w:val="26"/>
          <w:szCs w:val="26"/>
          <w:rtl/>
        </w:rPr>
        <w:t xml:space="preserve">תנאי ההסדר </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67ג.   (א)  תובע יהיה רשאי לכלול בהסדר תנאים אלה:</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 xml:space="preserve"> (1)   תשלום לאוצר המדינה בסכום שלא יעלה על הסכום הקבוע בסעיף 61(א)(2) לחוק העונשין, אף אם ההסדר כולל יותר מעבירה אחת, באופן ובמועדים שיפורטו בהסדר, ובלבד שתקופת התשלום לא תעלה על שנה; נקבעה בחוק הוראה ולפיה ישולמו קנסות בשל עבירה לגורם אחר, יציין זאת התובע, והתשלום ישולם לאותו גורם; בוצעה עבירה בבניין לפי חוק התכנון והבנייה, התשכ"ה-1965, על ידי בני זוג שהם בעלי הבניין ומנהלים משק בית משותף, לא יוטל על בני הזוג יחד סכום העולה על הסכום האמור;</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 xml:space="preserve"> (2)   תשלום פיצוי לנפגע עבירה בסכום שלא יעלה על הסכום הקבוע בסעיף 61(א)(2) לחוק העונשין, באופן ובמועדים שיפורטו בהסדר, ובלבד שתקופת התשלום לא תעלה על שנה; התשלום יועבר לנפגע לאחר שהתובע סגר את התיק לפי סעיף 67ו;</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(3)   התחייבות של החשוד להימנע מביצוע עבירה במהלך תקופה שתפורט בהסדר ולא תעלה על שנה;</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(4)   עמידה בתנאי תכנית טיפול, תיקון ושיקום שיקבע קצין מבחן, לרבות ביצוע שירות לציבור כהגדרתו בסעיף 71א(1) לחוק העונשין, והימצאות בפיקוח קצין מבחן לתקופה שיקבע קצין המבחן, ויחולו לעניין זה הוראות סעיף 71ו לחוק העונשין, והכל לתקופה שתפורט בהסדר ולא תעלה על שנה, ובמקרים מיוחדים, בהמלצת קצין המבחן – שלא תעלה על 18 חודשים;</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 xml:space="preserve"> (5)   נקיטת אמצעים המנויים בתוספת החמישית לתיקון הנזק שנגרם עקב העבירה, לשם השבת המצב לקדמותו ולמניעת ביצוע עבירה שבהסדר, ובלבד שיש זיקה עניינית בין התנאי ובין העבירה שבוצעה, והכול לתקופה שתפורט בהסדר ולא תעלה על שנה, ובמקרים מיוחדים כמפורט בתוספת החמישית – לתקופה שלא תעלה על שנתיים.</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(ב)  לשם קביעת תנאי ההסדר יתחשב התובע בעיקרון המנחה בענישה, בשיקולי הענישה, ובנסיבות, הקבועים בסימן א'1 לפרק ו' לחוק העונשין.</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(ג)   בטרם ייחתם הסדר, יאשר תובע בכיר את תנאיו, אלא אם כן ההסדר הוצע לפי תנאים מפורטים שפורטו בהנחיות ופורסמו.</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(ד)  תשלום או פיצוי ייגבה באמצעות רשות האכיפה והגבייה, ויועבר על ידה לאוצר המדינה או לגורם אחר שנקבע בחוק, או לנפגע העבירה, ואולם אם הגורם האחר הוא ועדה מקומית לתכנון ולבנייה כמשמעותה בחוק התכנון והבנייה, התשכ"ה-1965, ישולם התשלום ישירות לקופת הוועדה המקומית לתכנון ולבנייה.</w:t>
      </w:r>
    </w:p>
    <w:p w:rsidR="00CE5A25" w:rsidRDefault="00CE5A25" w:rsidP="00AC2A5C">
      <w:pPr>
        <w:spacing w:after="0" w:line="240" w:lineRule="auto"/>
        <w:ind w:right="-567"/>
        <w:jc w:val="both"/>
        <w:rPr>
          <w:rFonts w:ascii="Garamond" w:hAnsi="Garamond" w:cs="FrankRuehl"/>
          <w:b/>
          <w:bCs/>
          <w:sz w:val="26"/>
          <w:szCs w:val="26"/>
          <w:rtl/>
        </w:rPr>
      </w:pPr>
      <w:bookmarkStart w:id="7" w:name="Rov451"/>
      <w:bookmarkStart w:id="8" w:name="Seif232"/>
      <w:bookmarkEnd w:id="7"/>
      <w:bookmarkEnd w:id="8"/>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b/>
          <w:bCs/>
          <w:sz w:val="26"/>
          <w:szCs w:val="26"/>
          <w:rtl/>
        </w:rPr>
        <w:t xml:space="preserve">עיון בחומר חקירה לפני חתימה על הסדר </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67ד.   בטרם ייחתם הסדר, רשאי החשוד לעיין בחומר החקירה ובטיוטת כתב האישום אם אינה זהה למתואר בהסדר.</w:t>
      </w:r>
    </w:p>
    <w:p w:rsidR="00CE5A25" w:rsidRDefault="00CE5A25" w:rsidP="00AC2A5C">
      <w:pPr>
        <w:spacing w:after="0" w:line="240" w:lineRule="auto"/>
        <w:ind w:right="-567"/>
        <w:jc w:val="both"/>
        <w:rPr>
          <w:rFonts w:ascii="Garamond" w:hAnsi="Garamond" w:cs="FrankRuehl"/>
          <w:b/>
          <w:bCs/>
          <w:sz w:val="26"/>
          <w:szCs w:val="26"/>
          <w:rtl/>
        </w:rPr>
      </w:pPr>
      <w:bookmarkStart w:id="9" w:name="Rov460"/>
      <w:bookmarkStart w:id="10" w:name="Seif233"/>
      <w:bookmarkEnd w:id="9"/>
      <w:bookmarkEnd w:id="10"/>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b/>
          <w:bCs/>
          <w:sz w:val="26"/>
          <w:szCs w:val="26"/>
          <w:rtl/>
        </w:rPr>
        <w:t>תוכן ההסדר</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67ה.   הסדר ייערך בכתב, ייחתם בידי התובע והחשוד, ויכיל את –</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(1)  תיאור העובדות והוראות החיקוק שלגביהן קיימות ראיות מספיקות לאישום;</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(2)  הודאת החשוד בעובדות המהוות עבירה;</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(3)  התנאים שעל החשוד למלא;</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lastRenderedPageBreak/>
        <w:t>(4)  התקופה שנקבעה לקיום תנאי ההסדר, והיא תהיה חלק מתנאי ההסדר, וכן הדרך והמועד שבהם יוכיח החשוד כי מילא אחר תנאי ההסדר בתקופות שנקבעו לקיומם;</w:t>
      </w:r>
    </w:p>
    <w:p w:rsidR="000C4ACE"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(5)  הצהרת החשוד כי הוא מבין שהפרת תנאי ההסדר, כולם או חלקם, בתקופה שנקבעה לקיום תנאי ההסדר, תביא להעמדתו לדין לפי טיוטת כתב האישום, וכי יירשם שהתיק נסגר בעילה של סגירת תיק בהסדר, ברישום לפי חוק המרשם הפלילי.</w:t>
      </w:r>
    </w:p>
    <w:p w:rsidR="00CE5A25" w:rsidRPr="00CE5A25" w:rsidRDefault="00CE5A25" w:rsidP="00AC2A5C">
      <w:pPr>
        <w:pStyle w:val="a0"/>
        <w:ind w:right="-567"/>
        <w:jc w:val="both"/>
        <w:rPr>
          <w:rtl/>
        </w:rPr>
      </w:pPr>
    </w:p>
    <w:p w:rsidR="000C4ACE" w:rsidRPr="00525707" w:rsidRDefault="000C4ACE" w:rsidP="00AC2A5C">
      <w:pPr>
        <w:spacing w:after="0" w:line="240" w:lineRule="auto"/>
        <w:ind w:right="-567"/>
        <w:jc w:val="both"/>
        <w:rPr>
          <w:rFonts w:ascii="Garamond" w:hAnsi="Garamond" w:cs="FrankRuehl"/>
          <w:sz w:val="26"/>
          <w:szCs w:val="26"/>
          <w:rtl/>
        </w:rPr>
      </w:pPr>
      <w:bookmarkStart w:id="11" w:name="Rov461"/>
      <w:bookmarkStart w:id="12" w:name="Seif234"/>
      <w:bookmarkEnd w:id="11"/>
      <w:bookmarkEnd w:id="12"/>
      <w:r w:rsidRPr="00525707">
        <w:rPr>
          <w:rFonts w:ascii="Garamond" w:hAnsi="Garamond" w:cs="FrankRuehl"/>
          <w:b/>
          <w:bCs/>
          <w:sz w:val="26"/>
          <w:szCs w:val="26"/>
          <w:rtl/>
        </w:rPr>
        <w:t xml:space="preserve">עילת סגירת תיק בהסדר </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67ו.   (א)  התובע יסגור את התיק בעילה של "סגירה בהסדר" לאחר שווידא כי מולאו תנאי ההסדר וערך על כך רישום בתיק בכתב; התובע ישלח דיווח על סגירת התיק למשטרת ישראל ויודיע על כך לחשוד.</w:t>
      </w:r>
    </w:p>
    <w:p w:rsidR="000C4ACE"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(ב)  הוראות סעיפים 63 ו-64 לא יחולו לעניין תיק שנסגר בהסדר.</w:t>
      </w:r>
    </w:p>
    <w:p w:rsidR="00CE5A25" w:rsidRPr="00CE5A25" w:rsidRDefault="00CE5A25" w:rsidP="00AC2A5C">
      <w:pPr>
        <w:pStyle w:val="a0"/>
        <w:ind w:right="-567"/>
        <w:jc w:val="both"/>
        <w:rPr>
          <w:rtl/>
        </w:rPr>
      </w:pPr>
    </w:p>
    <w:p w:rsidR="000C4ACE" w:rsidRPr="00525707" w:rsidRDefault="000C4ACE" w:rsidP="00AC2A5C">
      <w:pPr>
        <w:spacing w:after="0" w:line="240" w:lineRule="auto"/>
        <w:ind w:right="-567"/>
        <w:jc w:val="both"/>
        <w:rPr>
          <w:rFonts w:ascii="Garamond" w:hAnsi="Garamond" w:cs="FrankRuehl"/>
          <w:sz w:val="26"/>
          <w:szCs w:val="26"/>
          <w:rtl/>
        </w:rPr>
      </w:pPr>
      <w:bookmarkStart w:id="13" w:name="Rov462"/>
      <w:bookmarkStart w:id="14" w:name="Seif235"/>
      <w:bookmarkEnd w:id="13"/>
      <w:bookmarkEnd w:id="14"/>
      <w:r w:rsidRPr="00525707">
        <w:rPr>
          <w:rFonts w:ascii="Garamond" w:hAnsi="Garamond" w:cs="FrankRuehl"/>
          <w:b/>
          <w:bCs/>
          <w:sz w:val="26"/>
          <w:szCs w:val="26"/>
          <w:rtl/>
        </w:rPr>
        <w:t xml:space="preserve">סירוב להסדר או הפרת תנאיו </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67ז.   (א)  לא הסכים החשוד להסדר כולו או לתנאי מתנאיו, יעמידו התובע לדין לפי טיוטת כתב האישום; סבר התובע שאין ראיות מספיקות לאישום או שאין בדבר עניין לציבור, והכל בשל מידע חדש שהובא לידיעתו לאחר סירובו של החשוד להסדר המוצע, יסגור את התיק בהחלטה מנומקת בכתב.</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(ב)  התובע לא יעמיד חשוד לדין בשל עובדות המהוות עבירה שהוא הודה בהן במסגרת הסדר, אלא אם כן החשוד לא מילא את תנאי ההסדר או אם מצא התובע שההסדר הושג במרמה; כתב אישום בשל מרמה כאמור יוגש באישור תובע בכיר.</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(ג)   (1)   נוכח התובע כי החשוד לא מילא את תנאי ההסדר, כולם או חלקם, בכלל או בתקופה שנקבעה לקיום תנאי ההסדר, יעמידו לדין לפי טיוטת כתב האישום; סבר התובע שאין ראיות מספיקות לאישום או שאין בדבר עניין לציבור, והכל בשל מידע חדש שהובא לידיעתו לאחר שהחשוד לא מילא את התנאים, יסגור את התיק בהחלטה מנומקת בכתב;</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(2)   לעניין סעיף 67ג(א)(3), יראו הגשה של כתב אישום על עבירה שהחשוד התחייב במסגרת ההסדר להימנע ממנה, כהפרה של ההתחייבות; הוגש כתב אישום אחרי התקופה שנקבעה לקיום התנאי בשל עבירה שבוצעה בניגוד להתחייבות ובתוך תקופת ההתחייבות, יהיה התובע רשאי להעמיד את החשוד לדין ויחולו הוראות סעיף זה, ובלבד שהתובע טרם סגר את התיק והודיע על כך לחשוד.</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(ד)  הועמד חשוד לדין לאחר שנחתם עמו הסדר, יראו את ההסדר כמבוטל והחשוד לא יהיה מחויב למלא אחר תנאי ההסדר שטרם מילא; מילא החשוד חלק מתנאי ההסדר, יתחשב בכך בית משפט בבואו לגזור את דינו; זוכה החשוד לאחר ששילם תשלום לפי פסקה (1) שבסעיף 67ג(א), יוחזר לו הסכום ששילם בדרך שבה מוחזרים פיקדונות וקנסות לפי חוק זה.</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(ה)  הועמד חשוד לדין לאחר שהוצע לו הסדר או לאחר שנחתם עמו הסדר, לא יבקש התובע להטיל עליו עונש לש מאסר בפועל, אלא אם כן הובא לידיעת התובע מידע חדש; בקשה כאמור תהיה באישור של תובע בכיר.</w:t>
      </w:r>
    </w:p>
    <w:p w:rsidR="000C4ACE"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(ו)   הודיית חשוד בעובדות המהוות עבירה, במסגרת הסדר, לא תשמש ראיה נגדו בהליך פלילי בשל עובדות אלה.</w:t>
      </w:r>
    </w:p>
    <w:p w:rsidR="00CE5A25" w:rsidRPr="00CE5A25" w:rsidRDefault="00CE5A25" w:rsidP="00AC2A5C">
      <w:pPr>
        <w:pStyle w:val="a0"/>
        <w:ind w:right="-567"/>
        <w:jc w:val="both"/>
        <w:rPr>
          <w:rtl/>
        </w:rPr>
      </w:pPr>
    </w:p>
    <w:p w:rsidR="000C4ACE" w:rsidRPr="00525707" w:rsidRDefault="000C4ACE" w:rsidP="00AC2A5C">
      <w:pPr>
        <w:spacing w:after="0" w:line="240" w:lineRule="auto"/>
        <w:ind w:right="-567"/>
        <w:jc w:val="both"/>
        <w:rPr>
          <w:rFonts w:ascii="Garamond" w:hAnsi="Garamond" w:cs="FrankRuehl"/>
          <w:sz w:val="26"/>
          <w:szCs w:val="26"/>
          <w:rtl/>
        </w:rPr>
      </w:pPr>
      <w:bookmarkStart w:id="15" w:name="Rov463"/>
      <w:bookmarkStart w:id="16" w:name="Seif236"/>
      <w:bookmarkEnd w:id="15"/>
      <w:bookmarkEnd w:id="16"/>
      <w:r w:rsidRPr="00525707">
        <w:rPr>
          <w:rFonts w:ascii="Garamond" w:hAnsi="Garamond" w:cs="FrankRuehl"/>
          <w:b/>
          <w:bCs/>
          <w:sz w:val="26"/>
          <w:szCs w:val="26"/>
          <w:rtl/>
        </w:rPr>
        <w:t xml:space="preserve">פרסום בדבר הסדרים </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67ח.   הפרטים שלהלן יפורסמו באתר האינטרנט של רשות התביעה הנוגעת בדבר, בדרך שתבטיח שקיפות לגבי הפעלת שיקול הדעת בקבלת ההחלטה לסגור תיק בהסדר, אך לא תזהה את החשוד או את נפגע העבירה:</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(1)  דבר סגירת תיק בהסדר;</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(2)  מהות העבירה ונסיבותיה, תיאור העובדות שבהן הודה החשוד וציון הוראות החיקוק שפורטו בהסדר;</w:t>
      </w:r>
    </w:p>
    <w:p w:rsidR="000C4ACE"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(3)  תנאי ההסדר.</w:t>
      </w:r>
    </w:p>
    <w:p w:rsidR="00CE5A25" w:rsidRPr="00CE5A25" w:rsidRDefault="00CE5A25" w:rsidP="00AC2A5C">
      <w:pPr>
        <w:pStyle w:val="a0"/>
        <w:ind w:right="-567"/>
        <w:jc w:val="both"/>
        <w:rPr>
          <w:rtl/>
        </w:rPr>
      </w:pPr>
    </w:p>
    <w:p w:rsidR="000C4ACE" w:rsidRPr="00525707" w:rsidRDefault="000C4ACE" w:rsidP="00AC2A5C">
      <w:pPr>
        <w:spacing w:after="0" w:line="240" w:lineRule="auto"/>
        <w:ind w:right="-567"/>
        <w:jc w:val="both"/>
        <w:rPr>
          <w:rFonts w:ascii="Garamond" w:hAnsi="Garamond" w:cs="FrankRuehl"/>
          <w:b/>
          <w:bCs/>
          <w:sz w:val="26"/>
          <w:szCs w:val="26"/>
          <w:rtl/>
        </w:rPr>
      </w:pPr>
      <w:bookmarkStart w:id="17" w:name="Rov464"/>
      <w:bookmarkStart w:id="18" w:name="Seif237"/>
      <w:bookmarkEnd w:id="17"/>
      <w:bookmarkEnd w:id="18"/>
      <w:r w:rsidRPr="00525707">
        <w:rPr>
          <w:rFonts w:ascii="Garamond" w:hAnsi="Garamond" w:cs="FrankRuehl"/>
          <w:b/>
          <w:bCs/>
          <w:sz w:val="26"/>
          <w:szCs w:val="26"/>
          <w:rtl/>
        </w:rPr>
        <w:t xml:space="preserve">הכללת עמידה בתנאי תכנית טיפול, תיקון ושיקום בהסדר </w:t>
      </w:r>
    </w:p>
    <w:p w:rsidR="000C4ACE"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 xml:space="preserve">67ט.   תנאי לפי סעיף 67ג(א)(4), לא ייכלל בהסדרים אלא לאחר ששירות המבחן, כמשמעותו בפרק ד' לפקודת המבחן [נוסח חדש], התשכ"ט-1969, באישור שר הרווחה והשירותים החברתיים, הודיע לרשות </w:t>
      </w:r>
      <w:r w:rsidRPr="00525707">
        <w:rPr>
          <w:rFonts w:ascii="Garamond" w:hAnsi="Garamond" w:cs="FrankRuehl" w:hint="cs"/>
          <w:sz w:val="26"/>
          <w:szCs w:val="26"/>
          <w:rtl/>
        </w:rPr>
        <w:lastRenderedPageBreak/>
        <w:t>התביעה כי ממסירת ההודעה ואילך ניתן לכללו כאמור; שירות המבחן רשאי להודיע כאמור לעניין סוג מסוים של תיקים ולתקופה מסוימת.</w:t>
      </w:r>
    </w:p>
    <w:p w:rsidR="00CE5A25" w:rsidRPr="00CE5A25" w:rsidRDefault="00CE5A25" w:rsidP="00AC2A5C">
      <w:pPr>
        <w:pStyle w:val="a0"/>
        <w:ind w:right="-567"/>
        <w:jc w:val="both"/>
        <w:rPr>
          <w:rtl/>
        </w:rPr>
      </w:pPr>
    </w:p>
    <w:p w:rsidR="000C4ACE" w:rsidRPr="00525707" w:rsidRDefault="000C4ACE" w:rsidP="00AC2A5C">
      <w:pPr>
        <w:spacing w:after="0" w:line="240" w:lineRule="auto"/>
        <w:ind w:right="-567"/>
        <w:jc w:val="both"/>
        <w:rPr>
          <w:rFonts w:ascii="Garamond" w:hAnsi="Garamond" w:cs="FrankRuehl"/>
          <w:sz w:val="26"/>
          <w:szCs w:val="26"/>
          <w:rtl/>
        </w:rPr>
      </w:pPr>
      <w:bookmarkStart w:id="19" w:name="Rov457"/>
      <w:bookmarkStart w:id="20" w:name="Seif238"/>
      <w:bookmarkEnd w:id="19"/>
      <w:bookmarkEnd w:id="20"/>
      <w:r w:rsidRPr="00525707">
        <w:rPr>
          <w:rFonts w:ascii="Garamond" w:hAnsi="Garamond" w:cs="FrankRuehl"/>
          <w:b/>
          <w:bCs/>
          <w:sz w:val="26"/>
          <w:szCs w:val="26"/>
          <w:rtl/>
        </w:rPr>
        <w:t xml:space="preserve">הנחיות לעניין תחולה </w:t>
      </w:r>
    </w:p>
    <w:p w:rsidR="000C4ACE"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67י.    רשות תביעה רשאית להחיל את הוראות סימן זה לעניין סוגי עבירות ובתנאים, כפי שתקבע בהנחיות באישור היועץ המשפטי לממשלה; הנחיות כאמור יפורסמו לציבור.</w:t>
      </w:r>
    </w:p>
    <w:p w:rsidR="00CE5A25" w:rsidRPr="00CE5A25" w:rsidRDefault="00CE5A25" w:rsidP="00AC2A5C">
      <w:pPr>
        <w:pStyle w:val="a0"/>
        <w:ind w:right="-567"/>
        <w:jc w:val="both"/>
        <w:rPr>
          <w:rtl/>
        </w:rPr>
      </w:pPr>
    </w:p>
    <w:p w:rsidR="000C4ACE" w:rsidRPr="00525707" w:rsidRDefault="000C4ACE" w:rsidP="00AC2A5C">
      <w:pPr>
        <w:spacing w:after="0" w:line="240" w:lineRule="auto"/>
        <w:ind w:right="-567"/>
        <w:jc w:val="both"/>
        <w:rPr>
          <w:rFonts w:ascii="Garamond" w:hAnsi="Garamond" w:cs="FrankRuehl"/>
          <w:b/>
          <w:bCs/>
          <w:sz w:val="26"/>
          <w:szCs w:val="26"/>
          <w:rtl/>
        </w:rPr>
      </w:pPr>
      <w:bookmarkStart w:id="21" w:name="Rov466"/>
      <w:bookmarkStart w:id="22" w:name="Seif239"/>
      <w:bookmarkEnd w:id="21"/>
      <w:bookmarkEnd w:id="22"/>
      <w:r w:rsidRPr="00525707">
        <w:rPr>
          <w:rFonts w:ascii="Garamond" w:hAnsi="Garamond" w:cs="FrankRuehl"/>
          <w:b/>
          <w:bCs/>
          <w:sz w:val="26"/>
          <w:szCs w:val="26"/>
          <w:rtl/>
        </w:rPr>
        <w:t xml:space="preserve">שינוי התוספת הרביעית, התוספת החמישית והתוספת השישית </w:t>
      </w:r>
    </w:p>
    <w:p w:rsidR="000C4ACE"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67יא.  שר המשפטים רשאי, באישור ועדת החוקה חוק ומשפט של הכנסת, לשנות, בצו, את התוספת הרביעית ואת התוספת החמישית, ובהסכמת השר לביטחון הפנים – את התוספת השישית.</w:t>
      </w:r>
    </w:p>
    <w:p w:rsidR="00CE5A25" w:rsidRPr="00CE5A25" w:rsidRDefault="00CE5A25" w:rsidP="00AC2A5C">
      <w:pPr>
        <w:pStyle w:val="a0"/>
        <w:ind w:right="-567"/>
        <w:jc w:val="both"/>
        <w:rPr>
          <w:rtl/>
        </w:rPr>
      </w:pPr>
    </w:p>
    <w:p w:rsidR="000C4ACE" w:rsidRPr="00525707" w:rsidRDefault="000C4ACE" w:rsidP="00AC2A5C">
      <w:pPr>
        <w:spacing w:after="0" w:line="240" w:lineRule="auto"/>
        <w:ind w:right="-567"/>
        <w:jc w:val="both"/>
        <w:rPr>
          <w:rFonts w:ascii="Garamond" w:hAnsi="Garamond" w:cs="FrankRuehl"/>
          <w:sz w:val="26"/>
          <w:szCs w:val="26"/>
          <w:rtl/>
        </w:rPr>
      </w:pPr>
      <w:bookmarkStart w:id="23" w:name="Rov467"/>
      <w:bookmarkStart w:id="24" w:name="Seif240"/>
      <w:bookmarkEnd w:id="23"/>
      <w:bookmarkEnd w:id="24"/>
      <w:r w:rsidRPr="00525707">
        <w:rPr>
          <w:rFonts w:ascii="Garamond" w:hAnsi="Garamond" w:cs="FrankRuehl"/>
          <w:b/>
          <w:bCs/>
          <w:sz w:val="26"/>
          <w:szCs w:val="26"/>
          <w:rtl/>
        </w:rPr>
        <w:t xml:space="preserve">דיווח לכנסת </w:t>
      </w:r>
    </w:p>
    <w:p w:rsidR="000C4ACE" w:rsidRPr="00525707" w:rsidRDefault="000C4ACE" w:rsidP="00AC2A5C">
      <w:pPr>
        <w:spacing w:after="0" w:line="240" w:lineRule="auto"/>
        <w:ind w:right="-567"/>
        <w:jc w:val="both"/>
        <w:rPr>
          <w:rFonts w:ascii="Garamond" w:hAnsi="Garamond" w:cs="FrankRuehl"/>
          <w:sz w:val="26"/>
          <w:szCs w:val="26"/>
          <w:rtl/>
        </w:rPr>
      </w:pPr>
      <w:r w:rsidRPr="00525707">
        <w:rPr>
          <w:rFonts w:ascii="Garamond" w:hAnsi="Garamond" w:cs="FrankRuehl" w:hint="cs"/>
          <w:sz w:val="26"/>
          <w:szCs w:val="26"/>
          <w:rtl/>
        </w:rPr>
        <w:t>67יב.  מדי שנה, ב-1 במרס, ידווחו השר לביטחון הפנים, לעניין המשטרה, ושר המשפטים, לעניין רשויות התביעה האחרות, לוועדת החוקה חוק ומשפט של הכנסת, בכתב, על כל אלה:</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(1)  מספר התיקים שבהם נעשה הסדר לפי סעיף זה, לפי סעיפי עבירה ולפי רשות התביעה, ושיעורם הכולל מסך התיקים שנסגרו באותה שנה;</w:t>
      </w:r>
    </w:p>
    <w:p w:rsidR="000C4ACE" w:rsidRPr="00525707" w:rsidRDefault="000C4ACE" w:rsidP="00AC2A5C">
      <w:pPr>
        <w:spacing w:after="0" w:line="240" w:lineRule="auto"/>
        <w:ind w:left="1440" w:right="-567"/>
        <w:jc w:val="both"/>
        <w:rPr>
          <w:rFonts w:ascii="Garamond" w:hAnsi="Garamond" w:cs="FrankRuehl"/>
          <w:sz w:val="26"/>
          <w:szCs w:val="26"/>
          <w:rtl/>
        </w:rPr>
      </w:pPr>
      <w:r w:rsidRPr="00525707">
        <w:rPr>
          <w:rFonts w:ascii="Garamond" w:hAnsi="Garamond" w:cs="FrankRuehl" w:hint="cs"/>
          <w:sz w:val="26"/>
          <w:szCs w:val="26"/>
          <w:rtl/>
        </w:rPr>
        <w:t>(2)  מספר התיקים שבהם הוגשו כתבי אישום באותה שנה, לפי רשות התביעה.</w:t>
      </w:r>
    </w:p>
    <w:p w:rsidR="00DB1121" w:rsidRPr="00525707" w:rsidRDefault="00DB1121" w:rsidP="00AC2A5C">
      <w:pPr>
        <w:spacing w:after="0" w:line="240" w:lineRule="auto"/>
        <w:ind w:right="-567"/>
        <w:jc w:val="both"/>
        <w:rPr>
          <w:rFonts w:ascii="Garamond" w:hAnsi="Garamond" w:cs="FrankRuehl"/>
          <w:sz w:val="26"/>
          <w:szCs w:val="26"/>
          <w:rtl/>
        </w:rPr>
      </w:pP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w:t>
      </w:r>
    </w:p>
    <w:p w:rsidR="000C4ACE" w:rsidRPr="00525707" w:rsidRDefault="000C4ACE" w:rsidP="00AC2A5C">
      <w:pPr>
        <w:pStyle w:val="a0"/>
        <w:ind w:right="-567"/>
        <w:jc w:val="center"/>
        <w:rPr>
          <w:rFonts w:cs="FrankRuehl"/>
          <w:sz w:val="26"/>
          <w:szCs w:val="26"/>
        </w:rPr>
      </w:pPr>
      <w:r w:rsidRPr="00525707">
        <w:rPr>
          <w:rFonts w:cs="FrankRuehl" w:hint="cs"/>
          <w:b/>
          <w:bCs/>
          <w:sz w:val="26"/>
          <w:szCs w:val="26"/>
          <w:rtl/>
        </w:rPr>
        <w:t>תוספת רביעית</w:t>
      </w:r>
    </w:p>
    <w:p w:rsidR="000C4ACE" w:rsidRPr="00525707" w:rsidRDefault="000C4ACE" w:rsidP="00AC2A5C">
      <w:pPr>
        <w:pStyle w:val="a0"/>
        <w:ind w:right="-567"/>
        <w:jc w:val="center"/>
        <w:rPr>
          <w:rFonts w:cs="FrankRuehl"/>
          <w:sz w:val="26"/>
          <w:szCs w:val="26"/>
          <w:rtl/>
        </w:rPr>
      </w:pPr>
      <w:r w:rsidRPr="00525707">
        <w:rPr>
          <w:rFonts w:cs="FrankRuehl" w:hint="cs"/>
          <w:sz w:val="26"/>
          <w:szCs w:val="26"/>
          <w:rtl/>
        </w:rPr>
        <w:t>(סעיף 67א(א))</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  תובע לפי פסקה (3)                                                          תובע בכיר לפי פסקה (3)</w:t>
      </w:r>
    </w:p>
    <w:p w:rsidR="000C4ACE" w:rsidRPr="00525707" w:rsidRDefault="000C4ACE" w:rsidP="00AC2A5C">
      <w:pPr>
        <w:pStyle w:val="a0"/>
        <w:ind w:right="-567"/>
        <w:jc w:val="both"/>
        <w:rPr>
          <w:rFonts w:cs="FrankRuehl"/>
          <w:sz w:val="26"/>
          <w:szCs w:val="26"/>
          <w:u w:val="single"/>
          <w:rtl/>
        </w:rPr>
      </w:pPr>
      <w:r w:rsidRPr="00525707">
        <w:rPr>
          <w:rFonts w:cs="FrankRuehl" w:hint="cs"/>
          <w:sz w:val="26"/>
          <w:szCs w:val="26"/>
          <w:rtl/>
        </w:rPr>
        <w:t>  </w:t>
      </w:r>
      <w:r w:rsidRPr="00525707">
        <w:rPr>
          <w:rFonts w:cs="FrankRuehl" w:hint="cs"/>
          <w:sz w:val="26"/>
          <w:szCs w:val="26"/>
          <w:u w:val="single"/>
          <w:rtl/>
        </w:rPr>
        <w:t>להגדרה "תובע"                                                               להגדרה "תובע בכיר"</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1.    מי שהיועץ המשפטי לממשלה הסמיך לכך, לפי      מנהל המחלקה לאכיפת דיני מקרקעין</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סעיף 12, ולפי סעיף 258 לחוק התכנון והבנייה,           בפרקליטות המדינה או פרקליט בכיר</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התשכ"ה-1965, להגיש כתב אישום בעבירה לפי          שהוא הסמיך לכך</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חוק התכנון והבנייה והוא מפוקח בידי המחלקה לאכיפת דיני מקרקעין בפרקליטות המדינה</w:t>
      </w:r>
    </w:p>
    <w:p w:rsidR="00C54982" w:rsidRPr="00525707" w:rsidRDefault="00C54982" w:rsidP="00AC2A5C">
      <w:pPr>
        <w:pStyle w:val="a0"/>
        <w:ind w:right="-567"/>
        <w:jc w:val="both"/>
        <w:rPr>
          <w:rFonts w:cs="FrankRuehl"/>
          <w:sz w:val="26"/>
          <w:szCs w:val="26"/>
          <w:rtl/>
        </w:rPr>
      </w:pP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2.    מי שהיועץ המשפטי לממשלה הסמיך לכך, לפי      התובע הראשי במשרד הכלכלה או תובע  </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סעיף 12, להגיש כתב אישום לפי חיקוק מהחיקוקים      בכיר במשרד הכלכלה שהוא הסמיך לכך</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ששר הכלכלה ממונה על ביצועם</w:t>
      </w:r>
    </w:p>
    <w:p w:rsidR="000C4ACE" w:rsidRPr="00525707" w:rsidRDefault="000C4ACE" w:rsidP="00AC2A5C">
      <w:pPr>
        <w:pStyle w:val="a0"/>
        <w:ind w:right="-567"/>
        <w:jc w:val="both"/>
        <w:rPr>
          <w:rFonts w:cs="FrankRuehl"/>
          <w:b/>
          <w:bCs/>
          <w:sz w:val="26"/>
          <w:szCs w:val="26"/>
          <w:rtl/>
        </w:rPr>
      </w:pPr>
      <w:bookmarkStart w:id="25" w:name="Rov459"/>
      <w:bookmarkStart w:id="26" w:name="med13"/>
      <w:bookmarkEnd w:id="25"/>
      <w:bookmarkEnd w:id="26"/>
    </w:p>
    <w:p w:rsidR="000C4ACE" w:rsidRPr="00525707" w:rsidRDefault="000C4ACE" w:rsidP="00AC2A5C">
      <w:pPr>
        <w:pStyle w:val="a0"/>
        <w:ind w:right="-567"/>
        <w:jc w:val="center"/>
        <w:rPr>
          <w:rFonts w:cs="FrankRuehl"/>
          <w:sz w:val="26"/>
          <w:szCs w:val="26"/>
          <w:rtl/>
        </w:rPr>
      </w:pPr>
      <w:r w:rsidRPr="00525707">
        <w:rPr>
          <w:rFonts w:cs="FrankRuehl" w:hint="cs"/>
          <w:b/>
          <w:bCs/>
          <w:sz w:val="26"/>
          <w:szCs w:val="26"/>
          <w:rtl/>
        </w:rPr>
        <w:t>תוספת חמישית</w:t>
      </w:r>
    </w:p>
    <w:p w:rsidR="000C4ACE" w:rsidRDefault="000C4ACE" w:rsidP="00AC2A5C">
      <w:pPr>
        <w:pStyle w:val="a0"/>
        <w:ind w:right="-567"/>
        <w:jc w:val="center"/>
        <w:rPr>
          <w:rFonts w:cs="FrankRuehl"/>
          <w:sz w:val="26"/>
          <w:szCs w:val="26"/>
          <w:rtl/>
        </w:rPr>
      </w:pPr>
      <w:r w:rsidRPr="00525707">
        <w:rPr>
          <w:rFonts w:cs="FrankRuehl" w:hint="cs"/>
          <w:sz w:val="26"/>
          <w:szCs w:val="26"/>
          <w:rtl/>
        </w:rPr>
        <w:t>(סעיף 67ג(א)(5))</w:t>
      </w:r>
    </w:p>
    <w:p w:rsidR="00CE5A25" w:rsidRPr="00525707" w:rsidRDefault="00CE5A25" w:rsidP="00AC2A5C">
      <w:pPr>
        <w:pStyle w:val="a0"/>
        <w:ind w:right="-567"/>
        <w:jc w:val="both"/>
        <w:rPr>
          <w:rFonts w:cs="FrankRuehl"/>
          <w:sz w:val="26"/>
          <w:szCs w:val="26"/>
          <w:rtl/>
        </w:rPr>
      </w:pP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1.        פסילת רישיון נהיגה; הפקיד אדם רישיון שנפסל, יקבל אישור קבלה על הרישיון שהפקיד.</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2.        הפקדת כלי ירייה המוחזק בידי אדם למשמרת בתחנת משטרה הקרובה למקום מגוריו או למקום עסקיו; הפקיד אדם כלי ירייה למשמרת יקבל אישור קבלה על כלי הירייה שהפקיד.</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3.        התחייבות שלא להיכנס למקום או שלא להיות בקשר עם אדם מסוים.</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4.        כתיבת מכתב התנצלות לנפגע העבירה.</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5.        הסכמה להשמדה או לחילוט של חפץ הקשור לעבירה, האסור בהחזקה לפי כל דין.</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6.        השבת חפץ בעין לנפגע העבירה או תיקון חפץ שניזוק בעבירה.</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7.        לעניין עבירות לפי חוק התכנון והבנייה, התשכ"ה-1965, בתיקים המנוהלים על ידי תובע המנוי בפרט 1 בתוספת הרביעית –</w:t>
      </w:r>
    </w:p>
    <w:p w:rsidR="000C4ACE" w:rsidRPr="00525707" w:rsidRDefault="000C4ACE" w:rsidP="00AC2A5C">
      <w:pPr>
        <w:pStyle w:val="a0"/>
        <w:ind w:left="1440" w:right="-567"/>
        <w:jc w:val="both"/>
        <w:rPr>
          <w:rFonts w:cs="FrankRuehl"/>
          <w:sz w:val="26"/>
          <w:szCs w:val="26"/>
          <w:rtl/>
        </w:rPr>
      </w:pPr>
      <w:r w:rsidRPr="00525707">
        <w:rPr>
          <w:rFonts w:cs="FrankRuehl" w:hint="cs"/>
          <w:sz w:val="26"/>
          <w:szCs w:val="26"/>
          <w:rtl/>
        </w:rPr>
        <w:t>(1)  הריסה, פירוק או סילוק של הבניין או של חלק ממנו, שנבנו בלא היתר או בסטייה מהיתר או מתכנית;</w:t>
      </w:r>
    </w:p>
    <w:p w:rsidR="000C4ACE" w:rsidRPr="00525707" w:rsidRDefault="000C4ACE" w:rsidP="00AC2A5C">
      <w:pPr>
        <w:pStyle w:val="a0"/>
        <w:ind w:left="1440" w:right="-567"/>
        <w:jc w:val="both"/>
        <w:rPr>
          <w:rFonts w:cs="FrankRuehl"/>
          <w:sz w:val="26"/>
          <w:szCs w:val="26"/>
          <w:rtl/>
        </w:rPr>
      </w:pPr>
      <w:r w:rsidRPr="00525707">
        <w:rPr>
          <w:rFonts w:cs="FrankRuehl" w:hint="cs"/>
          <w:sz w:val="26"/>
          <w:szCs w:val="26"/>
          <w:rtl/>
        </w:rPr>
        <w:t>(2)  הריסה פירוק או סילוק של חלק מבניין שנבנה כדין, אם יש בביצוע פעולה כאמור לגבי חלק אחר, בלבד, מאותו בניין שנבנה שלא כדין, כדי לסכן את הנפש או את בטיחות הציבור אם לא ייהרס, יפורק או יסולק גם החלק שנבנה כדין, והכל למעט לגבי חלק מבניין בבעלותו או בהחזקתו של צד שלישי;</w:t>
      </w:r>
    </w:p>
    <w:p w:rsidR="000C4ACE" w:rsidRPr="00525707" w:rsidRDefault="000C4ACE" w:rsidP="00AC2A5C">
      <w:pPr>
        <w:pStyle w:val="a0"/>
        <w:ind w:left="1440" w:right="-567"/>
        <w:jc w:val="both"/>
        <w:rPr>
          <w:rFonts w:cs="FrankRuehl"/>
          <w:sz w:val="26"/>
          <w:szCs w:val="26"/>
          <w:rtl/>
        </w:rPr>
      </w:pPr>
      <w:r w:rsidRPr="00525707">
        <w:rPr>
          <w:rFonts w:cs="FrankRuehl" w:hint="cs"/>
          <w:sz w:val="26"/>
          <w:szCs w:val="26"/>
          <w:rtl/>
        </w:rPr>
        <w:lastRenderedPageBreak/>
        <w:t>(3)  הפסקת עבודה או שימוש במקרקעין, הנעשים בלא היתר או בסטייה מהיתר או מתכנית;</w:t>
      </w:r>
    </w:p>
    <w:p w:rsidR="000C4ACE" w:rsidRPr="00525707" w:rsidRDefault="000C4ACE" w:rsidP="00AC2A5C">
      <w:pPr>
        <w:pStyle w:val="a0"/>
        <w:ind w:left="1440" w:right="-567"/>
        <w:jc w:val="both"/>
        <w:rPr>
          <w:rFonts w:cs="FrankRuehl"/>
          <w:sz w:val="26"/>
          <w:szCs w:val="26"/>
          <w:rtl/>
        </w:rPr>
      </w:pPr>
      <w:r w:rsidRPr="00525707">
        <w:rPr>
          <w:rFonts w:cs="FrankRuehl" w:hint="cs"/>
          <w:sz w:val="26"/>
          <w:szCs w:val="26"/>
          <w:rtl/>
        </w:rPr>
        <w:t xml:space="preserve"> (4)  התאמת בניין שנבנה בלא היתר או בסטייה מהיתר או מתכנית, להיתר או לתכנית; פעל החשוד ביעילות לביצוע ההתאמה והימשכות ההליכים לא </w:t>
      </w:r>
      <w:proofErr w:type="spellStart"/>
      <w:r w:rsidRPr="00525707">
        <w:rPr>
          <w:rFonts w:cs="FrankRuehl" w:hint="cs"/>
          <w:sz w:val="26"/>
          <w:szCs w:val="26"/>
          <w:rtl/>
        </w:rPr>
        <w:t>היתה</w:t>
      </w:r>
      <w:proofErr w:type="spellEnd"/>
      <w:r w:rsidRPr="00525707">
        <w:rPr>
          <w:rFonts w:cs="FrankRuehl" w:hint="cs"/>
          <w:sz w:val="26"/>
          <w:szCs w:val="26"/>
          <w:rtl/>
        </w:rPr>
        <w:t xml:space="preserve"> בשליטתו, רשאי התובע להאריך את התקופה לקיום התנאי, ובלבד שהתקופה הכוללת לא תעלה על שנתיים.</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8.        הסכמה להודות בתובענה משמעתית או הסכמה לעונש מסוים, בהליך משמעתי על פי דין, ואולם אם כלל העונש קנס או שלילת משכורת, לא יעלה העונש האמור על הסכום האמור בסעיף 61(א)(2) לחוק העונשין; תנאי כאמור לא ייקבע בהסדר אלא בהסכמת הגורם המוסמך לפתוח בהליך המשמעתי.</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9.        התפטרות או התחייבות שלא לשמש בתפקיד מסוים.</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10.      אימוץ נהלים פנימיים מחייבים בכתב, לרבות לעניין מנגנוני פיקוח ובקרה, שיבטיחו את מניעת הישנותן של עבירות דומות; התובע יאשר נהלים כאמור לאחר התייעצות עם גורמים מקצועיים הנוגעים בדבר.</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11.      בעסק הפועל לפי רישיון לפי חוק רישוי עסקים, התשכ"ח-1968 (בתוספת זו – חוק רישוי עסקים) –</w:t>
      </w:r>
    </w:p>
    <w:p w:rsidR="000C4ACE" w:rsidRPr="00525707" w:rsidRDefault="000C4ACE" w:rsidP="00AC2A5C">
      <w:pPr>
        <w:pStyle w:val="a0"/>
        <w:ind w:left="1440" w:right="-567"/>
        <w:jc w:val="both"/>
        <w:rPr>
          <w:rFonts w:cs="FrankRuehl"/>
          <w:sz w:val="26"/>
          <w:szCs w:val="26"/>
          <w:rtl/>
        </w:rPr>
      </w:pPr>
      <w:r w:rsidRPr="00525707">
        <w:rPr>
          <w:rFonts w:cs="FrankRuehl" w:hint="cs"/>
          <w:sz w:val="26"/>
          <w:szCs w:val="26"/>
          <w:rtl/>
        </w:rPr>
        <w:t xml:space="preserve">(1)  התחייבות להפסיק עיסוק בעסק לתקופה שלא תעלה על 14 ימים, ובלבד שאם העסק נסגר בצו </w:t>
      </w:r>
      <w:proofErr w:type="spellStart"/>
      <w:r w:rsidRPr="00525707">
        <w:rPr>
          <w:rFonts w:cs="FrankRuehl" w:hint="cs"/>
          <w:sz w:val="26"/>
          <w:szCs w:val="26"/>
          <w:rtl/>
        </w:rPr>
        <w:t>מינהלי</w:t>
      </w:r>
      <w:proofErr w:type="spellEnd"/>
      <w:r w:rsidRPr="00525707">
        <w:rPr>
          <w:rFonts w:cs="FrankRuehl" w:hint="cs"/>
          <w:sz w:val="26"/>
          <w:szCs w:val="26"/>
          <w:rtl/>
        </w:rPr>
        <w:t xml:space="preserve"> או שיפוטי בשל העבירה לכאורה, לא תעלה התקופה הכוללת של הפסקת העיסוק על 30 ימים;</w:t>
      </w:r>
    </w:p>
    <w:p w:rsidR="000C4ACE" w:rsidRPr="00525707" w:rsidRDefault="000C4ACE" w:rsidP="00AC2A5C">
      <w:pPr>
        <w:pStyle w:val="a0"/>
        <w:ind w:left="1440" w:right="-567"/>
        <w:jc w:val="both"/>
        <w:rPr>
          <w:rFonts w:cs="FrankRuehl"/>
          <w:sz w:val="26"/>
          <w:szCs w:val="26"/>
          <w:rtl/>
        </w:rPr>
      </w:pPr>
      <w:r w:rsidRPr="00525707">
        <w:rPr>
          <w:rFonts w:cs="FrankRuehl" w:hint="cs"/>
          <w:sz w:val="26"/>
          <w:szCs w:val="26"/>
          <w:rtl/>
        </w:rPr>
        <w:t>(2)  התחייבות להימנע מפעולות מסוימות שיפורטו בהסדר, לתקופה שלא תעלה על 30 ימים;</w:t>
      </w:r>
    </w:p>
    <w:p w:rsidR="000C4ACE" w:rsidRPr="00525707" w:rsidRDefault="000C4ACE" w:rsidP="00AC2A5C">
      <w:pPr>
        <w:pStyle w:val="a0"/>
        <w:ind w:left="1440" w:right="-567"/>
        <w:jc w:val="both"/>
        <w:rPr>
          <w:rFonts w:cs="FrankRuehl"/>
          <w:sz w:val="26"/>
          <w:szCs w:val="26"/>
          <w:rtl/>
        </w:rPr>
      </w:pPr>
      <w:r w:rsidRPr="00525707">
        <w:rPr>
          <w:rFonts w:cs="FrankRuehl" w:hint="cs"/>
          <w:sz w:val="26"/>
          <w:szCs w:val="26"/>
          <w:rtl/>
        </w:rPr>
        <w:t>           לא ייקבע תנאי לפי פרט זה אלא בהסדר שייערך בתוך שישה חודשים מיום גילוי העבירה; העתק מההסדר יועבר לרשות הרישוי לפי חוק רישוי עסקים.</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12.      התחייבות שלא לנהל בחצרים נשוא האישום עסק טעון רישוי בלא רישיון, היתר זמני או היתר מזורז כדין כמשמעותם בחוק רישוי עסקים, או בניגוד לתנאי הרישיון, והכול בין עסק שבשלו נחשד האדם בעבירה ובין עסק אחר, ושלא להעביר לאחר את הבעלות או החזקה בעסק, אלא אם כן בידי אותו אדם רישיון, היתר זמני או היתר מזורז כדין לניהול עסק זה; העתק מההסדר יועבר לרשות הרישוי לפי חוק רישוי עסקים.</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13.      פינוי של שטח ציבורי או שטח בבעלות המדינה, שהחשוד מחזיק בו שלא כדין.</w:t>
      </w:r>
    </w:p>
    <w:p w:rsidR="000C4ACE" w:rsidRPr="00525707" w:rsidRDefault="000C4ACE" w:rsidP="00AC2A5C">
      <w:pPr>
        <w:pStyle w:val="a0"/>
        <w:ind w:right="-567"/>
        <w:jc w:val="both"/>
        <w:rPr>
          <w:rFonts w:cs="FrankRuehl"/>
          <w:sz w:val="26"/>
          <w:szCs w:val="26"/>
          <w:rtl/>
        </w:rPr>
      </w:pPr>
      <w:r w:rsidRPr="00525707">
        <w:rPr>
          <w:rFonts w:cs="FrankRuehl" w:hint="cs"/>
          <w:sz w:val="26"/>
          <w:szCs w:val="26"/>
          <w:rtl/>
        </w:rPr>
        <w:t>14.      לעניין עבירות בתיקים המנוהלים על ידי תובע המנוי בפרט 2 בתוספת הרביעית –</w:t>
      </w:r>
    </w:p>
    <w:p w:rsidR="000C4ACE" w:rsidRPr="00525707" w:rsidRDefault="000C4ACE" w:rsidP="00AC2A5C">
      <w:pPr>
        <w:pStyle w:val="a0"/>
        <w:ind w:left="1440" w:right="-567"/>
        <w:jc w:val="both"/>
        <w:rPr>
          <w:rFonts w:cs="FrankRuehl"/>
          <w:sz w:val="26"/>
          <w:szCs w:val="26"/>
          <w:rtl/>
        </w:rPr>
      </w:pPr>
      <w:r w:rsidRPr="00525707">
        <w:rPr>
          <w:rFonts w:cs="FrankRuehl" w:hint="cs"/>
          <w:sz w:val="26"/>
          <w:szCs w:val="26"/>
          <w:rtl/>
        </w:rPr>
        <w:t>(1)  תיקון ליקויים שנבעו מהעבירה;</w:t>
      </w:r>
    </w:p>
    <w:p w:rsidR="000C4ACE" w:rsidRPr="00525707" w:rsidRDefault="000C4ACE" w:rsidP="00AC2A5C">
      <w:pPr>
        <w:pStyle w:val="a0"/>
        <w:ind w:left="1440" w:right="-567"/>
        <w:jc w:val="both"/>
        <w:rPr>
          <w:rFonts w:cs="FrankRuehl"/>
          <w:sz w:val="26"/>
          <w:szCs w:val="26"/>
          <w:rtl/>
        </w:rPr>
      </w:pPr>
      <w:r w:rsidRPr="00525707">
        <w:rPr>
          <w:rFonts w:cs="FrankRuehl" w:hint="cs"/>
          <w:sz w:val="26"/>
          <w:szCs w:val="26"/>
          <w:rtl/>
        </w:rPr>
        <w:t>(2)  היה החשוד תאגיד או ארגון – נקיטת הליכים משמעתיים על פי דין כלפי נושא משרה שהיה אחראי לביצוע העבירות;</w:t>
      </w:r>
    </w:p>
    <w:p w:rsidR="000C4ACE" w:rsidRPr="00525707" w:rsidRDefault="000C4ACE" w:rsidP="00AC2A5C">
      <w:pPr>
        <w:pStyle w:val="a0"/>
        <w:ind w:left="1440" w:right="-567"/>
        <w:jc w:val="both"/>
        <w:rPr>
          <w:rFonts w:cs="FrankRuehl"/>
          <w:sz w:val="26"/>
          <w:szCs w:val="26"/>
          <w:rtl/>
        </w:rPr>
      </w:pPr>
      <w:r w:rsidRPr="00525707">
        <w:rPr>
          <w:rFonts w:cs="FrankRuehl" w:hint="cs"/>
          <w:sz w:val="26"/>
          <w:szCs w:val="26"/>
          <w:rtl/>
        </w:rPr>
        <w:t>(3)  התחייבות להעביר ליחידת האכיפה המופקדת על התחום במשרד הכלכלה, באופן ובמועדים שתורה היחידה, דיווח בהתאם לסמכויות משרד הכלכלה באשר למילוי אחר הוראות החוקים הנוגעים לעבירות שבוצעו, והמצאת אישור רואה חשבון או עורך דין בדבר עמידה בתנאי החוק;</w:t>
      </w:r>
    </w:p>
    <w:p w:rsidR="000C4ACE" w:rsidRPr="00525707" w:rsidRDefault="000C4ACE" w:rsidP="00AC2A5C">
      <w:pPr>
        <w:pStyle w:val="a0"/>
        <w:ind w:left="1440" w:right="-567"/>
        <w:jc w:val="both"/>
        <w:rPr>
          <w:rFonts w:cs="FrankRuehl"/>
          <w:sz w:val="26"/>
          <w:szCs w:val="26"/>
          <w:rtl/>
        </w:rPr>
      </w:pPr>
      <w:r w:rsidRPr="00525707">
        <w:rPr>
          <w:rFonts w:cs="FrankRuehl" w:hint="cs"/>
          <w:sz w:val="26"/>
          <w:szCs w:val="26"/>
          <w:rtl/>
        </w:rPr>
        <w:t>(4)  החזקה מהשוק, תיקון או השמדה של מוצרים שהתגלו לגביהם הפרות.</w:t>
      </w:r>
    </w:p>
    <w:p w:rsidR="00C51B7B" w:rsidRPr="00525707" w:rsidRDefault="00C51B7B" w:rsidP="00AC2A5C">
      <w:pPr>
        <w:pStyle w:val="a0"/>
        <w:ind w:right="-567"/>
        <w:jc w:val="both"/>
        <w:rPr>
          <w:rFonts w:cs="FrankRuehl"/>
          <w:sz w:val="26"/>
          <w:szCs w:val="26"/>
          <w:rtl/>
        </w:rPr>
      </w:pPr>
    </w:p>
    <w:p w:rsidR="000C4ACE" w:rsidRPr="00525707" w:rsidRDefault="000C4ACE" w:rsidP="00AC2A5C">
      <w:pPr>
        <w:pStyle w:val="a0"/>
        <w:ind w:right="-567"/>
        <w:jc w:val="center"/>
        <w:rPr>
          <w:rFonts w:cs="FrankRuehl"/>
          <w:sz w:val="26"/>
          <w:szCs w:val="26"/>
          <w:rtl/>
        </w:rPr>
      </w:pPr>
      <w:bookmarkStart w:id="27" w:name="Rov456"/>
      <w:bookmarkStart w:id="28" w:name="med14"/>
      <w:bookmarkEnd w:id="27"/>
      <w:bookmarkEnd w:id="28"/>
      <w:r w:rsidRPr="00525707">
        <w:rPr>
          <w:rFonts w:cs="FrankRuehl" w:hint="cs"/>
          <w:b/>
          <w:bCs/>
          <w:sz w:val="26"/>
          <w:szCs w:val="26"/>
          <w:rtl/>
        </w:rPr>
        <w:t>תוספת שישית</w:t>
      </w:r>
    </w:p>
    <w:p w:rsidR="000C4ACE" w:rsidRPr="00525707" w:rsidRDefault="000C4ACE" w:rsidP="00AC2A5C">
      <w:pPr>
        <w:pStyle w:val="a0"/>
        <w:ind w:right="-567"/>
        <w:jc w:val="center"/>
        <w:rPr>
          <w:rFonts w:cs="FrankRuehl"/>
          <w:sz w:val="26"/>
          <w:szCs w:val="26"/>
          <w:rtl/>
        </w:rPr>
      </w:pPr>
      <w:r w:rsidRPr="00525707">
        <w:rPr>
          <w:rFonts w:cs="FrankRuehl" w:hint="cs"/>
          <w:sz w:val="26"/>
          <w:szCs w:val="26"/>
          <w:rtl/>
        </w:rPr>
        <w:t>(סעיף 67א(ג))</w:t>
      </w:r>
    </w:p>
    <w:p w:rsidR="00C51B7B" w:rsidRPr="00525707" w:rsidRDefault="00C51B7B" w:rsidP="00AC2A5C">
      <w:pPr>
        <w:pStyle w:val="a0"/>
        <w:ind w:right="-567"/>
        <w:jc w:val="center"/>
        <w:rPr>
          <w:rFonts w:cs="FrankRuehl"/>
          <w:sz w:val="26"/>
          <w:szCs w:val="26"/>
          <w:rtl/>
        </w:rPr>
      </w:pPr>
      <w:r w:rsidRPr="00525707">
        <w:rPr>
          <w:rFonts w:cs="FrankRuehl" w:hint="cs"/>
          <w:sz w:val="26"/>
          <w:szCs w:val="26"/>
          <w:rtl/>
        </w:rPr>
        <w:t>[ריקה]</w:t>
      </w:r>
    </w:p>
    <w:p w:rsidR="000C4ACE" w:rsidRPr="00525707" w:rsidRDefault="000C4ACE" w:rsidP="00AC2A5C">
      <w:pPr>
        <w:pStyle w:val="a0"/>
        <w:ind w:right="-567"/>
        <w:jc w:val="both"/>
        <w:rPr>
          <w:rFonts w:cs="FrankRuehl"/>
          <w:sz w:val="26"/>
          <w:szCs w:val="26"/>
        </w:rPr>
      </w:pPr>
    </w:p>
    <w:sectPr w:rsidR="000C4ACE" w:rsidRPr="00525707">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ACE" w:rsidRDefault="000C4ACE" w:rsidP="00D36F73">
      <w:pPr>
        <w:spacing w:after="0" w:line="240" w:lineRule="auto"/>
      </w:pPr>
      <w:r>
        <w:separator/>
      </w:r>
    </w:p>
  </w:endnote>
  <w:endnote w:type="continuationSeparator" w:id="0">
    <w:p w:rsidR="000C4ACE" w:rsidRDefault="000C4ACE" w:rsidP="00D36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Garamond" w:hAnsi="Garamond" w:cs="David"/>
        <w:szCs w:val="20"/>
        <w:rtl/>
      </w:rPr>
      <w:id w:val="-2089916564"/>
      <w:docPartObj>
        <w:docPartGallery w:val="Page Numbers (Bottom of Page)"/>
        <w:docPartUnique/>
      </w:docPartObj>
    </w:sdtPr>
    <w:sdtEndPr>
      <w:rPr>
        <w:noProof/>
      </w:rPr>
    </w:sdtEndPr>
    <w:sdtContent>
      <w:p w:rsidR="00516CAA" w:rsidRPr="007517E6" w:rsidRDefault="00516CAA">
        <w:pPr>
          <w:pStyle w:val="a8"/>
          <w:jc w:val="center"/>
          <w:rPr>
            <w:rFonts w:ascii="Garamond" w:hAnsi="Garamond" w:cs="David"/>
            <w:szCs w:val="20"/>
          </w:rPr>
        </w:pPr>
        <w:r w:rsidRPr="007517E6">
          <w:rPr>
            <w:rFonts w:ascii="Garamond" w:hAnsi="Garamond" w:cs="David"/>
            <w:szCs w:val="20"/>
          </w:rPr>
          <w:fldChar w:fldCharType="begin"/>
        </w:r>
        <w:r w:rsidRPr="007517E6">
          <w:rPr>
            <w:rFonts w:ascii="Garamond" w:hAnsi="Garamond" w:cs="David"/>
            <w:szCs w:val="20"/>
          </w:rPr>
          <w:instrText xml:space="preserve"> PAGE   \* MERGEFORMAT </w:instrText>
        </w:r>
        <w:r w:rsidRPr="007517E6">
          <w:rPr>
            <w:rFonts w:ascii="Garamond" w:hAnsi="Garamond" w:cs="David"/>
            <w:szCs w:val="20"/>
          </w:rPr>
          <w:fldChar w:fldCharType="separate"/>
        </w:r>
        <w:r w:rsidR="00B87B6C">
          <w:rPr>
            <w:rFonts w:ascii="Garamond" w:hAnsi="Garamond" w:cs="David"/>
            <w:noProof/>
            <w:szCs w:val="20"/>
            <w:rtl/>
          </w:rPr>
          <w:t>1</w:t>
        </w:r>
        <w:r w:rsidRPr="007517E6">
          <w:rPr>
            <w:rFonts w:ascii="Garamond" w:hAnsi="Garamond" w:cs="David"/>
            <w:noProof/>
            <w:szCs w:val="20"/>
          </w:rPr>
          <w:fldChar w:fldCharType="end"/>
        </w:r>
      </w:p>
    </w:sdtContent>
  </w:sdt>
  <w:p w:rsidR="00516CAA" w:rsidRPr="00516CAA" w:rsidRDefault="00516CAA">
    <w:pPr>
      <w:pStyle w:val="a8"/>
      <w:rPr>
        <w:rFonts w:ascii="Garamond" w:hAnsi="Garamond"/>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ACE" w:rsidRDefault="000C4ACE" w:rsidP="00516CAA">
      <w:pPr>
        <w:spacing w:after="0" w:line="240" w:lineRule="auto"/>
      </w:pPr>
      <w:r>
        <w:separator/>
      </w:r>
    </w:p>
  </w:footnote>
  <w:footnote w:type="continuationSeparator" w:id="0">
    <w:p w:rsidR="000C4ACE" w:rsidRDefault="000C4ACE" w:rsidP="00D36F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ACE"/>
    <w:rsid w:val="000C4ACE"/>
    <w:rsid w:val="003777F3"/>
    <w:rsid w:val="00516CAA"/>
    <w:rsid w:val="00525707"/>
    <w:rsid w:val="00577A43"/>
    <w:rsid w:val="005E2C7D"/>
    <w:rsid w:val="00637970"/>
    <w:rsid w:val="00697936"/>
    <w:rsid w:val="006B6B58"/>
    <w:rsid w:val="006E3EB2"/>
    <w:rsid w:val="006E566A"/>
    <w:rsid w:val="007517E6"/>
    <w:rsid w:val="0091367D"/>
    <w:rsid w:val="009802D3"/>
    <w:rsid w:val="00AC2A5C"/>
    <w:rsid w:val="00B87B6C"/>
    <w:rsid w:val="00C51B7B"/>
    <w:rsid w:val="00C54982"/>
    <w:rsid w:val="00C64371"/>
    <w:rsid w:val="00C710EC"/>
    <w:rsid w:val="00CE5A25"/>
    <w:rsid w:val="00D36F73"/>
    <w:rsid w:val="00D52F9E"/>
    <w:rsid w:val="00DB11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6B6B58"/>
    <w:pPr>
      <w:bidi/>
      <w:ind w:left="720"/>
    </w:pPr>
    <w:rPr>
      <w:rFonts w:ascii="David" w:hAnsi="David"/>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link w:val="a4"/>
    <w:uiPriority w:val="99"/>
    <w:semiHidden/>
    <w:unhideWhenUsed/>
    <w:rsid w:val="00C64371"/>
    <w:pPr>
      <w:spacing w:after="0" w:line="240" w:lineRule="auto"/>
    </w:pPr>
    <w:rPr>
      <w:rFonts w:cs="David"/>
      <w:szCs w:val="20"/>
    </w:rPr>
  </w:style>
  <w:style w:type="character" w:customStyle="1" w:styleId="a4">
    <w:name w:val="טקסט הערת שוליים תו"/>
    <w:basedOn w:val="a1"/>
    <w:link w:val="a0"/>
    <w:uiPriority w:val="99"/>
    <w:semiHidden/>
    <w:rsid w:val="00C64371"/>
    <w:rPr>
      <w:rFonts w:ascii="David" w:hAnsi="David" w:cs="David"/>
      <w:sz w:val="20"/>
      <w:szCs w:val="20"/>
    </w:rPr>
  </w:style>
  <w:style w:type="character" w:styleId="a5">
    <w:name w:val="footnote reference"/>
    <w:basedOn w:val="a1"/>
    <w:uiPriority w:val="99"/>
    <w:semiHidden/>
    <w:unhideWhenUsed/>
    <w:rsid w:val="00D36F73"/>
    <w:rPr>
      <w:vertAlign w:val="superscript"/>
    </w:rPr>
  </w:style>
  <w:style w:type="paragraph" w:styleId="a6">
    <w:name w:val="header"/>
    <w:basedOn w:val="a"/>
    <w:link w:val="a7"/>
    <w:uiPriority w:val="99"/>
    <w:unhideWhenUsed/>
    <w:rsid w:val="00516CAA"/>
    <w:pPr>
      <w:tabs>
        <w:tab w:val="center" w:pos="4320"/>
        <w:tab w:val="right" w:pos="8640"/>
      </w:tabs>
      <w:spacing w:after="0" w:line="240" w:lineRule="auto"/>
    </w:pPr>
  </w:style>
  <w:style w:type="character" w:customStyle="1" w:styleId="a7">
    <w:name w:val="כותרת עליונה תו"/>
    <w:basedOn w:val="a1"/>
    <w:link w:val="a6"/>
    <w:uiPriority w:val="99"/>
    <w:rsid w:val="00516CAA"/>
  </w:style>
  <w:style w:type="paragraph" w:styleId="a8">
    <w:name w:val="footer"/>
    <w:basedOn w:val="a"/>
    <w:link w:val="a9"/>
    <w:uiPriority w:val="99"/>
    <w:unhideWhenUsed/>
    <w:rsid w:val="00516CAA"/>
    <w:pPr>
      <w:tabs>
        <w:tab w:val="center" w:pos="4320"/>
        <w:tab w:val="right" w:pos="8640"/>
      </w:tabs>
      <w:spacing w:after="0" w:line="240" w:lineRule="auto"/>
    </w:pPr>
  </w:style>
  <w:style w:type="character" w:customStyle="1" w:styleId="a9">
    <w:name w:val="כותרת תחתונה תו"/>
    <w:basedOn w:val="a1"/>
    <w:link w:val="a8"/>
    <w:uiPriority w:val="99"/>
    <w:rsid w:val="00516C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6B6B58"/>
    <w:pPr>
      <w:bidi/>
      <w:ind w:left="720"/>
    </w:pPr>
    <w:rPr>
      <w:rFonts w:ascii="David" w:hAnsi="David"/>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link w:val="a4"/>
    <w:uiPriority w:val="99"/>
    <w:semiHidden/>
    <w:unhideWhenUsed/>
    <w:rsid w:val="00C64371"/>
    <w:pPr>
      <w:spacing w:after="0" w:line="240" w:lineRule="auto"/>
    </w:pPr>
    <w:rPr>
      <w:rFonts w:cs="David"/>
      <w:szCs w:val="20"/>
    </w:rPr>
  </w:style>
  <w:style w:type="character" w:customStyle="1" w:styleId="a4">
    <w:name w:val="טקסט הערת שוליים תו"/>
    <w:basedOn w:val="a1"/>
    <w:link w:val="a0"/>
    <w:uiPriority w:val="99"/>
    <w:semiHidden/>
    <w:rsid w:val="00C64371"/>
    <w:rPr>
      <w:rFonts w:ascii="David" w:hAnsi="David" w:cs="David"/>
      <w:sz w:val="20"/>
      <w:szCs w:val="20"/>
    </w:rPr>
  </w:style>
  <w:style w:type="character" w:styleId="a5">
    <w:name w:val="footnote reference"/>
    <w:basedOn w:val="a1"/>
    <w:uiPriority w:val="99"/>
    <w:semiHidden/>
    <w:unhideWhenUsed/>
    <w:rsid w:val="00D36F73"/>
    <w:rPr>
      <w:vertAlign w:val="superscript"/>
    </w:rPr>
  </w:style>
  <w:style w:type="paragraph" w:styleId="a6">
    <w:name w:val="header"/>
    <w:basedOn w:val="a"/>
    <w:link w:val="a7"/>
    <w:uiPriority w:val="99"/>
    <w:unhideWhenUsed/>
    <w:rsid w:val="00516CAA"/>
    <w:pPr>
      <w:tabs>
        <w:tab w:val="center" w:pos="4320"/>
        <w:tab w:val="right" w:pos="8640"/>
      </w:tabs>
      <w:spacing w:after="0" w:line="240" w:lineRule="auto"/>
    </w:pPr>
  </w:style>
  <w:style w:type="character" w:customStyle="1" w:styleId="a7">
    <w:name w:val="כותרת עליונה תו"/>
    <w:basedOn w:val="a1"/>
    <w:link w:val="a6"/>
    <w:uiPriority w:val="99"/>
    <w:rsid w:val="00516CAA"/>
  </w:style>
  <w:style w:type="paragraph" w:styleId="a8">
    <w:name w:val="footer"/>
    <w:basedOn w:val="a"/>
    <w:link w:val="a9"/>
    <w:uiPriority w:val="99"/>
    <w:unhideWhenUsed/>
    <w:rsid w:val="00516CAA"/>
    <w:pPr>
      <w:tabs>
        <w:tab w:val="center" w:pos="4320"/>
        <w:tab w:val="right" w:pos="8640"/>
      </w:tabs>
      <w:spacing w:after="0" w:line="240" w:lineRule="auto"/>
    </w:pPr>
  </w:style>
  <w:style w:type="character" w:customStyle="1" w:styleId="a9">
    <w:name w:val="כותרת תחתונה תו"/>
    <w:basedOn w:val="a1"/>
    <w:link w:val="a8"/>
    <w:uiPriority w:val="99"/>
    <w:rsid w:val="00516C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251954">
      <w:bodyDiv w:val="1"/>
      <w:marLeft w:val="0"/>
      <w:marRight w:val="0"/>
      <w:marTop w:val="0"/>
      <w:marBottom w:val="0"/>
      <w:divBdr>
        <w:top w:val="none" w:sz="0" w:space="0" w:color="auto"/>
        <w:left w:val="none" w:sz="0" w:space="0" w:color="auto"/>
        <w:bottom w:val="none" w:sz="0" w:space="0" w:color="auto"/>
        <w:right w:val="none" w:sz="0" w:space="0" w:color="auto"/>
      </w:divBdr>
    </w:div>
    <w:div w:id="1187137304">
      <w:bodyDiv w:val="1"/>
      <w:marLeft w:val="0"/>
      <w:marRight w:val="0"/>
      <w:marTop w:val="0"/>
      <w:marBottom w:val="0"/>
      <w:divBdr>
        <w:top w:val="none" w:sz="0" w:space="0" w:color="auto"/>
        <w:left w:val="none" w:sz="0" w:space="0" w:color="auto"/>
        <w:bottom w:val="none" w:sz="0" w:space="0" w:color="auto"/>
        <w:right w:val="none" w:sz="0" w:space="0" w:color="auto"/>
      </w:divBdr>
      <w:divsChild>
        <w:div w:id="1407074404">
          <w:marLeft w:val="1134"/>
          <w:marRight w:val="0"/>
          <w:marTop w:val="0"/>
          <w:marBottom w:val="0"/>
          <w:divBdr>
            <w:top w:val="none" w:sz="0" w:space="0" w:color="auto"/>
            <w:left w:val="none" w:sz="0" w:space="0" w:color="auto"/>
            <w:bottom w:val="single" w:sz="8" w:space="1" w:color="auto"/>
            <w:right w:val="none" w:sz="0" w:space="0" w:color="auto"/>
          </w:divBdr>
        </w:div>
      </w:divsChild>
    </w:div>
    <w:div w:id="1528443552">
      <w:bodyDiv w:val="1"/>
      <w:marLeft w:val="0"/>
      <w:marRight w:val="0"/>
      <w:marTop w:val="0"/>
      <w:marBottom w:val="0"/>
      <w:divBdr>
        <w:top w:val="none" w:sz="0" w:space="0" w:color="auto"/>
        <w:left w:val="none" w:sz="0" w:space="0" w:color="auto"/>
        <w:bottom w:val="none" w:sz="0" w:space="0" w:color="auto"/>
        <w:right w:val="none" w:sz="0" w:space="0" w:color="auto"/>
      </w:divBdr>
    </w:div>
    <w:div w:id="1973291081">
      <w:bodyDiv w:val="1"/>
      <w:marLeft w:val="0"/>
      <w:marRight w:val="0"/>
      <w:marTop w:val="0"/>
      <w:marBottom w:val="0"/>
      <w:divBdr>
        <w:top w:val="none" w:sz="0" w:space="0" w:color="auto"/>
        <w:left w:val="none" w:sz="0" w:space="0" w:color="auto"/>
        <w:bottom w:val="none" w:sz="0" w:space="0" w:color="auto"/>
        <w:right w:val="none" w:sz="0" w:space="0" w:color="auto"/>
      </w:divBdr>
      <w:divsChild>
        <w:div w:id="1490710409">
          <w:marLeft w:val="1134"/>
          <w:marRight w:val="0"/>
          <w:marTop w:val="0"/>
          <w:marBottom w:val="0"/>
          <w:divBdr>
            <w:top w:val="none" w:sz="0" w:space="0" w:color="auto"/>
            <w:left w:val="none" w:sz="0" w:space="0" w:color="auto"/>
            <w:bottom w:val="single" w:sz="8" w:space="1"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A7C738-CF1E-4F9B-AF40-A3855BA299A4}"/>
</file>

<file path=customXml/itemProps2.xml><?xml version="1.0" encoding="utf-8"?>
<ds:datastoreItem xmlns:ds="http://schemas.openxmlformats.org/officeDocument/2006/customXml" ds:itemID="{37D274D5-0414-4A3E-BDB4-7D8CF3417AC9}"/>
</file>

<file path=customXml/itemProps3.xml><?xml version="1.0" encoding="utf-8"?>
<ds:datastoreItem xmlns:ds="http://schemas.openxmlformats.org/officeDocument/2006/customXml" ds:itemID="{77112E77-B6B9-4270-9780-FC992529AD48}"/>
</file>

<file path=customXml/itemProps4.xml><?xml version="1.0" encoding="utf-8"?>
<ds:datastoreItem xmlns:ds="http://schemas.openxmlformats.org/officeDocument/2006/customXml" ds:itemID="{67CC2D6A-77D5-4A5D-AB1D-616F65FD3AEB}"/>
</file>

<file path=docProps/app.xml><?xml version="1.0" encoding="utf-8"?>
<Properties xmlns="http://schemas.openxmlformats.org/officeDocument/2006/extended-properties" xmlns:vt="http://schemas.openxmlformats.org/officeDocument/2006/docPropsVTypes">
  <Template>Normal</Template>
  <TotalTime>0</TotalTime>
  <Pages>5</Pages>
  <Words>2167</Words>
  <Characters>10840</Characters>
  <Application>Microsoft Office Word</Application>
  <DocSecurity>4</DocSecurity>
  <Lines>90</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dcterms:created xsi:type="dcterms:W3CDTF">2015-06-07T06:36:00Z</dcterms:created>
  <dcterms:modified xsi:type="dcterms:W3CDTF">2015-06-07T06:36:00Z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