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E3" w:rsidRPr="00D75B3F" w:rsidRDefault="00D212FD" w:rsidP="0074368D">
      <w:pPr>
        <w:widowControl/>
        <w:tabs>
          <w:tab w:val="right" w:pos="9638"/>
        </w:tabs>
        <w:adjustRightInd/>
        <w:spacing w:before="0" w:line="240" w:lineRule="auto"/>
        <w:ind w:firstLine="0"/>
        <w:jc w:val="right"/>
        <w:textAlignment w:val="auto"/>
        <w:rPr>
          <w:rFonts w:ascii="David" w:eastAsia="Times New Roman" w:hAnsi="David" w:cs="David"/>
          <w:color w:val="auto"/>
          <w:spacing w:val="0"/>
          <w:sz w:val="24"/>
          <w:szCs w:val="24"/>
          <w:rtl/>
          <w:lang w:eastAsia="he-IL"/>
        </w:rPr>
      </w:pPr>
      <w:bookmarkStart w:id="0" w:name="_GoBack"/>
      <w:bookmarkEnd w:id="0"/>
      <w:r>
        <w:rPr>
          <w:rFonts w:ascii="David" w:eastAsia="Times New Roman" w:hAnsi="David" w:cs="David" w:hint="eastAsia"/>
          <w:color w:val="auto"/>
          <w:spacing w:val="0"/>
          <w:sz w:val="24"/>
          <w:szCs w:val="24"/>
          <w:rtl/>
          <w:lang w:eastAsia="he-IL"/>
        </w:rPr>
        <w:t>‏י</w:t>
      </w:r>
      <w:r>
        <w:rPr>
          <w:rFonts w:ascii="David" w:eastAsia="Times New Roman" w:hAnsi="David" w:cs="David"/>
          <w:color w:val="auto"/>
          <w:spacing w:val="0"/>
          <w:sz w:val="24"/>
          <w:szCs w:val="24"/>
          <w:rtl/>
          <w:lang w:eastAsia="he-IL"/>
        </w:rPr>
        <w:t>"ז סיון תשע"ה</w:t>
      </w:r>
    </w:p>
    <w:p w:rsidR="00D212FD" w:rsidRDefault="00D212FD" w:rsidP="0074368D">
      <w:pPr>
        <w:widowControl/>
        <w:adjustRightInd/>
        <w:spacing w:before="0" w:line="240" w:lineRule="auto"/>
        <w:ind w:firstLine="0"/>
        <w:jc w:val="right"/>
        <w:textAlignment w:val="auto"/>
        <w:rPr>
          <w:rFonts w:ascii="David" w:eastAsia="Times New Roman" w:hAnsi="David" w:cs="David"/>
          <w:color w:val="auto"/>
          <w:spacing w:val="0"/>
          <w:sz w:val="24"/>
          <w:szCs w:val="24"/>
          <w:rtl/>
          <w:lang w:eastAsia="he-IL"/>
        </w:rPr>
      </w:pPr>
      <w:r>
        <w:rPr>
          <w:rFonts w:ascii="David" w:eastAsia="Times New Roman" w:hAnsi="David" w:cs="David" w:hint="eastAsia"/>
          <w:color w:val="auto"/>
          <w:spacing w:val="0"/>
          <w:sz w:val="24"/>
          <w:szCs w:val="24"/>
          <w:rtl/>
          <w:lang w:eastAsia="he-IL"/>
        </w:rPr>
        <w:t>‏</w:t>
      </w:r>
      <w:r>
        <w:rPr>
          <w:rFonts w:ascii="David" w:eastAsia="Times New Roman" w:hAnsi="David" w:cs="David"/>
          <w:color w:val="auto"/>
          <w:spacing w:val="0"/>
          <w:sz w:val="24"/>
          <w:szCs w:val="24"/>
          <w:rtl/>
          <w:lang w:eastAsia="he-IL"/>
        </w:rPr>
        <w:t>04 יוני 2015</w:t>
      </w:r>
    </w:p>
    <w:p w:rsidR="00D74FE3" w:rsidRPr="00D75B3F" w:rsidRDefault="00D74FE3" w:rsidP="0074368D">
      <w:pPr>
        <w:widowControl/>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r w:rsidRPr="00D75B3F">
        <w:rPr>
          <w:rFonts w:ascii="Times New Roman" w:eastAsia="Times New Roman" w:hAnsi="Times New Roman" w:cs="David"/>
          <w:color w:val="auto"/>
          <w:spacing w:val="0"/>
          <w:sz w:val="24"/>
          <w:szCs w:val="24"/>
          <w:u w:val="single"/>
          <w:rtl/>
          <w:lang w:eastAsia="he-IL"/>
        </w:rPr>
        <w:t>אל</w:t>
      </w:r>
      <w:r w:rsidRPr="00D75B3F">
        <w:rPr>
          <w:rFonts w:ascii="Times New Roman" w:eastAsia="Times New Roman" w:hAnsi="Times New Roman" w:cs="David"/>
          <w:color w:val="auto"/>
          <w:spacing w:val="0"/>
          <w:sz w:val="24"/>
          <w:szCs w:val="24"/>
          <w:rtl/>
          <w:lang w:eastAsia="he-IL"/>
        </w:rPr>
        <w:t>: חברי ועדת החוקה, חוק ומשפט</w:t>
      </w:r>
    </w:p>
    <w:p w:rsidR="00D74FE3" w:rsidRPr="00D75B3F" w:rsidRDefault="00D74FE3" w:rsidP="0074368D">
      <w:pPr>
        <w:widowControl/>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r w:rsidRPr="00D75B3F">
        <w:rPr>
          <w:rFonts w:ascii="Times New Roman" w:eastAsia="Times New Roman" w:hAnsi="Times New Roman" w:cs="David"/>
          <w:color w:val="auto"/>
          <w:spacing w:val="0"/>
          <w:sz w:val="24"/>
          <w:szCs w:val="24"/>
          <w:u w:val="single"/>
          <w:rtl/>
          <w:lang w:eastAsia="he-IL"/>
        </w:rPr>
        <w:t>מאת</w:t>
      </w:r>
      <w:r w:rsidRPr="00D75B3F">
        <w:rPr>
          <w:rFonts w:ascii="Times New Roman" w:eastAsia="Times New Roman" w:hAnsi="Times New Roman" w:cs="David"/>
          <w:color w:val="auto"/>
          <w:spacing w:val="0"/>
          <w:sz w:val="24"/>
          <w:szCs w:val="24"/>
          <w:rtl/>
          <w:lang w:eastAsia="he-IL"/>
        </w:rPr>
        <w:t>: הייעוץ המשפטי לוועדה</w:t>
      </w:r>
    </w:p>
    <w:p w:rsidR="00D74FE3" w:rsidRPr="00D75B3F" w:rsidRDefault="00D74FE3" w:rsidP="0074368D">
      <w:pPr>
        <w:widowControl/>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p>
    <w:p w:rsidR="00D74FE3" w:rsidRPr="00D75B3F" w:rsidRDefault="00D74FE3" w:rsidP="0074368D">
      <w:pPr>
        <w:widowControl/>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p>
    <w:p w:rsidR="009F6050" w:rsidRDefault="00D74FE3" w:rsidP="009F6050">
      <w:pPr>
        <w:keepNext/>
        <w:keepLines/>
        <w:tabs>
          <w:tab w:val="left" w:pos="4071"/>
          <w:tab w:val="center" w:pos="4819"/>
        </w:tabs>
        <w:snapToGrid w:val="0"/>
        <w:spacing w:before="0" w:line="360" w:lineRule="auto"/>
        <w:ind w:firstLine="0"/>
        <w:jc w:val="center"/>
        <w:rPr>
          <w:rFonts w:ascii="Arial" w:eastAsia="Calibri" w:hAnsi="Arial" w:cs="David"/>
          <w:b/>
          <w:bCs/>
          <w:spacing w:val="0"/>
          <w:sz w:val="24"/>
          <w:szCs w:val="24"/>
          <w:u w:val="single"/>
          <w:rtl/>
        </w:rPr>
      </w:pPr>
      <w:r w:rsidRPr="00D75B3F">
        <w:rPr>
          <w:rFonts w:ascii="Arial" w:eastAsia="Calibri" w:hAnsi="Arial" w:cs="David" w:hint="cs"/>
          <w:b/>
          <w:bCs/>
          <w:spacing w:val="0"/>
          <w:sz w:val="24"/>
          <w:szCs w:val="24"/>
          <w:u w:val="single"/>
          <w:rtl/>
        </w:rPr>
        <w:t xml:space="preserve">מסמך רקע לדיון מעקב </w:t>
      </w:r>
      <w:r w:rsidR="009F6050" w:rsidRPr="009F6050">
        <w:rPr>
          <w:rFonts w:ascii="Arial" w:eastAsia="Calibri" w:hAnsi="Arial" w:cs="David"/>
          <w:b/>
          <w:bCs/>
          <w:spacing w:val="0"/>
          <w:sz w:val="24"/>
          <w:szCs w:val="24"/>
          <w:u w:val="single"/>
          <w:rtl/>
        </w:rPr>
        <w:t>ליישומו של חוק סדר הדין</w:t>
      </w:r>
      <w:r w:rsidR="009F6050">
        <w:rPr>
          <w:rFonts w:ascii="Arial" w:eastAsia="Calibri" w:hAnsi="Arial" w:cs="David"/>
          <w:b/>
          <w:bCs/>
          <w:spacing w:val="0"/>
          <w:sz w:val="24"/>
          <w:szCs w:val="24"/>
          <w:u w:val="single"/>
          <w:rtl/>
        </w:rPr>
        <w:t xml:space="preserve"> הפלילי (תיקון מס'</w:t>
      </w:r>
      <w:r w:rsidR="009F6050" w:rsidRPr="009F6050">
        <w:rPr>
          <w:rFonts w:ascii="Arial" w:eastAsia="Calibri" w:hAnsi="Arial" w:cs="David"/>
          <w:b/>
          <w:bCs/>
          <w:spacing w:val="0"/>
          <w:sz w:val="24"/>
          <w:szCs w:val="24"/>
          <w:u w:val="single"/>
          <w:rtl/>
        </w:rPr>
        <w:t xml:space="preserve"> 66), התשע"ב</w:t>
      </w:r>
      <w:r w:rsidR="009F6050">
        <w:rPr>
          <w:rFonts w:ascii="Arial" w:eastAsia="Calibri" w:hAnsi="Arial" w:cs="David" w:hint="cs"/>
          <w:b/>
          <w:bCs/>
          <w:spacing w:val="0"/>
          <w:sz w:val="24"/>
          <w:szCs w:val="24"/>
          <w:u w:val="single"/>
          <w:rtl/>
        </w:rPr>
        <w:t>–</w:t>
      </w:r>
      <w:r w:rsidR="009F6050" w:rsidRPr="009F6050">
        <w:rPr>
          <w:rFonts w:ascii="Arial" w:eastAsia="Calibri" w:hAnsi="Arial" w:cs="David"/>
          <w:b/>
          <w:bCs/>
          <w:spacing w:val="0"/>
          <w:sz w:val="24"/>
          <w:szCs w:val="24"/>
          <w:u w:val="single"/>
          <w:rtl/>
        </w:rPr>
        <w:t>2012</w:t>
      </w:r>
      <w:r w:rsidR="00402586">
        <w:rPr>
          <w:rFonts w:ascii="Arial" w:eastAsia="Calibri" w:hAnsi="Arial" w:cs="David" w:hint="cs"/>
          <w:b/>
          <w:bCs/>
          <w:spacing w:val="0"/>
          <w:sz w:val="24"/>
          <w:szCs w:val="24"/>
          <w:u w:val="single"/>
          <w:rtl/>
        </w:rPr>
        <w:t>,</w:t>
      </w:r>
      <w:r w:rsidRPr="00D75B3F">
        <w:rPr>
          <w:rFonts w:ascii="Arial" w:eastAsia="Calibri" w:hAnsi="Arial" w:cs="David" w:hint="cs"/>
          <w:b/>
          <w:bCs/>
          <w:spacing w:val="0"/>
          <w:sz w:val="24"/>
          <w:szCs w:val="24"/>
          <w:u w:val="single"/>
          <w:rtl/>
        </w:rPr>
        <w:t xml:space="preserve"> </w:t>
      </w:r>
    </w:p>
    <w:p w:rsidR="00D74FE3" w:rsidRPr="00D75B3F" w:rsidRDefault="00D74FE3" w:rsidP="009F6050">
      <w:pPr>
        <w:keepNext/>
        <w:keepLines/>
        <w:tabs>
          <w:tab w:val="left" w:pos="4071"/>
          <w:tab w:val="center" w:pos="4819"/>
        </w:tabs>
        <w:snapToGrid w:val="0"/>
        <w:spacing w:before="0" w:line="360" w:lineRule="auto"/>
        <w:ind w:firstLine="0"/>
        <w:jc w:val="center"/>
        <w:rPr>
          <w:rFonts w:ascii="Arial" w:eastAsia="Calibri" w:hAnsi="Arial" w:cs="David"/>
          <w:b/>
          <w:bCs/>
          <w:spacing w:val="0"/>
          <w:sz w:val="24"/>
          <w:szCs w:val="24"/>
          <w:rtl/>
        </w:rPr>
      </w:pPr>
      <w:r w:rsidRPr="00D75B3F">
        <w:rPr>
          <w:rFonts w:ascii="Arial" w:eastAsia="Calibri" w:hAnsi="Arial" w:cs="David"/>
          <w:b/>
          <w:bCs/>
          <w:spacing w:val="0"/>
          <w:sz w:val="24"/>
          <w:szCs w:val="24"/>
          <w:u w:val="single"/>
          <w:rtl/>
        </w:rPr>
        <w:t>הסדר לסגירת תיק</w:t>
      </w:r>
      <w:r w:rsidR="009F6050">
        <w:rPr>
          <w:rFonts w:ascii="Arial" w:eastAsia="Calibri" w:hAnsi="Arial" w:cs="David" w:hint="cs"/>
          <w:b/>
          <w:bCs/>
          <w:spacing w:val="0"/>
          <w:sz w:val="24"/>
          <w:szCs w:val="24"/>
          <w:u w:val="single"/>
          <w:rtl/>
        </w:rPr>
        <w:t xml:space="preserve"> –</w:t>
      </w:r>
      <w:r w:rsidR="009F6050" w:rsidRPr="009F6050">
        <w:rPr>
          <w:rFonts w:ascii="Arial" w:eastAsia="Calibri" w:hAnsi="Arial" w:cs="David" w:hint="cs"/>
          <w:b/>
          <w:bCs/>
          <w:spacing w:val="0"/>
          <w:sz w:val="24"/>
          <w:szCs w:val="24"/>
          <w:u w:val="single"/>
          <w:rtl/>
        </w:rPr>
        <w:t xml:space="preserve"> </w:t>
      </w:r>
      <w:r w:rsidR="009F6050">
        <w:rPr>
          <w:rFonts w:ascii="Arial" w:eastAsia="Calibri" w:hAnsi="Arial" w:cs="David" w:hint="cs"/>
          <w:b/>
          <w:bCs/>
          <w:spacing w:val="0"/>
          <w:sz w:val="24"/>
          <w:szCs w:val="24"/>
          <w:u w:val="single"/>
          <w:rtl/>
        </w:rPr>
        <w:t xml:space="preserve">שקבוע ביום 9.7.15 </w:t>
      </w:r>
    </w:p>
    <w:p w:rsidR="00D74FE3" w:rsidRPr="00D75B3F" w:rsidRDefault="00D74FE3" w:rsidP="0074368D">
      <w:pPr>
        <w:keepNext/>
        <w:keepLines/>
        <w:tabs>
          <w:tab w:val="left" w:pos="4071"/>
          <w:tab w:val="center" w:pos="4819"/>
        </w:tabs>
        <w:snapToGrid w:val="0"/>
        <w:spacing w:before="0" w:line="240" w:lineRule="auto"/>
        <w:ind w:firstLine="0"/>
        <w:jc w:val="center"/>
        <w:rPr>
          <w:rFonts w:ascii="Arial" w:eastAsia="Calibri" w:hAnsi="Arial" w:cs="David"/>
          <w:spacing w:val="0"/>
          <w:sz w:val="24"/>
          <w:szCs w:val="24"/>
          <w:rtl/>
        </w:rPr>
      </w:pPr>
    </w:p>
    <w:p w:rsidR="00EF0573" w:rsidRPr="00D75B3F" w:rsidRDefault="00EF0573" w:rsidP="0074368D">
      <w:pPr>
        <w:spacing w:line="360" w:lineRule="auto"/>
        <w:rPr>
          <w:rFonts w:ascii="Garamond" w:hAnsi="Garamond" w:cs="David"/>
          <w:sz w:val="24"/>
          <w:szCs w:val="24"/>
          <w:rtl/>
        </w:rPr>
      </w:pPr>
      <w:r w:rsidRPr="00D75B3F">
        <w:rPr>
          <w:rFonts w:ascii="Garamond" w:hAnsi="Garamond" w:cs="David" w:hint="cs"/>
          <w:sz w:val="24"/>
          <w:szCs w:val="24"/>
          <w:rtl/>
        </w:rPr>
        <w:t xml:space="preserve">בשנת 2012, חוקקה הכנסת את </w:t>
      </w:r>
      <w:r w:rsidRPr="00D75B3F">
        <w:rPr>
          <w:rFonts w:ascii="Garamond" w:hAnsi="Garamond" w:cs="David"/>
          <w:sz w:val="24"/>
          <w:szCs w:val="24"/>
          <w:rtl/>
        </w:rPr>
        <w:t>חוק סדר הדין הפלילי (תיקון מס' 66), התשע"ב–2012 בעניין סגירת תיק פלילי בהסדר</w:t>
      </w:r>
      <w:r w:rsidRPr="00D75B3F">
        <w:rPr>
          <w:rFonts w:ascii="Garamond" w:hAnsi="Garamond" w:cs="David" w:hint="cs"/>
          <w:sz w:val="24"/>
          <w:szCs w:val="24"/>
          <w:rtl/>
        </w:rPr>
        <w:t xml:space="preserve">, </w:t>
      </w:r>
      <w:r w:rsidRPr="00D75B3F">
        <w:rPr>
          <w:rFonts w:ascii="Garamond" w:hAnsi="Garamond" w:cs="David"/>
          <w:sz w:val="24"/>
          <w:szCs w:val="24"/>
          <w:rtl/>
        </w:rPr>
        <w:t>שמטרת</w:t>
      </w:r>
      <w:r w:rsidRPr="00D75B3F">
        <w:rPr>
          <w:rFonts w:ascii="Garamond" w:hAnsi="Garamond" w:cs="David" w:hint="cs"/>
          <w:sz w:val="24"/>
          <w:szCs w:val="24"/>
          <w:rtl/>
        </w:rPr>
        <w:t>ו הייתה</w:t>
      </w:r>
      <w:r w:rsidRPr="00D75B3F">
        <w:rPr>
          <w:rFonts w:ascii="Garamond" w:hAnsi="Garamond" w:cs="David"/>
          <w:sz w:val="24"/>
          <w:szCs w:val="24"/>
          <w:rtl/>
        </w:rPr>
        <w:t xml:space="preserve"> לאפשר לתובע לסגור תיק פלילי שנפתח לחשוד על אף שקיימות ראיות נגדו, ולא להעמידו לדין, בתנאים שייקבעו בהסדר שייחתם בין התובע ובין החשוד.</w:t>
      </w:r>
      <w:r w:rsidRPr="00D75B3F">
        <w:rPr>
          <w:rFonts w:ascii="Garamond" w:hAnsi="Garamond" w:cs="David" w:hint="cs"/>
          <w:sz w:val="24"/>
          <w:szCs w:val="24"/>
          <w:rtl/>
        </w:rPr>
        <w:t xml:space="preserve"> </w:t>
      </w:r>
      <w:r w:rsidRPr="00D75B3F">
        <w:rPr>
          <w:rFonts w:ascii="Garamond" w:hAnsi="Garamond" w:cs="David"/>
          <w:sz w:val="24"/>
          <w:szCs w:val="24"/>
          <w:rtl/>
        </w:rPr>
        <w:t xml:space="preserve">ההסדר </w:t>
      </w:r>
      <w:r w:rsidRPr="00D75B3F">
        <w:rPr>
          <w:rFonts w:ascii="Garamond" w:hAnsi="Garamond" w:cs="David" w:hint="cs"/>
          <w:sz w:val="24"/>
          <w:szCs w:val="24"/>
          <w:rtl/>
        </w:rPr>
        <w:t>מ</w:t>
      </w:r>
      <w:r w:rsidRPr="00D75B3F">
        <w:rPr>
          <w:rFonts w:ascii="Garamond" w:hAnsi="Garamond" w:cs="David"/>
          <w:sz w:val="24"/>
          <w:szCs w:val="24"/>
          <w:rtl/>
        </w:rPr>
        <w:t>אפשר לתובע, במקרים המתאימים ובתנאים ש</w:t>
      </w:r>
      <w:r w:rsidRPr="00D75B3F">
        <w:rPr>
          <w:rFonts w:ascii="Garamond" w:hAnsi="Garamond" w:cs="David" w:hint="cs"/>
          <w:sz w:val="24"/>
          <w:szCs w:val="24"/>
          <w:rtl/>
        </w:rPr>
        <w:t>נ</w:t>
      </w:r>
      <w:r w:rsidRPr="00D75B3F">
        <w:rPr>
          <w:rFonts w:ascii="Garamond" w:hAnsi="Garamond" w:cs="David"/>
          <w:sz w:val="24"/>
          <w:szCs w:val="24"/>
          <w:rtl/>
        </w:rPr>
        <w:t>קבעו בחוק, לנקוט בחלופה שלישית</w:t>
      </w:r>
      <w:r w:rsidRPr="00D75B3F">
        <w:rPr>
          <w:rFonts w:ascii="Garamond" w:hAnsi="Garamond" w:cs="David" w:hint="cs"/>
          <w:sz w:val="24"/>
          <w:szCs w:val="24"/>
          <w:rtl/>
        </w:rPr>
        <w:t xml:space="preserve"> בין העמדה לדין ובין סגירת התיק</w:t>
      </w:r>
      <w:r w:rsidRPr="00D75B3F">
        <w:rPr>
          <w:rFonts w:ascii="Garamond" w:hAnsi="Garamond" w:cs="David"/>
          <w:sz w:val="24"/>
          <w:szCs w:val="24"/>
          <w:rtl/>
        </w:rPr>
        <w:t>, שלעיתים הוא הכלי המידתי וההולם ביותר מבחינת האינטרס הציבורי.</w:t>
      </w:r>
      <w:r w:rsidRPr="00D75B3F">
        <w:rPr>
          <w:sz w:val="24"/>
          <w:szCs w:val="24"/>
          <w:rtl/>
        </w:rPr>
        <w:t xml:space="preserve"> </w:t>
      </w:r>
      <w:r w:rsidRPr="00D75B3F">
        <w:rPr>
          <w:rFonts w:ascii="Garamond" w:hAnsi="Garamond" w:cs="David"/>
          <w:sz w:val="24"/>
          <w:szCs w:val="24"/>
          <w:rtl/>
        </w:rPr>
        <w:t xml:space="preserve">בשל החשיבות הרבה הטמונה בהסדר החדש, ונוכח הסכנות הרבות שקיימות במתן סמכות "מעין-עונשית" לרשויות התביעה מחוץ לכותלי בית המשפט, ביקשה הוועדה </w:t>
      </w:r>
      <w:r w:rsidR="00E65ED6" w:rsidRPr="00D75B3F">
        <w:rPr>
          <w:rFonts w:ascii="Garamond" w:hAnsi="Garamond" w:cs="David" w:hint="cs"/>
          <w:sz w:val="24"/>
          <w:szCs w:val="24"/>
          <w:rtl/>
        </w:rPr>
        <w:t>להתוות</w:t>
      </w:r>
      <w:r w:rsidRPr="00D75B3F">
        <w:rPr>
          <w:rFonts w:ascii="Garamond" w:hAnsi="Garamond" w:cs="David"/>
          <w:sz w:val="24"/>
          <w:szCs w:val="24"/>
          <w:rtl/>
        </w:rPr>
        <w:t xml:space="preserve"> את שיקול הדעת של התביעה כך שהשימוש בהסדר החדש ייעשה במקרים המתאימים</w:t>
      </w:r>
      <w:r w:rsidR="00E65ED6" w:rsidRPr="00D75B3F">
        <w:rPr>
          <w:rFonts w:ascii="Garamond" w:hAnsi="Garamond" w:cs="David" w:hint="cs"/>
          <w:sz w:val="24"/>
          <w:szCs w:val="24"/>
          <w:rtl/>
        </w:rPr>
        <w:t xml:space="preserve"> שנמנים בחוק</w:t>
      </w:r>
      <w:r w:rsidR="00E65ED6" w:rsidRPr="00D75B3F">
        <w:rPr>
          <w:rFonts w:ascii="Garamond" w:hAnsi="Garamond" w:cs="David"/>
          <w:sz w:val="24"/>
          <w:szCs w:val="24"/>
          <w:rtl/>
        </w:rPr>
        <w:t>.</w:t>
      </w:r>
      <w:r w:rsidRPr="00D75B3F">
        <w:rPr>
          <w:rFonts w:ascii="Garamond" w:hAnsi="Garamond" w:cs="David" w:hint="cs"/>
          <w:sz w:val="24"/>
          <w:szCs w:val="24"/>
          <w:rtl/>
        </w:rPr>
        <w:t xml:space="preserve"> הגבלות אלו</w:t>
      </w:r>
      <w:r w:rsidRPr="00D75B3F">
        <w:rPr>
          <w:rFonts w:ascii="Garamond" w:hAnsi="Garamond" w:cs="David"/>
          <w:sz w:val="24"/>
          <w:szCs w:val="24"/>
          <w:rtl/>
        </w:rPr>
        <w:t xml:space="preserve"> נועדו, מחד גיסא, לכך שהתובע לא יציע לחשוד הסדר בעבירות חמורות שהיה מתאים להעמידו לדין – ומאידך גיסא, לדאוג לכך שתובע לא יציע לחשוד הסדר כאשר כלל לא ראוי להעמידו לדין.</w:t>
      </w:r>
      <w:r w:rsidRPr="00D75B3F">
        <w:rPr>
          <w:rFonts w:ascii="Garamond" w:hAnsi="Garamond" w:cs="David" w:hint="cs"/>
          <w:sz w:val="24"/>
          <w:szCs w:val="24"/>
          <w:rtl/>
        </w:rPr>
        <w:t xml:space="preserve"> החוק נועד גם לאזן את מערך הכוחות שבין התביעה לבין החשוד, באופן שיישמרו זכויות החשוד, וכן ליצור מנגנון של שקיפות ודיווחיות על ההסדרים כדי לקדם שוויון בענישה ואחריותיות כלפי הציבור.</w:t>
      </w:r>
    </w:p>
    <w:p w:rsidR="003047ED" w:rsidRDefault="003047ED" w:rsidP="0074368D">
      <w:pPr>
        <w:spacing w:line="360" w:lineRule="auto"/>
        <w:rPr>
          <w:rFonts w:ascii="Garamond" w:hAnsi="Garamond" w:cs="David"/>
          <w:sz w:val="24"/>
          <w:szCs w:val="24"/>
          <w:rtl/>
        </w:rPr>
      </w:pPr>
      <w:r w:rsidRPr="00D75B3F">
        <w:rPr>
          <w:rFonts w:ascii="Garamond" w:hAnsi="Garamond" w:cs="David" w:hint="cs"/>
          <w:sz w:val="24"/>
          <w:szCs w:val="24"/>
          <w:rtl/>
        </w:rPr>
        <w:t xml:space="preserve">בסוף 2014, </w:t>
      </w:r>
      <w:r w:rsidR="00D46DB6" w:rsidRPr="00D75B3F">
        <w:rPr>
          <w:rFonts w:ascii="Garamond" w:hAnsi="Garamond" w:cs="David" w:hint="cs"/>
          <w:sz w:val="24"/>
          <w:szCs w:val="24"/>
          <w:rtl/>
        </w:rPr>
        <w:t>עוד לפני ש</w:t>
      </w:r>
      <w:r w:rsidR="00057545" w:rsidRPr="00D75B3F">
        <w:rPr>
          <w:rFonts w:ascii="Garamond" w:hAnsi="Garamond" w:cs="David" w:hint="cs"/>
          <w:sz w:val="24"/>
          <w:szCs w:val="24"/>
          <w:rtl/>
        </w:rPr>
        <w:t xml:space="preserve">מערכת התביעה </w:t>
      </w:r>
      <w:r w:rsidR="00C519B9" w:rsidRPr="00D75B3F">
        <w:rPr>
          <w:rFonts w:ascii="Garamond" w:hAnsi="Garamond" w:cs="David" w:hint="cs"/>
          <w:sz w:val="24"/>
          <w:szCs w:val="24"/>
          <w:rtl/>
        </w:rPr>
        <w:t>הספיקה</w:t>
      </w:r>
      <w:r w:rsidR="00057545" w:rsidRPr="00D75B3F">
        <w:rPr>
          <w:rFonts w:ascii="Garamond" w:hAnsi="Garamond" w:cs="David" w:hint="cs"/>
          <w:sz w:val="24"/>
          <w:szCs w:val="24"/>
          <w:rtl/>
        </w:rPr>
        <w:t xml:space="preserve"> </w:t>
      </w:r>
      <w:r w:rsidR="0039511D" w:rsidRPr="00D75B3F">
        <w:rPr>
          <w:rFonts w:ascii="Garamond" w:hAnsi="Garamond" w:cs="David" w:hint="cs"/>
          <w:sz w:val="24"/>
          <w:szCs w:val="24"/>
          <w:rtl/>
        </w:rPr>
        <w:t>להטמיע את ה</w:t>
      </w:r>
      <w:r w:rsidR="00C519B9" w:rsidRPr="00D75B3F">
        <w:rPr>
          <w:rFonts w:ascii="Garamond" w:hAnsi="Garamond" w:cs="David" w:hint="cs"/>
          <w:sz w:val="24"/>
          <w:szCs w:val="24"/>
          <w:rtl/>
        </w:rPr>
        <w:t xml:space="preserve">שימוש </w:t>
      </w:r>
      <w:r w:rsidR="00057545" w:rsidRPr="00D75B3F">
        <w:rPr>
          <w:rFonts w:ascii="Garamond" w:hAnsi="Garamond" w:cs="David" w:hint="cs"/>
          <w:sz w:val="24"/>
          <w:szCs w:val="24"/>
          <w:rtl/>
        </w:rPr>
        <w:t xml:space="preserve">בכלי </w:t>
      </w:r>
      <w:r w:rsidR="007D2E89" w:rsidRPr="00D75B3F">
        <w:rPr>
          <w:rFonts w:ascii="Garamond" w:hAnsi="Garamond" w:cs="David" w:hint="cs"/>
          <w:sz w:val="24"/>
          <w:szCs w:val="24"/>
          <w:rtl/>
        </w:rPr>
        <w:t>החדש, נענתה הכנסת לבקשת הממשלה לתקן את החוק שוב</w:t>
      </w:r>
      <w:r w:rsidR="0039511D" w:rsidRPr="00D75B3F">
        <w:rPr>
          <w:rFonts w:ascii="Garamond" w:hAnsi="Garamond" w:cs="David" w:hint="cs"/>
          <w:sz w:val="24"/>
          <w:szCs w:val="24"/>
          <w:rtl/>
        </w:rPr>
        <w:t xml:space="preserve"> (חוק סדר הדין הפלילי, (תיקון מס' 68), התשע"ד–2014)</w:t>
      </w:r>
      <w:r w:rsidR="007D2E89" w:rsidRPr="00D75B3F">
        <w:rPr>
          <w:rFonts w:ascii="Garamond" w:hAnsi="Garamond" w:cs="David" w:hint="cs"/>
          <w:sz w:val="24"/>
          <w:szCs w:val="24"/>
          <w:rtl/>
        </w:rPr>
        <w:t xml:space="preserve">, ובין היתר, </w:t>
      </w:r>
      <w:r w:rsidR="006F0879" w:rsidRPr="00D75B3F">
        <w:rPr>
          <w:rFonts w:ascii="Garamond" w:hAnsi="Garamond" w:cs="David" w:hint="cs"/>
          <w:sz w:val="24"/>
          <w:szCs w:val="24"/>
          <w:rtl/>
        </w:rPr>
        <w:t xml:space="preserve">להוסיף </w:t>
      </w:r>
      <w:r w:rsidR="006F0879" w:rsidRPr="00D75B3F">
        <w:rPr>
          <w:rFonts w:ascii="Garamond" w:hAnsi="Garamond" w:cs="David"/>
          <w:sz w:val="24"/>
          <w:szCs w:val="24"/>
          <w:rtl/>
        </w:rPr>
        <w:t>אמצעי ענישה</w:t>
      </w:r>
      <w:r w:rsidR="00C519B9" w:rsidRPr="00D75B3F">
        <w:rPr>
          <w:rFonts w:ascii="Garamond" w:hAnsi="Garamond" w:cs="David" w:hint="cs"/>
          <w:sz w:val="24"/>
          <w:szCs w:val="24"/>
          <w:rtl/>
        </w:rPr>
        <w:t xml:space="preserve"> שהתובע רשאי לקבוע כתנאי לסגירת התיק, וכן להתיר לתובעים </w:t>
      </w:r>
      <w:r w:rsidR="00B13843" w:rsidRPr="00D75B3F">
        <w:rPr>
          <w:rFonts w:ascii="Garamond" w:hAnsi="Garamond" w:cs="David" w:hint="cs"/>
          <w:sz w:val="24"/>
          <w:szCs w:val="24"/>
          <w:rtl/>
        </w:rPr>
        <w:t xml:space="preserve">נוספים </w:t>
      </w:r>
      <w:r w:rsidR="00C519B9" w:rsidRPr="00D75B3F">
        <w:rPr>
          <w:rFonts w:ascii="Garamond" w:hAnsi="Garamond" w:cs="David" w:hint="cs"/>
          <w:sz w:val="24"/>
          <w:szCs w:val="24"/>
          <w:rtl/>
        </w:rPr>
        <w:t>לסגור תיקים בהסדר.</w:t>
      </w:r>
    </w:p>
    <w:p w:rsidR="007B5BC9" w:rsidRPr="00D75B3F" w:rsidRDefault="007B5BC9" w:rsidP="0074368D">
      <w:pPr>
        <w:spacing w:line="360" w:lineRule="auto"/>
        <w:rPr>
          <w:rFonts w:ascii="Garamond" w:hAnsi="Garamond" w:cs="David"/>
          <w:sz w:val="24"/>
          <w:szCs w:val="24"/>
          <w:rtl/>
        </w:rPr>
      </w:pPr>
    </w:p>
    <w:p w:rsidR="00B44503" w:rsidRPr="00D75B3F" w:rsidRDefault="00B44503" w:rsidP="0074368D">
      <w:pPr>
        <w:spacing w:line="360" w:lineRule="auto"/>
        <w:rPr>
          <w:rFonts w:ascii="Garamond" w:hAnsi="Garamond" w:cs="David"/>
          <w:sz w:val="24"/>
          <w:szCs w:val="24"/>
          <w:rtl/>
        </w:rPr>
      </w:pPr>
      <w:r w:rsidRPr="00D75B3F">
        <w:rPr>
          <w:rFonts w:ascii="Garamond" w:hAnsi="Garamond" w:cs="David" w:hint="cs"/>
          <w:sz w:val="24"/>
          <w:szCs w:val="24"/>
          <w:rtl/>
        </w:rPr>
        <w:t>נסקור בקצרה את הוראות החוק, שנמצאים בסימן א'1 לחוק סדר הדין הפלילי [נוסח משולב], התשמ"ב–1982 (סעיפים 67א עד</w:t>
      </w:r>
      <w:r w:rsidR="00C863E6" w:rsidRPr="00D75B3F">
        <w:rPr>
          <w:rFonts w:ascii="Garamond" w:hAnsi="Garamond" w:cs="David" w:hint="cs"/>
          <w:sz w:val="24"/>
          <w:szCs w:val="24"/>
          <w:rtl/>
        </w:rPr>
        <w:t>67יב, וכן התוספת הרביעית והחמישית, מצ"ב)</w:t>
      </w:r>
      <w:r w:rsidRPr="00D75B3F">
        <w:rPr>
          <w:rFonts w:ascii="Garamond" w:hAnsi="Garamond" w:cs="David" w:hint="cs"/>
          <w:sz w:val="24"/>
          <w:szCs w:val="24"/>
          <w:rtl/>
        </w:rPr>
        <w:t xml:space="preserve">: </w:t>
      </w:r>
    </w:p>
    <w:p w:rsidR="00B13843" w:rsidRPr="00D75B3F" w:rsidRDefault="00D918CC" w:rsidP="0074368D">
      <w:pPr>
        <w:pStyle w:val="aa"/>
        <w:numPr>
          <w:ilvl w:val="0"/>
          <w:numId w:val="1"/>
        </w:numPr>
        <w:spacing w:line="360" w:lineRule="auto"/>
        <w:ind w:left="0"/>
        <w:rPr>
          <w:rFonts w:ascii="Garamond" w:hAnsi="Garamond" w:cs="David"/>
          <w:b/>
          <w:bCs/>
          <w:sz w:val="24"/>
          <w:szCs w:val="24"/>
          <w:rtl/>
        </w:rPr>
      </w:pPr>
      <w:r w:rsidRPr="00D75B3F">
        <w:rPr>
          <w:rFonts w:ascii="Garamond" w:hAnsi="Garamond" w:cs="David" w:hint="cs"/>
          <w:b/>
          <w:bCs/>
          <w:sz w:val="24"/>
          <w:szCs w:val="24"/>
          <w:rtl/>
        </w:rPr>
        <w:t xml:space="preserve">גורמי התביעה שרשאים </w:t>
      </w:r>
      <w:r w:rsidR="00B13843" w:rsidRPr="00D75B3F">
        <w:rPr>
          <w:rFonts w:ascii="Garamond" w:hAnsi="Garamond" w:cs="David" w:hint="cs"/>
          <w:b/>
          <w:bCs/>
          <w:sz w:val="24"/>
          <w:szCs w:val="24"/>
          <w:rtl/>
        </w:rPr>
        <w:t>לערוך הסדר</w:t>
      </w:r>
    </w:p>
    <w:p w:rsidR="008107C9" w:rsidRDefault="0088298C" w:rsidP="0074368D">
      <w:pPr>
        <w:spacing w:line="360" w:lineRule="auto"/>
        <w:rPr>
          <w:rFonts w:ascii="Garamond" w:hAnsi="Garamond" w:cs="David"/>
          <w:sz w:val="24"/>
          <w:szCs w:val="24"/>
          <w:rtl/>
        </w:rPr>
      </w:pPr>
      <w:r w:rsidRPr="00D75B3F">
        <w:rPr>
          <w:rFonts w:ascii="Garamond" w:hAnsi="Garamond" w:cs="David" w:hint="cs"/>
          <w:sz w:val="24"/>
          <w:szCs w:val="24"/>
          <w:rtl/>
        </w:rPr>
        <w:t xml:space="preserve">הוועדה </w:t>
      </w:r>
      <w:r w:rsidR="00C863E6" w:rsidRPr="00D75B3F">
        <w:rPr>
          <w:rFonts w:ascii="Garamond" w:hAnsi="Garamond" w:cs="David" w:hint="cs"/>
          <w:sz w:val="24"/>
          <w:szCs w:val="24"/>
          <w:rtl/>
        </w:rPr>
        <w:t xml:space="preserve">החליטה </w:t>
      </w:r>
      <w:r w:rsidRPr="00D75B3F">
        <w:rPr>
          <w:rFonts w:ascii="Garamond" w:hAnsi="Garamond" w:cs="David" w:hint="cs"/>
          <w:sz w:val="24"/>
          <w:szCs w:val="24"/>
          <w:rtl/>
        </w:rPr>
        <w:t xml:space="preserve">כי </w:t>
      </w:r>
      <w:r w:rsidRPr="00D75B3F">
        <w:rPr>
          <w:rFonts w:ascii="Garamond" w:hAnsi="Garamond" w:cs="David"/>
          <w:sz w:val="24"/>
          <w:szCs w:val="24"/>
          <w:rtl/>
        </w:rPr>
        <w:t>לא כל גורמי התביעה בישראל יוסמכו לעשות שימוש בכלי החדש</w:t>
      </w:r>
      <w:r w:rsidR="00D6601B" w:rsidRPr="00D75B3F">
        <w:rPr>
          <w:rFonts w:ascii="Garamond" w:hAnsi="Garamond" w:cs="David" w:hint="cs"/>
          <w:sz w:val="24"/>
          <w:szCs w:val="24"/>
          <w:rtl/>
        </w:rPr>
        <w:t xml:space="preserve"> ורק תובעים שנמנו במפורש בחוק </w:t>
      </w:r>
      <w:r w:rsidR="001606AB">
        <w:rPr>
          <w:rFonts w:ascii="Garamond" w:hAnsi="Garamond" w:cs="David" w:hint="cs"/>
          <w:sz w:val="24"/>
          <w:szCs w:val="24"/>
          <w:rtl/>
        </w:rPr>
        <w:t xml:space="preserve">יהיו </w:t>
      </w:r>
      <w:r w:rsidR="00D6601B" w:rsidRPr="00D75B3F">
        <w:rPr>
          <w:rFonts w:ascii="Garamond" w:hAnsi="Garamond" w:cs="David" w:hint="cs"/>
          <w:sz w:val="24"/>
          <w:szCs w:val="24"/>
          <w:rtl/>
        </w:rPr>
        <w:t xml:space="preserve">רשאים לעשות כן. </w:t>
      </w:r>
      <w:r w:rsidR="004656FD">
        <w:rPr>
          <w:rFonts w:ascii="Garamond" w:hAnsi="Garamond" w:cs="David" w:hint="cs"/>
          <w:sz w:val="24"/>
          <w:szCs w:val="24"/>
          <w:rtl/>
        </w:rPr>
        <w:t>ההסמכה ניתנה ל</w:t>
      </w:r>
      <w:r w:rsidRPr="00D75B3F">
        <w:rPr>
          <w:rFonts w:ascii="Garamond" w:hAnsi="Garamond" w:cs="David"/>
          <w:sz w:val="24"/>
          <w:szCs w:val="24"/>
          <w:rtl/>
        </w:rPr>
        <w:t xml:space="preserve">תובעים בפרקליטות ובתביעה המשטרתית </w:t>
      </w:r>
      <w:r w:rsidR="004656FD">
        <w:rPr>
          <w:rFonts w:ascii="Garamond" w:hAnsi="Garamond" w:cs="David" w:hint="cs"/>
          <w:sz w:val="24"/>
          <w:szCs w:val="24"/>
          <w:rtl/>
        </w:rPr>
        <w:t>תוך יצירת אפשרות להרחיב את ההרשאות בעתיד, בתופסת לחוק, בצו ש</w:t>
      </w:r>
      <w:r w:rsidR="00C863E6" w:rsidRPr="00D75B3F">
        <w:rPr>
          <w:rFonts w:ascii="Garamond" w:hAnsi="Garamond" w:cs="David"/>
          <w:sz w:val="24"/>
          <w:szCs w:val="24"/>
          <w:rtl/>
        </w:rPr>
        <w:t xml:space="preserve">יאושר </w:t>
      </w:r>
      <w:r w:rsidR="004656FD">
        <w:rPr>
          <w:rFonts w:ascii="Garamond" w:hAnsi="Garamond" w:cs="David" w:hint="cs"/>
          <w:sz w:val="24"/>
          <w:szCs w:val="24"/>
          <w:rtl/>
        </w:rPr>
        <w:t>בוועדת החוקה חוק ומשפט</w:t>
      </w:r>
      <w:r w:rsidR="00C863E6" w:rsidRPr="00D75B3F">
        <w:rPr>
          <w:rFonts w:ascii="Garamond" w:hAnsi="Garamond" w:cs="David"/>
          <w:sz w:val="24"/>
          <w:szCs w:val="24"/>
          <w:rtl/>
        </w:rPr>
        <w:t>.</w:t>
      </w:r>
      <w:r w:rsidR="001D7B4A" w:rsidRPr="00D75B3F">
        <w:rPr>
          <w:rFonts w:ascii="Garamond" w:hAnsi="Garamond" w:cs="David"/>
          <w:sz w:val="24"/>
          <w:szCs w:val="24"/>
          <w:rtl/>
        </w:rPr>
        <w:t xml:space="preserve"> </w:t>
      </w:r>
      <w:r w:rsidR="00672980" w:rsidRPr="00D75B3F">
        <w:rPr>
          <w:rStyle w:val="default"/>
          <w:rFonts w:cs="David" w:hint="cs"/>
          <w:sz w:val="24"/>
          <w:szCs w:val="24"/>
          <w:rtl/>
        </w:rPr>
        <w:t xml:space="preserve">במדינה </w:t>
      </w:r>
      <w:r w:rsidR="004656FD">
        <w:rPr>
          <w:rStyle w:val="default"/>
          <w:rFonts w:cs="David" w:hint="cs"/>
          <w:sz w:val="24"/>
          <w:szCs w:val="24"/>
          <w:rtl/>
        </w:rPr>
        <w:t xml:space="preserve">קיימים </w:t>
      </w:r>
      <w:r w:rsidR="00672980" w:rsidRPr="00D75B3F">
        <w:rPr>
          <w:rStyle w:val="default"/>
          <w:rFonts w:cs="David" w:hint="cs"/>
          <w:sz w:val="24"/>
          <w:szCs w:val="24"/>
          <w:rtl/>
        </w:rPr>
        <w:t xml:space="preserve">תובעים </w:t>
      </w:r>
      <w:r w:rsidR="004656FD">
        <w:rPr>
          <w:rStyle w:val="default"/>
          <w:rFonts w:cs="David" w:hint="cs"/>
          <w:sz w:val="24"/>
          <w:szCs w:val="24"/>
          <w:rtl/>
        </w:rPr>
        <w:t xml:space="preserve">רבים </w:t>
      </w:r>
      <w:r w:rsidR="00672980" w:rsidRPr="00D75B3F">
        <w:rPr>
          <w:rStyle w:val="default"/>
          <w:rFonts w:cs="David" w:hint="cs"/>
          <w:sz w:val="24"/>
          <w:szCs w:val="24"/>
          <w:rtl/>
        </w:rPr>
        <w:t>שיושבים במשרדים השונים, וכן תובעים שאינם עובדי מדינה שמנהלים תיקים עבור המדינה</w:t>
      </w:r>
      <w:r w:rsidR="001D7B4A" w:rsidRPr="00D75B3F">
        <w:rPr>
          <w:rStyle w:val="default"/>
          <w:rFonts w:cs="David" w:hint="cs"/>
          <w:sz w:val="24"/>
          <w:szCs w:val="24"/>
          <w:rtl/>
        </w:rPr>
        <w:t xml:space="preserve">, ולכן הוועדה ביקשה לעשות דיון מעמיק לפני שהיא מסמיכה תובעים </w:t>
      </w:r>
      <w:r w:rsidR="003406A0">
        <w:rPr>
          <w:rStyle w:val="default"/>
          <w:rFonts w:cs="David" w:hint="cs"/>
          <w:sz w:val="24"/>
          <w:szCs w:val="24"/>
          <w:rtl/>
        </w:rPr>
        <w:t>אלה</w:t>
      </w:r>
      <w:r w:rsidR="001D7B4A" w:rsidRPr="00D75B3F">
        <w:rPr>
          <w:rStyle w:val="default"/>
          <w:rFonts w:cs="David" w:hint="cs"/>
          <w:sz w:val="24"/>
          <w:szCs w:val="24"/>
          <w:rtl/>
        </w:rPr>
        <w:t xml:space="preserve"> לעשות שימוש בהסדר. </w:t>
      </w:r>
      <w:r w:rsidR="00A151EC" w:rsidRPr="00D75B3F">
        <w:rPr>
          <w:rStyle w:val="default"/>
          <w:rFonts w:cs="David" w:hint="cs"/>
          <w:sz w:val="24"/>
          <w:szCs w:val="24"/>
          <w:rtl/>
        </w:rPr>
        <w:t xml:space="preserve">בפרט, </w:t>
      </w:r>
      <w:r w:rsidR="001D7B4A" w:rsidRPr="00D75B3F">
        <w:rPr>
          <w:rStyle w:val="default"/>
          <w:rFonts w:cs="David" w:hint="cs"/>
          <w:sz w:val="24"/>
          <w:szCs w:val="24"/>
          <w:rtl/>
        </w:rPr>
        <w:t>ה</w:t>
      </w:r>
      <w:r w:rsidR="00D6601B" w:rsidRPr="00D75B3F">
        <w:rPr>
          <w:rStyle w:val="default"/>
          <w:rFonts w:cs="David" w:hint="cs"/>
          <w:sz w:val="24"/>
          <w:szCs w:val="24"/>
          <w:rtl/>
        </w:rPr>
        <w:t xml:space="preserve">וועדה ביקשה להשתכנע </w:t>
      </w:r>
      <w:r w:rsidR="00672980" w:rsidRPr="00D75B3F">
        <w:rPr>
          <w:rStyle w:val="default"/>
          <w:rFonts w:cs="David" w:hint="cs"/>
          <w:sz w:val="24"/>
          <w:szCs w:val="24"/>
          <w:rtl/>
        </w:rPr>
        <w:t xml:space="preserve">כי במשרד שמבקש </w:t>
      </w:r>
      <w:r w:rsidR="00672980" w:rsidRPr="00D75B3F">
        <w:rPr>
          <w:rStyle w:val="default"/>
          <w:rFonts w:cs="David" w:hint="cs"/>
          <w:sz w:val="24"/>
          <w:szCs w:val="24"/>
          <w:rtl/>
        </w:rPr>
        <w:lastRenderedPageBreak/>
        <w:t xml:space="preserve">לעשות שימוש בכלי הזה יהיה </w:t>
      </w:r>
      <w:r w:rsidR="00D918CC" w:rsidRPr="00D75B3F">
        <w:rPr>
          <w:rStyle w:val="default"/>
          <w:rFonts w:cs="David" w:hint="cs"/>
          <w:sz w:val="24"/>
          <w:szCs w:val="24"/>
          <w:rtl/>
        </w:rPr>
        <w:t xml:space="preserve">מערך מסודר של תביעה, ניהול </w:t>
      </w:r>
      <w:r w:rsidR="00672980" w:rsidRPr="00D75B3F">
        <w:rPr>
          <w:rStyle w:val="default"/>
          <w:rFonts w:cs="David" w:hint="cs"/>
          <w:sz w:val="24"/>
          <w:szCs w:val="24"/>
          <w:rtl/>
        </w:rPr>
        <w:t xml:space="preserve">או פיקוח הדוק </w:t>
      </w:r>
      <w:r w:rsidR="00D918CC" w:rsidRPr="00D75B3F">
        <w:rPr>
          <w:rStyle w:val="default"/>
          <w:rFonts w:cs="David" w:hint="cs"/>
          <w:sz w:val="24"/>
          <w:szCs w:val="24"/>
          <w:rtl/>
        </w:rPr>
        <w:t xml:space="preserve">על ידי תובעים שהם עובדי מדינה, והנחיה על ידי הפרקליטות. </w:t>
      </w:r>
      <w:r w:rsidR="00943E13" w:rsidRPr="00D75B3F">
        <w:rPr>
          <w:rStyle w:val="default"/>
          <w:rFonts w:cs="David" w:hint="cs"/>
          <w:sz w:val="24"/>
          <w:szCs w:val="24"/>
          <w:rtl/>
        </w:rPr>
        <w:t xml:space="preserve">בתיקון המקורי הוסמכו </w:t>
      </w:r>
      <w:r w:rsidRPr="00D75B3F">
        <w:rPr>
          <w:rFonts w:ascii="Garamond" w:hAnsi="Garamond" w:cs="David" w:hint="cs"/>
          <w:sz w:val="24"/>
          <w:szCs w:val="24"/>
          <w:rtl/>
        </w:rPr>
        <w:t>ה</w:t>
      </w:r>
      <w:r w:rsidRPr="00D75B3F">
        <w:rPr>
          <w:rFonts w:ascii="Garamond" w:hAnsi="Garamond" w:cs="David"/>
          <w:sz w:val="24"/>
          <w:szCs w:val="24"/>
          <w:rtl/>
        </w:rPr>
        <w:t>תובעים שבפיקוח המחלקה לאכיפת דיני מקרקעין בפרקליטות המדינה לסגור תיקים פליליים בהסדר</w:t>
      </w:r>
      <w:r w:rsidR="003406A0">
        <w:rPr>
          <w:rFonts w:ascii="Garamond" w:hAnsi="Garamond" w:cs="David" w:hint="cs"/>
          <w:sz w:val="24"/>
          <w:szCs w:val="24"/>
          <w:rtl/>
        </w:rPr>
        <w:t>,</w:t>
      </w:r>
      <w:r w:rsidR="00943E13" w:rsidRPr="00D75B3F">
        <w:rPr>
          <w:rFonts w:ascii="Garamond" w:hAnsi="Garamond" w:cs="David" w:hint="cs"/>
          <w:sz w:val="24"/>
          <w:szCs w:val="24"/>
          <w:rtl/>
        </w:rPr>
        <w:t xml:space="preserve"> לאחר שהראו לוועדה כי מתקיימים התנאים לעיל, וכי </w:t>
      </w:r>
      <w:r w:rsidR="004656FD">
        <w:rPr>
          <w:rFonts w:ascii="Garamond" w:hAnsi="Garamond" w:cs="David" w:hint="cs"/>
          <w:sz w:val="24"/>
          <w:szCs w:val="24"/>
          <w:rtl/>
        </w:rPr>
        <w:t xml:space="preserve">התיקים שמתאימים </w:t>
      </w:r>
      <w:r w:rsidR="00943E13" w:rsidRPr="00D75B3F">
        <w:rPr>
          <w:rFonts w:ascii="Garamond" w:hAnsi="Garamond" w:cs="David" w:hint="cs"/>
          <w:sz w:val="24"/>
          <w:szCs w:val="24"/>
          <w:rtl/>
        </w:rPr>
        <w:t>להסדר</w:t>
      </w:r>
      <w:r w:rsidRPr="00D75B3F">
        <w:rPr>
          <w:rFonts w:ascii="Garamond" w:hAnsi="Garamond" w:cs="David"/>
          <w:sz w:val="24"/>
          <w:szCs w:val="24"/>
          <w:rtl/>
        </w:rPr>
        <w:t>.</w:t>
      </w:r>
      <w:r w:rsidRPr="00D75B3F">
        <w:rPr>
          <w:rFonts w:ascii="Garamond" w:hAnsi="Garamond" w:cs="David" w:hint="cs"/>
          <w:sz w:val="24"/>
          <w:szCs w:val="24"/>
          <w:rtl/>
        </w:rPr>
        <w:t xml:space="preserve"> בתיקון ב-2014</w:t>
      </w:r>
      <w:r w:rsidR="00A151EC" w:rsidRPr="00D75B3F">
        <w:rPr>
          <w:rFonts w:ascii="Garamond" w:hAnsi="Garamond" w:cs="David" w:hint="cs"/>
          <w:sz w:val="24"/>
          <w:szCs w:val="24"/>
          <w:rtl/>
        </w:rPr>
        <w:t>, לאחר דיון דומה,</w:t>
      </w:r>
      <w:r w:rsidRPr="00D75B3F">
        <w:rPr>
          <w:rFonts w:ascii="Garamond" w:hAnsi="Garamond" w:cs="David" w:hint="cs"/>
          <w:sz w:val="24"/>
          <w:szCs w:val="24"/>
          <w:rtl/>
        </w:rPr>
        <w:t xml:space="preserve"> נוספו גם התובעים במשרד הכלכלה. </w:t>
      </w:r>
    </w:p>
    <w:p w:rsidR="007B5BC9" w:rsidRPr="00D75B3F" w:rsidRDefault="007B5BC9" w:rsidP="0074368D">
      <w:pPr>
        <w:spacing w:line="360" w:lineRule="auto"/>
        <w:rPr>
          <w:rFonts w:ascii="Garamond" w:hAnsi="Garamond" w:cs="David"/>
          <w:sz w:val="24"/>
          <w:szCs w:val="24"/>
          <w:rtl/>
        </w:rPr>
      </w:pPr>
    </w:p>
    <w:p w:rsidR="00A5660A" w:rsidRPr="00D75B3F" w:rsidRDefault="00B13843" w:rsidP="0074368D">
      <w:pPr>
        <w:pStyle w:val="aa"/>
        <w:numPr>
          <w:ilvl w:val="0"/>
          <w:numId w:val="1"/>
        </w:numPr>
        <w:spacing w:line="360" w:lineRule="auto"/>
        <w:ind w:left="0"/>
        <w:rPr>
          <w:rFonts w:ascii="Garamond" w:hAnsi="Garamond" w:cs="David"/>
          <w:b/>
          <w:bCs/>
          <w:sz w:val="24"/>
          <w:szCs w:val="24"/>
          <w:rtl/>
        </w:rPr>
      </w:pPr>
      <w:r w:rsidRPr="00D75B3F">
        <w:rPr>
          <w:rFonts w:ascii="Garamond" w:hAnsi="Garamond" w:cs="David" w:hint="cs"/>
          <w:b/>
          <w:bCs/>
          <w:sz w:val="24"/>
          <w:szCs w:val="24"/>
          <w:rtl/>
        </w:rPr>
        <w:t xml:space="preserve">הנסיבות </w:t>
      </w:r>
      <w:r w:rsidR="00A5660A" w:rsidRPr="00D75B3F">
        <w:rPr>
          <w:rFonts w:ascii="Garamond" w:hAnsi="Garamond" w:cs="David" w:hint="cs"/>
          <w:b/>
          <w:bCs/>
          <w:sz w:val="24"/>
          <w:szCs w:val="24"/>
          <w:rtl/>
        </w:rPr>
        <w:t>שבהן אפשר לערוך הסדר</w:t>
      </w:r>
    </w:p>
    <w:p w:rsidR="00F10A49" w:rsidRPr="00D75B3F" w:rsidRDefault="00FE6D93" w:rsidP="0074368D">
      <w:pPr>
        <w:pStyle w:val="aa"/>
        <w:numPr>
          <w:ilvl w:val="0"/>
          <w:numId w:val="4"/>
        </w:numPr>
        <w:spacing w:line="360" w:lineRule="auto"/>
        <w:ind w:left="0"/>
        <w:rPr>
          <w:rStyle w:val="default"/>
          <w:rFonts w:ascii="Garamond" w:hAnsi="Garamond" w:cs="David"/>
          <w:sz w:val="24"/>
          <w:szCs w:val="24"/>
        </w:rPr>
      </w:pPr>
      <w:r w:rsidRPr="00D75B3F">
        <w:rPr>
          <w:rFonts w:ascii="Garamond" w:hAnsi="Garamond" w:cs="David" w:hint="cs"/>
          <w:sz w:val="24"/>
          <w:szCs w:val="24"/>
          <w:rtl/>
        </w:rPr>
        <w:t xml:space="preserve">הוועדה ביקשה – בשלב זה – לאפשר לתביעה לסגור תיקים רק </w:t>
      </w:r>
      <w:r w:rsidR="001D211C" w:rsidRPr="00D75B3F">
        <w:rPr>
          <w:rFonts w:ascii="Garamond" w:hAnsi="Garamond" w:cs="David" w:hint="cs"/>
          <w:sz w:val="24"/>
          <w:szCs w:val="24"/>
          <w:rtl/>
        </w:rPr>
        <w:t>בעבירה שאיננה עבירת</w:t>
      </w:r>
      <w:r w:rsidRPr="00D75B3F">
        <w:rPr>
          <w:rFonts w:ascii="Garamond" w:hAnsi="Garamond" w:cs="David" w:hint="cs"/>
          <w:sz w:val="24"/>
          <w:szCs w:val="24"/>
          <w:rtl/>
        </w:rPr>
        <w:t xml:space="preserve"> פשע</w:t>
      </w:r>
      <w:r w:rsidR="001D211C" w:rsidRPr="00D75B3F">
        <w:rPr>
          <w:rFonts w:ascii="Garamond" w:hAnsi="Garamond" w:cs="David" w:hint="cs"/>
          <w:sz w:val="24"/>
          <w:szCs w:val="24"/>
          <w:rtl/>
        </w:rPr>
        <w:t xml:space="preserve"> (</w:t>
      </w:r>
      <w:r w:rsidR="001D211C" w:rsidRPr="00D75B3F">
        <w:rPr>
          <w:rFonts w:ascii="Garamond" w:hAnsi="Garamond" w:cs="David"/>
          <w:sz w:val="24"/>
          <w:szCs w:val="24"/>
          <w:rtl/>
        </w:rPr>
        <w:t xml:space="preserve">עבירה </w:t>
      </w:r>
      <w:r w:rsidR="001D211C" w:rsidRPr="00D75B3F">
        <w:rPr>
          <w:rFonts w:ascii="Garamond" w:hAnsi="Garamond" w:cs="David" w:hint="cs"/>
          <w:sz w:val="24"/>
          <w:szCs w:val="24"/>
          <w:rtl/>
        </w:rPr>
        <w:t xml:space="preserve">פשע היא כזו </w:t>
      </w:r>
      <w:r w:rsidR="001D211C" w:rsidRPr="00D75B3F">
        <w:rPr>
          <w:rFonts w:ascii="Garamond" w:hAnsi="Garamond" w:cs="David"/>
          <w:sz w:val="24"/>
          <w:szCs w:val="24"/>
          <w:rtl/>
        </w:rPr>
        <w:t>שנקבע לה עונש חמור ממאסר לתקופה של שלוש שנים</w:t>
      </w:r>
      <w:r w:rsidR="001D211C" w:rsidRPr="00D75B3F">
        <w:rPr>
          <w:rFonts w:ascii="Garamond" w:hAnsi="Garamond" w:cs="David" w:hint="cs"/>
          <w:sz w:val="24"/>
          <w:szCs w:val="24"/>
          <w:rtl/>
        </w:rPr>
        <w:t>)</w:t>
      </w:r>
      <w:r w:rsidR="000F29AB">
        <w:rPr>
          <w:rFonts w:ascii="Garamond" w:hAnsi="Garamond" w:cs="David" w:hint="cs"/>
          <w:sz w:val="24"/>
          <w:szCs w:val="24"/>
          <w:rtl/>
        </w:rPr>
        <w:t>, ו</w:t>
      </w:r>
      <w:r w:rsidRPr="00D75B3F">
        <w:rPr>
          <w:rStyle w:val="default"/>
          <w:rFonts w:cs="David" w:hint="cs"/>
          <w:sz w:val="24"/>
          <w:szCs w:val="24"/>
          <w:rtl/>
        </w:rPr>
        <w:t xml:space="preserve">להיווכח כיצד ההסדר החדש פועל בעבירות </w:t>
      </w:r>
      <w:r w:rsidR="001D211C" w:rsidRPr="00D75B3F">
        <w:rPr>
          <w:rStyle w:val="default"/>
          <w:rFonts w:cs="David" w:hint="cs"/>
          <w:sz w:val="24"/>
          <w:szCs w:val="24"/>
          <w:rtl/>
        </w:rPr>
        <w:t>"בינוניות"</w:t>
      </w:r>
      <w:r w:rsidRPr="00D75B3F">
        <w:rPr>
          <w:rStyle w:val="default"/>
          <w:rFonts w:cs="David" w:hint="cs"/>
          <w:sz w:val="24"/>
          <w:szCs w:val="24"/>
          <w:rtl/>
        </w:rPr>
        <w:t>.</w:t>
      </w:r>
      <w:r w:rsidR="00E55DA6" w:rsidRPr="00D75B3F">
        <w:rPr>
          <w:rStyle w:val="default"/>
          <w:rFonts w:cs="David" w:hint="cs"/>
          <w:sz w:val="24"/>
          <w:szCs w:val="24"/>
          <w:rtl/>
        </w:rPr>
        <w:t xml:space="preserve"> ב</w:t>
      </w:r>
      <w:r w:rsidR="005C1104" w:rsidRPr="00D75B3F">
        <w:rPr>
          <w:rStyle w:val="default"/>
          <w:rFonts w:cs="David" w:hint="cs"/>
          <w:sz w:val="24"/>
          <w:szCs w:val="24"/>
          <w:rtl/>
        </w:rPr>
        <w:t xml:space="preserve">מספר רב של </w:t>
      </w:r>
      <w:r w:rsidR="00E55DA6" w:rsidRPr="00D75B3F">
        <w:rPr>
          <w:rStyle w:val="default"/>
          <w:rFonts w:cs="David" w:hint="cs"/>
          <w:sz w:val="24"/>
          <w:szCs w:val="24"/>
          <w:rtl/>
        </w:rPr>
        <w:t xml:space="preserve">עבירות "בינוניות" יהיה </w:t>
      </w:r>
      <w:r w:rsidR="000F29AB" w:rsidRPr="00D75B3F">
        <w:rPr>
          <w:rStyle w:val="default"/>
          <w:rFonts w:cs="David" w:hint="cs"/>
          <w:sz w:val="24"/>
          <w:szCs w:val="24"/>
          <w:rtl/>
        </w:rPr>
        <w:t xml:space="preserve">קל </w:t>
      </w:r>
      <w:r w:rsidR="00E55DA6" w:rsidRPr="00D75B3F">
        <w:rPr>
          <w:rStyle w:val="default"/>
          <w:rFonts w:cs="David" w:hint="cs"/>
          <w:sz w:val="24"/>
          <w:szCs w:val="24"/>
          <w:rtl/>
        </w:rPr>
        <w:t xml:space="preserve">יותר לקבוע </w:t>
      </w:r>
      <w:r w:rsidR="000F29AB">
        <w:rPr>
          <w:rStyle w:val="default"/>
          <w:rFonts w:cs="David" w:hint="cs"/>
          <w:sz w:val="24"/>
          <w:szCs w:val="24"/>
          <w:rtl/>
        </w:rPr>
        <w:t xml:space="preserve">בהנחיות </w:t>
      </w:r>
      <w:r w:rsidR="00E55DA6" w:rsidRPr="00D75B3F">
        <w:rPr>
          <w:rStyle w:val="default"/>
          <w:rFonts w:cs="David" w:hint="cs"/>
          <w:sz w:val="24"/>
          <w:szCs w:val="24"/>
          <w:rtl/>
        </w:rPr>
        <w:t xml:space="preserve">נסיבות </w:t>
      </w:r>
      <w:r w:rsidR="005C1104" w:rsidRPr="00D75B3F">
        <w:rPr>
          <w:rStyle w:val="default"/>
          <w:rFonts w:cs="David" w:hint="cs"/>
          <w:sz w:val="24"/>
          <w:szCs w:val="24"/>
          <w:rtl/>
        </w:rPr>
        <w:t xml:space="preserve">ותנאים "טיפוסיים" לעבירה, שיקל על התביעה לערוך הסדרים דומים בתיקים שונים; קיימת לעתים רבות הצדקה לא להכתים את הנאשם </w:t>
      </w:r>
      <w:r w:rsidR="009B2415" w:rsidRPr="00D75B3F">
        <w:rPr>
          <w:rStyle w:val="default"/>
          <w:rFonts w:cs="David" w:hint="cs"/>
          <w:sz w:val="24"/>
          <w:szCs w:val="24"/>
          <w:rtl/>
        </w:rPr>
        <w:t xml:space="preserve">בעבירות אלה </w:t>
      </w:r>
      <w:r w:rsidR="005C1104" w:rsidRPr="00D75B3F">
        <w:rPr>
          <w:rStyle w:val="default"/>
          <w:rFonts w:cs="David" w:hint="cs"/>
          <w:sz w:val="24"/>
          <w:szCs w:val="24"/>
          <w:rtl/>
        </w:rPr>
        <w:t xml:space="preserve">בסטיגמה </w:t>
      </w:r>
      <w:r w:rsidR="009B2415" w:rsidRPr="00D75B3F">
        <w:rPr>
          <w:rStyle w:val="default"/>
          <w:rFonts w:cs="David" w:hint="cs"/>
          <w:sz w:val="24"/>
          <w:szCs w:val="24"/>
          <w:rtl/>
        </w:rPr>
        <w:t xml:space="preserve">הפלילית שכן חלק מהעבירות הבינוניות </w:t>
      </w:r>
      <w:r w:rsidR="000F29AB">
        <w:rPr>
          <w:rStyle w:val="default"/>
          <w:rFonts w:cs="David" w:hint="cs"/>
          <w:sz w:val="24"/>
          <w:szCs w:val="24"/>
          <w:rtl/>
        </w:rPr>
        <w:t>.</w:t>
      </w:r>
      <w:r w:rsidR="009B2415" w:rsidRPr="00D75B3F">
        <w:rPr>
          <w:rStyle w:val="default"/>
          <w:rFonts w:cs="David" w:hint="cs"/>
          <w:sz w:val="24"/>
          <w:szCs w:val="24"/>
          <w:rtl/>
        </w:rPr>
        <w:t xml:space="preserve"> ככל שהעבירה חמורה</w:t>
      </w:r>
      <w:r w:rsidR="000F29AB" w:rsidRPr="000F29AB">
        <w:rPr>
          <w:rStyle w:val="default"/>
          <w:rFonts w:cs="David" w:hint="cs"/>
          <w:sz w:val="24"/>
          <w:szCs w:val="24"/>
          <w:rtl/>
        </w:rPr>
        <w:t xml:space="preserve"> </w:t>
      </w:r>
      <w:r w:rsidR="000F29AB" w:rsidRPr="00D75B3F">
        <w:rPr>
          <w:rStyle w:val="default"/>
          <w:rFonts w:cs="David" w:hint="cs"/>
          <w:sz w:val="24"/>
          <w:szCs w:val="24"/>
          <w:rtl/>
        </w:rPr>
        <w:t>יותר</w:t>
      </w:r>
      <w:r w:rsidR="009B2415" w:rsidRPr="00D75B3F">
        <w:rPr>
          <w:rStyle w:val="default"/>
          <w:rFonts w:cs="David" w:hint="cs"/>
          <w:sz w:val="24"/>
          <w:szCs w:val="24"/>
          <w:rtl/>
        </w:rPr>
        <w:t xml:space="preserve">, גם העונש שיקבע התובע </w:t>
      </w:r>
      <w:r w:rsidR="00E8461E" w:rsidRPr="00D75B3F">
        <w:rPr>
          <w:rStyle w:val="default"/>
          <w:rFonts w:cs="David" w:hint="cs"/>
          <w:sz w:val="24"/>
          <w:szCs w:val="24"/>
          <w:rtl/>
        </w:rPr>
        <w:t xml:space="preserve">צריך </w:t>
      </w:r>
      <w:r w:rsidR="009B2415" w:rsidRPr="00D75B3F">
        <w:rPr>
          <w:rStyle w:val="default"/>
          <w:rFonts w:cs="David" w:hint="cs"/>
          <w:sz w:val="24"/>
          <w:szCs w:val="24"/>
          <w:rtl/>
        </w:rPr>
        <w:t>להיות חמור</w:t>
      </w:r>
      <w:r w:rsidR="000F29AB" w:rsidRPr="000F29AB">
        <w:rPr>
          <w:rStyle w:val="default"/>
          <w:rFonts w:cs="David" w:hint="cs"/>
          <w:sz w:val="24"/>
          <w:szCs w:val="24"/>
          <w:rtl/>
        </w:rPr>
        <w:t xml:space="preserve"> </w:t>
      </w:r>
      <w:r w:rsidR="000F29AB" w:rsidRPr="00D75B3F">
        <w:rPr>
          <w:rStyle w:val="default"/>
          <w:rFonts w:cs="David" w:hint="cs"/>
          <w:sz w:val="24"/>
          <w:szCs w:val="24"/>
          <w:rtl/>
        </w:rPr>
        <w:t>יותר</w:t>
      </w:r>
      <w:r w:rsidR="009B2415" w:rsidRPr="00D75B3F">
        <w:rPr>
          <w:rStyle w:val="default"/>
          <w:rFonts w:cs="David" w:hint="cs"/>
          <w:sz w:val="24"/>
          <w:szCs w:val="24"/>
          <w:rtl/>
        </w:rPr>
        <w:t xml:space="preserve">, והוועדה </w:t>
      </w:r>
      <w:r w:rsidR="00E8461E" w:rsidRPr="00D75B3F">
        <w:rPr>
          <w:rStyle w:val="default"/>
          <w:rFonts w:cs="David" w:hint="cs"/>
          <w:sz w:val="24"/>
          <w:szCs w:val="24"/>
          <w:rtl/>
        </w:rPr>
        <w:t xml:space="preserve">חששה ממתן כוח לתובע לקבוע עונשים חמורים; </w:t>
      </w:r>
      <w:r w:rsidR="009B2415" w:rsidRPr="00D75B3F">
        <w:rPr>
          <w:rStyle w:val="default"/>
          <w:rFonts w:cs="David" w:hint="cs"/>
          <w:sz w:val="24"/>
          <w:szCs w:val="24"/>
          <w:rtl/>
        </w:rPr>
        <w:t>ובעיקר,</w:t>
      </w:r>
      <w:r w:rsidR="00E8461E" w:rsidRPr="00D75B3F">
        <w:rPr>
          <w:rStyle w:val="default"/>
          <w:rFonts w:cs="David" w:hint="cs"/>
          <w:sz w:val="24"/>
          <w:szCs w:val="24"/>
          <w:rtl/>
        </w:rPr>
        <w:t xml:space="preserve"> חברי הוועדה רצו לתת להסדר הזדמנות להתחיל לפעול</w:t>
      </w:r>
      <w:r w:rsidR="009B2415" w:rsidRPr="00D75B3F">
        <w:rPr>
          <w:rStyle w:val="default"/>
          <w:rFonts w:cs="David" w:hint="cs"/>
          <w:sz w:val="24"/>
          <w:szCs w:val="24"/>
          <w:rtl/>
        </w:rPr>
        <w:t xml:space="preserve"> </w:t>
      </w:r>
      <w:r w:rsidR="00D25BF6" w:rsidRPr="00D75B3F">
        <w:rPr>
          <w:rStyle w:val="default"/>
          <w:rFonts w:cs="David" w:hint="cs"/>
          <w:sz w:val="24"/>
          <w:szCs w:val="24"/>
          <w:rtl/>
        </w:rPr>
        <w:t xml:space="preserve">בשטח </w:t>
      </w:r>
      <w:r w:rsidR="00F94A5A" w:rsidRPr="00D75B3F">
        <w:rPr>
          <w:rStyle w:val="default"/>
          <w:rFonts w:cs="David" w:hint="cs"/>
          <w:sz w:val="24"/>
          <w:szCs w:val="24"/>
          <w:rtl/>
        </w:rPr>
        <w:t xml:space="preserve">ולאפשר לכנסת </w:t>
      </w:r>
      <w:r w:rsidR="00D25BF6" w:rsidRPr="00D75B3F">
        <w:rPr>
          <w:rStyle w:val="default"/>
          <w:rFonts w:cs="David" w:hint="cs"/>
          <w:sz w:val="24"/>
          <w:szCs w:val="24"/>
          <w:rtl/>
        </w:rPr>
        <w:t>לבחון את ההפעלה של ההסדר</w:t>
      </w:r>
      <w:r w:rsidR="00F94A5A" w:rsidRPr="00D75B3F">
        <w:rPr>
          <w:rStyle w:val="default"/>
          <w:rFonts w:cs="David" w:hint="cs"/>
          <w:sz w:val="24"/>
          <w:szCs w:val="24"/>
          <w:rtl/>
        </w:rPr>
        <w:t xml:space="preserve"> בצעדים הראשוניים.</w:t>
      </w:r>
      <w:r w:rsidR="005C1104" w:rsidRPr="00D75B3F">
        <w:rPr>
          <w:rStyle w:val="default"/>
          <w:rFonts w:cs="David" w:hint="cs"/>
          <w:sz w:val="24"/>
          <w:szCs w:val="24"/>
          <w:rtl/>
        </w:rPr>
        <w:t xml:space="preserve"> ה</w:t>
      </w:r>
      <w:r w:rsidR="0080311A" w:rsidRPr="00D75B3F">
        <w:rPr>
          <w:rStyle w:val="default"/>
          <w:rFonts w:cs="David" w:hint="cs"/>
          <w:sz w:val="24"/>
          <w:szCs w:val="24"/>
          <w:rtl/>
        </w:rPr>
        <w:t xml:space="preserve">וועדה קבעה כי </w:t>
      </w:r>
      <w:r w:rsidR="00D25BF6" w:rsidRPr="00D75B3F">
        <w:rPr>
          <w:rStyle w:val="default"/>
          <w:rFonts w:cs="David" w:hint="cs"/>
          <w:sz w:val="24"/>
          <w:szCs w:val="24"/>
          <w:rtl/>
        </w:rPr>
        <w:t>ככל ש</w:t>
      </w:r>
      <w:r w:rsidR="0080311A" w:rsidRPr="00D75B3F">
        <w:rPr>
          <w:rStyle w:val="default"/>
          <w:rFonts w:cs="David" w:hint="cs"/>
          <w:sz w:val="24"/>
          <w:szCs w:val="24"/>
          <w:rtl/>
        </w:rPr>
        <w:t xml:space="preserve">בעתיד </w:t>
      </w:r>
      <w:r w:rsidR="000F29AB">
        <w:rPr>
          <w:rStyle w:val="default"/>
          <w:rFonts w:cs="David" w:hint="cs"/>
          <w:sz w:val="24"/>
          <w:szCs w:val="24"/>
          <w:rtl/>
        </w:rPr>
        <w:t>יהיה מקום</w:t>
      </w:r>
      <w:r w:rsidR="0080311A" w:rsidRPr="00D75B3F">
        <w:rPr>
          <w:rStyle w:val="default"/>
          <w:rFonts w:cs="David" w:hint="cs"/>
          <w:sz w:val="24"/>
          <w:szCs w:val="24"/>
          <w:rtl/>
        </w:rPr>
        <w:t xml:space="preserve"> לעשות שימוש בכלי גם בעבירות פשע, תוכל</w:t>
      </w:r>
      <w:r w:rsidR="000F29AB">
        <w:rPr>
          <w:rStyle w:val="default"/>
          <w:rFonts w:cs="David" w:hint="cs"/>
          <w:sz w:val="24"/>
          <w:szCs w:val="24"/>
          <w:rtl/>
        </w:rPr>
        <w:t xml:space="preserve"> הממשלה</w:t>
      </w:r>
      <w:r w:rsidR="0080311A" w:rsidRPr="00D75B3F">
        <w:rPr>
          <w:rStyle w:val="default"/>
          <w:rFonts w:cs="David" w:hint="cs"/>
          <w:sz w:val="24"/>
          <w:szCs w:val="24"/>
          <w:rtl/>
        </w:rPr>
        <w:t xml:space="preserve"> ל</w:t>
      </w:r>
      <w:r w:rsidR="00E55DA6" w:rsidRPr="00D75B3F">
        <w:rPr>
          <w:rStyle w:val="default"/>
          <w:rFonts w:cs="David" w:hint="cs"/>
          <w:sz w:val="24"/>
          <w:szCs w:val="24"/>
          <w:rtl/>
        </w:rPr>
        <w:t>עשות כך בדרך של צו, באישור הוועדה, לשינוי התוספת (שהיום היא תוספת ריקה</w:t>
      </w:r>
      <w:r w:rsidR="000F29AB">
        <w:rPr>
          <w:rStyle w:val="default"/>
          <w:rFonts w:cs="David" w:hint="cs"/>
          <w:sz w:val="24"/>
          <w:szCs w:val="24"/>
          <w:rtl/>
        </w:rPr>
        <w:t xml:space="preserve"> במתכוון</w:t>
      </w:r>
      <w:r w:rsidR="00E55DA6" w:rsidRPr="00D75B3F">
        <w:rPr>
          <w:rStyle w:val="default"/>
          <w:rFonts w:cs="David" w:hint="cs"/>
          <w:sz w:val="24"/>
          <w:szCs w:val="24"/>
          <w:rtl/>
        </w:rPr>
        <w:t>).</w:t>
      </w:r>
    </w:p>
    <w:p w:rsidR="00E55DA6" w:rsidRDefault="00F10A49" w:rsidP="0074368D">
      <w:pPr>
        <w:pStyle w:val="aa"/>
        <w:numPr>
          <w:ilvl w:val="0"/>
          <w:numId w:val="4"/>
        </w:numPr>
        <w:spacing w:line="360" w:lineRule="auto"/>
        <w:ind w:left="0"/>
        <w:rPr>
          <w:rFonts w:ascii="Garamond" w:hAnsi="Garamond" w:cs="David"/>
          <w:sz w:val="24"/>
          <w:szCs w:val="24"/>
        </w:rPr>
      </w:pPr>
      <w:r w:rsidRPr="00D75B3F">
        <w:rPr>
          <w:rFonts w:ascii="Garamond" w:hAnsi="Garamond" w:cs="David"/>
          <w:sz w:val="24"/>
          <w:szCs w:val="24"/>
          <w:rtl/>
        </w:rPr>
        <w:t>תובע לא יערוך הסדר עם חשוד שיש לו</w:t>
      </w:r>
      <w:r w:rsidR="00E06213" w:rsidRPr="00D75B3F">
        <w:rPr>
          <w:rFonts w:ascii="Garamond" w:hAnsi="Garamond" w:cs="David"/>
          <w:sz w:val="24"/>
          <w:szCs w:val="24"/>
          <w:rtl/>
        </w:rPr>
        <w:t xml:space="preserve"> עבר פלילי בחמש השנים האחרונות</w:t>
      </w:r>
      <w:r w:rsidR="00E06213" w:rsidRPr="00D75B3F">
        <w:rPr>
          <w:rFonts w:ascii="Garamond" w:hAnsi="Garamond" w:cs="David" w:hint="cs"/>
          <w:sz w:val="24"/>
          <w:szCs w:val="24"/>
          <w:rtl/>
        </w:rPr>
        <w:t>, ו</w:t>
      </w:r>
      <w:r w:rsidRPr="00D75B3F">
        <w:rPr>
          <w:rFonts w:ascii="Garamond" w:hAnsi="Garamond" w:cs="David"/>
          <w:sz w:val="24"/>
          <w:szCs w:val="24"/>
          <w:rtl/>
        </w:rPr>
        <w:t xml:space="preserve">לא יערוך הסדר אם העונש המתאים לחשוד, לדעת התובע, היה כולל מאסר בפועל. ככל שהמשא ומתן לקראת הסדר לא יצלח או שהחשוד לא קיים את תנאי ההסדר, התובע יהיה חייב להעמיד את החשוד לדין בגין העובדות והוראות החיקוק שהתובע פירט בטיוטת כתב אישום, אותו התובע הכין מראש; והוא לא יהיה רשאי לבקש מבית המשפט להטיל על החשוד עונש מאסר בפועל. </w:t>
      </w:r>
      <w:r w:rsidR="00A71638" w:rsidRPr="00D75B3F">
        <w:rPr>
          <w:rStyle w:val="default"/>
          <w:rFonts w:cs="David" w:hint="cs"/>
          <w:sz w:val="24"/>
          <w:szCs w:val="24"/>
          <w:rtl/>
        </w:rPr>
        <w:t>בנוסף, תובע לא יערוך הסדר ב</w:t>
      </w:r>
      <w:r w:rsidR="00A71638" w:rsidRPr="00D75B3F">
        <w:rPr>
          <w:rStyle w:val="default"/>
          <w:rFonts w:cs="David"/>
          <w:sz w:val="24"/>
          <w:szCs w:val="24"/>
          <w:rtl/>
        </w:rPr>
        <w:t>עבירות "קלות" המנויות בסעיף 240 לחוק סדר הדין הפלילי</w:t>
      </w:r>
      <w:r w:rsidR="00A71638" w:rsidRPr="00D75B3F">
        <w:rPr>
          <w:rStyle w:val="default"/>
          <w:rFonts w:cs="David" w:hint="cs"/>
          <w:sz w:val="24"/>
          <w:szCs w:val="24"/>
          <w:rtl/>
        </w:rPr>
        <w:t xml:space="preserve"> (</w:t>
      </w:r>
      <w:r w:rsidR="00A71638" w:rsidRPr="00D75B3F">
        <w:rPr>
          <w:rStyle w:val="default"/>
          <w:rFonts w:cs="David"/>
          <w:sz w:val="24"/>
          <w:szCs w:val="24"/>
          <w:rtl/>
        </w:rPr>
        <w:t>עבירות לפי פקודת התעבורה, לפי פקודת ביטוח רכב מנועי [נוסח חדש], תש"ל-1970, שלא גרמו לתאונת דרכים שבה נחבל אדם חבלה של ממש, עבירות שנקבעו כעבירות קנס או כעבירות מינהליות</w:t>
      </w:r>
      <w:r w:rsidR="00A71638" w:rsidRPr="00D75B3F">
        <w:rPr>
          <w:rStyle w:val="default"/>
          <w:rFonts w:cs="David" w:hint="cs"/>
          <w:sz w:val="24"/>
          <w:szCs w:val="24"/>
          <w:rtl/>
        </w:rPr>
        <w:t>, ו</w:t>
      </w:r>
      <w:r w:rsidR="00A71638" w:rsidRPr="00D75B3F">
        <w:rPr>
          <w:rStyle w:val="default"/>
          <w:rFonts w:cs="David"/>
          <w:sz w:val="24"/>
          <w:szCs w:val="24"/>
          <w:rtl/>
        </w:rPr>
        <w:t xml:space="preserve">עבירות </w:t>
      </w:r>
      <w:r w:rsidR="00A71638" w:rsidRPr="00D75B3F">
        <w:rPr>
          <w:rStyle w:val="default"/>
          <w:rFonts w:cs="David" w:hint="cs"/>
          <w:sz w:val="24"/>
          <w:szCs w:val="24"/>
          <w:rtl/>
        </w:rPr>
        <w:t>אחרות שנקבעו בצו)</w:t>
      </w:r>
      <w:r w:rsidR="00A71638" w:rsidRPr="00D75B3F">
        <w:rPr>
          <w:rStyle w:val="default"/>
          <w:rFonts w:cs="David"/>
          <w:sz w:val="24"/>
          <w:szCs w:val="24"/>
          <w:rtl/>
        </w:rPr>
        <w:t xml:space="preserve">, </w:t>
      </w:r>
      <w:r w:rsidR="00A71638" w:rsidRPr="00D75B3F">
        <w:rPr>
          <w:rStyle w:val="default"/>
          <w:rFonts w:cs="David" w:hint="cs"/>
          <w:sz w:val="24"/>
          <w:szCs w:val="24"/>
          <w:rtl/>
        </w:rPr>
        <w:t>ולא ב</w:t>
      </w:r>
      <w:r w:rsidR="00A71638" w:rsidRPr="00D75B3F">
        <w:rPr>
          <w:rStyle w:val="default"/>
          <w:rFonts w:cs="David"/>
          <w:sz w:val="24"/>
          <w:szCs w:val="24"/>
          <w:rtl/>
        </w:rPr>
        <w:t xml:space="preserve">עבירות שבגינן אפשר להטיל עיצום כספי או כופר. </w:t>
      </w:r>
      <w:r w:rsidR="00B41BBF">
        <w:rPr>
          <w:rFonts w:ascii="Garamond" w:hAnsi="Garamond" w:cs="David" w:hint="cs"/>
          <w:sz w:val="24"/>
          <w:szCs w:val="24"/>
          <w:rtl/>
        </w:rPr>
        <w:t>כאמור, הגבלות</w:t>
      </w:r>
      <w:r w:rsidR="00B41BBF">
        <w:rPr>
          <w:rFonts w:ascii="Garamond" w:hAnsi="Garamond" w:cs="David"/>
          <w:sz w:val="24"/>
          <w:szCs w:val="24"/>
          <w:rtl/>
        </w:rPr>
        <w:t xml:space="preserve"> אלה נועדו</w:t>
      </w:r>
      <w:r w:rsidR="00B41BBF">
        <w:rPr>
          <w:rFonts w:ascii="Garamond" w:hAnsi="Garamond" w:cs="David" w:hint="cs"/>
          <w:sz w:val="24"/>
          <w:szCs w:val="24"/>
          <w:rtl/>
        </w:rPr>
        <w:t xml:space="preserve"> למקם את הכלי הזה לגזרה המתאימה של עבירות</w:t>
      </w:r>
      <w:r w:rsidR="000F29AB">
        <w:rPr>
          <w:rFonts w:ascii="Garamond" w:hAnsi="Garamond" w:cs="David" w:hint="cs"/>
          <w:sz w:val="24"/>
          <w:szCs w:val="24"/>
          <w:rtl/>
        </w:rPr>
        <w:t>, ולא לעבירות שמטופלות באמצעים מנהליים או דומה להם</w:t>
      </w:r>
      <w:r w:rsidRPr="00D75B3F">
        <w:rPr>
          <w:rFonts w:ascii="Garamond" w:hAnsi="Garamond" w:cs="David"/>
          <w:sz w:val="24"/>
          <w:szCs w:val="24"/>
          <w:rtl/>
        </w:rPr>
        <w:t>.</w:t>
      </w:r>
    </w:p>
    <w:p w:rsidR="007B5BC9" w:rsidRPr="00D75B3F" w:rsidRDefault="007B5BC9" w:rsidP="0074368D">
      <w:pPr>
        <w:pStyle w:val="aa"/>
        <w:spacing w:line="360" w:lineRule="auto"/>
        <w:ind w:left="0" w:firstLine="0"/>
        <w:rPr>
          <w:rFonts w:ascii="Garamond" w:hAnsi="Garamond" w:cs="David"/>
          <w:sz w:val="24"/>
          <w:szCs w:val="24"/>
          <w:rtl/>
        </w:rPr>
      </w:pPr>
    </w:p>
    <w:p w:rsidR="00B13843" w:rsidRPr="00CA28EC" w:rsidRDefault="00B13843" w:rsidP="0074368D">
      <w:pPr>
        <w:pStyle w:val="aa"/>
        <w:numPr>
          <w:ilvl w:val="0"/>
          <w:numId w:val="1"/>
        </w:numPr>
        <w:spacing w:line="360" w:lineRule="auto"/>
        <w:ind w:left="0"/>
        <w:rPr>
          <w:rFonts w:ascii="Garamond" w:hAnsi="Garamond" w:cs="David"/>
          <w:b/>
          <w:bCs/>
          <w:sz w:val="24"/>
          <w:szCs w:val="24"/>
          <w:rtl/>
        </w:rPr>
      </w:pPr>
      <w:r w:rsidRPr="00CA28EC">
        <w:rPr>
          <w:rFonts w:ascii="Garamond" w:hAnsi="Garamond" w:cs="David" w:hint="cs"/>
          <w:b/>
          <w:bCs/>
          <w:sz w:val="24"/>
          <w:szCs w:val="24"/>
          <w:rtl/>
        </w:rPr>
        <w:t>התנאים שאפשר לקבוע בהסדר</w:t>
      </w:r>
    </w:p>
    <w:p w:rsidR="0086206E" w:rsidRDefault="0086206E" w:rsidP="0074368D">
      <w:pPr>
        <w:spacing w:line="360" w:lineRule="auto"/>
        <w:ind w:firstLine="0"/>
        <w:rPr>
          <w:rFonts w:ascii="Garamond" w:hAnsi="Garamond" w:cs="David"/>
          <w:sz w:val="24"/>
          <w:szCs w:val="24"/>
          <w:rtl/>
        </w:rPr>
      </w:pPr>
      <w:r w:rsidRPr="00D75B3F">
        <w:rPr>
          <w:rFonts w:ascii="Garamond" w:hAnsi="Garamond" w:cs="David"/>
          <w:sz w:val="24"/>
          <w:szCs w:val="24"/>
          <w:rtl/>
        </w:rPr>
        <w:t xml:space="preserve">במסגרת ההסדר, התובע </w:t>
      </w:r>
      <w:r w:rsidRPr="00D75B3F">
        <w:rPr>
          <w:rFonts w:ascii="Garamond" w:hAnsi="Garamond" w:cs="David" w:hint="cs"/>
          <w:sz w:val="24"/>
          <w:szCs w:val="24"/>
          <w:rtl/>
        </w:rPr>
        <w:t>מ</w:t>
      </w:r>
      <w:r w:rsidRPr="00D75B3F">
        <w:rPr>
          <w:rFonts w:ascii="Garamond" w:hAnsi="Garamond" w:cs="David"/>
          <w:sz w:val="24"/>
          <w:szCs w:val="24"/>
          <w:rtl/>
        </w:rPr>
        <w:t>תחייב להימנע מהגשת כתב אישום נגד החשוד, ולסגור את תיק החקירה נגדו, אם יודה החשוד בעובדות המהוות עבירה, ויקיים את התנאים שיפורטו בהסדר. תובע רשאי לכלול בהסדר תנאים המנויים בחוק, ובכללם תשלום לאוצר המדינה</w:t>
      </w:r>
      <w:r w:rsidRPr="00D75B3F">
        <w:rPr>
          <w:rFonts w:ascii="Garamond" w:hAnsi="Garamond" w:cs="David" w:hint="cs"/>
          <w:sz w:val="24"/>
          <w:szCs w:val="24"/>
          <w:rtl/>
        </w:rPr>
        <w:t xml:space="preserve"> ו</w:t>
      </w:r>
      <w:r w:rsidRPr="00D75B3F">
        <w:rPr>
          <w:rFonts w:ascii="Garamond" w:hAnsi="Garamond" w:cs="David"/>
          <w:sz w:val="24"/>
          <w:szCs w:val="24"/>
          <w:rtl/>
        </w:rPr>
        <w:t>פיצוי לנפגע העבירה</w:t>
      </w:r>
      <w:r w:rsidRPr="00D75B3F">
        <w:rPr>
          <w:rFonts w:ascii="Garamond" w:hAnsi="Garamond" w:cs="David" w:hint="cs"/>
          <w:sz w:val="24"/>
          <w:szCs w:val="24"/>
          <w:rtl/>
        </w:rPr>
        <w:t xml:space="preserve"> עד לסכום מסוים</w:t>
      </w:r>
      <w:r w:rsidR="0052617B" w:rsidRPr="00D75B3F">
        <w:rPr>
          <w:rFonts w:ascii="Garamond" w:hAnsi="Garamond" w:cs="David" w:hint="cs"/>
          <w:sz w:val="24"/>
          <w:szCs w:val="24"/>
          <w:rtl/>
        </w:rPr>
        <w:t xml:space="preserve"> הקבוע בחוק</w:t>
      </w:r>
      <w:r w:rsidR="008873D7" w:rsidRPr="00D75B3F">
        <w:rPr>
          <w:rFonts w:ascii="Garamond" w:hAnsi="Garamond" w:cs="David" w:hint="cs"/>
          <w:sz w:val="24"/>
          <w:szCs w:val="24"/>
          <w:rtl/>
        </w:rPr>
        <w:t xml:space="preserve"> (היום בסביבות 30,000 ₪)</w:t>
      </w:r>
      <w:r w:rsidRPr="00D75B3F">
        <w:rPr>
          <w:rFonts w:ascii="Garamond" w:hAnsi="Garamond" w:cs="David"/>
          <w:sz w:val="24"/>
          <w:szCs w:val="24"/>
          <w:rtl/>
        </w:rPr>
        <w:t xml:space="preserve">, התחייבות של החשוד להימנע מביצוע עבירה, עמידה בתנאי תכנית טיפול, וכן נקיטת אמצעים המנויים בתוספת החמישית לתיקון הנזק, לשם השבת המצב לקדמותו, ולמניעת ביצוע עבירה – כגון </w:t>
      </w:r>
      <w:r w:rsidR="007A1581" w:rsidRPr="00D75B3F">
        <w:rPr>
          <w:rFonts w:ascii="Garamond" w:hAnsi="Garamond" w:cs="David" w:hint="cs"/>
          <w:sz w:val="24"/>
          <w:szCs w:val="24"/>
          <w:rtl/>
        </w:rPr>
        <w:t xml:space="preserve">כתיבת מכתב התנצלות, </w:t>
      </w:r>
      <w:r w:rsidRPr="00D75B3F">
        <w:rPr>
          <w:rFonts w:ascii="Garamond" w:hAnsi="Garamond" w:cs="David"/>
          <w:sz w:val="24"/>
          <w:szCs w:val="24"/>
          <w:rtl/>
        </w:rPr>
        <w:t xml:space="preserve">פסילת רישיון, הפקדת </w:t>
      </w:r>
      <w:r w:rsidRPr="00D75B3F">
        <w:rPr>
          <w:rFonts w:ascii="Garamond" w:hAnsi="Garamond" w:cs="David"/>
          <w:sz w:val="24"/>
          <w:szCs w:val="24"/>
          <w:rtl/>
        </w:rPr>
        <w:lastRenderedPageBreak/>
        <w:t>כלי ירייה,</w:t>
      </w:r>
      <w:r w:rsidR="007A1581" w:rsidRPr="00D75B3F">
        <w:rPr>
          <w:rFonts w:ascii="Garamond" w:hAnsi="Garamond" w:cs="David" w:hint="cs"/>
          <w:sz w:val="24"/>
          <w:szCs w:val="24"/>
          <w:rtl/>
        </w:rPr>
        <w:t xml:space="preserve"> התחייבות שלא להיכנס למקום מסוים או לשמש בתפקיד מסוים, </w:t>
      </w:r>
      <w:r w:rsidR="008873D7" w:rsidRPr="00D75B3F">
        <w:rPr>
          <w:rFonts w:ascii="Garamond" w:hAnsi="Garamond" w:cs="David" w:hint="cs"/>
          <w:sz w:val="24"/>
          <w:szCs w:val="24"/>
          <w:rtl/>
        </w:rPr>
        <w:t xml:space="preserve">הסכמה להודות בתובענה משמעתית, </w:t>
      </w:r>
      <w:r w:rsidRPr="00D75B3F">
        <w:rPr>
          <w:rFonts w:ascii="Garamond" w:hAnsi="Garamond" w:cs="David"/>
          <w:sz w:val="24"/>
          <w:szCs w:val="24"/>
          <w:rtl/>
        </w:rPr>
        <w:t>הריסה</w:t>
      </w:r>
      <w:r w:rsidR="007A1581" w:rsidRPr="00D75B3F">
        <w:rPr>
          <w:rFonts w:ascii="Garamond" w:hAnsi="Garamond" w:cs="David" w:hint="cs"/>
          <w:sz w:val="24"/>
          <w:szCs w:val="24"/>
          <w:rtl/>
        </w:rPr>
        <w:t>,</w:t>
      </w:r>
      <w:r w:rsidRPr="00D75B3F">
        <w:rPr>
          <w:rFonts w:ascii="Garamond" w:hAnsi="Garamond" w:cs="David"/>
          <w:sz w:val="24"/>
          <w:szCs w:val="24"/>
          <w:rtl/>
        </w:rPr>
        <w:t xml:space="preserve"> פירוק או סילוק של בניין או חלק ממנו</w:t>
      </w:r>
      <w:r w:rsidR="007A1581" w:rsidRPr="00D75B3F">
        <w:rPr>
          <w:rFonts w:ascii="Garamond" w:hAnsi="Garamond" w:cs="David" w:hint="cs"/>
          <w:sz w:val="24"/>
          <w:szCs w:val="24"/>
          <w:rtl/>
        </w:rPr>
        <w:t>, סגירת עסק לתקופה קצרה,</w:t>
      </w:r>
      <w:r w:rsidR="007B7074" w:rsidRPr="00D75B3F">
        <w:rPr>
          <w:rFonts w:ascii="Garamond" w:hAnsi="Garamond" w:cs="David" w:hint="cs"/>
          <w:sz w:val="24"/>
          <w:szCs w:val="24"/>
          <w:rtl/>
        </w:rPr>
        <w:t xml:space="preserve"> אימוץ נהלים פנימיים</w:t>
      </w:r>
      <w:r w:rsidR="007A1581" w:rsidRPr="00D75B3F">
        <w:rPr>
          <w:rFonts w:ascii="Garamond" w:hAnsi="Garamond" w:cs="David" w:hint="cs"/>
          <w:sz w:val="24"/>
          <w:szCs w:val="24"/>
          <w:rtl/>
        </w:rPr>
        <w:t xml:space="preserve"> ועוד</w:t>
      </w:r>
      <w:r w:rsidRPr="00D75B3F">
        <w:rPr>
          <w:rFonts w:ascii="Garamond" w:hAnsi="Garamond" w:cs="David"/>
          <w:sz w:val="24"/>
          <w:szCs w:val="24"/>
          <w:rtl/>
        </w:rPr>
        <w:t>. משך התקופה למילוי התנאים</w:t>
      </w:r>
      <w:r w:rsidR="007A1581" w:rsidRPr="00D75B3F">
        <w:rPr>
          <w:rFonts w:ascii="Garamond" w:hAnsi="Garamond" w:cs="David"/>
          <w:sz w:val="24"/>
          <w:szCs w:val="24"/>
          <w:rtl/>
        </w:rPr>
        <w:t xml:space="preserve"> לא יעלה על שנה, ובמקרים חריגים</w:t>
      </w:r>
      <w:r w:rsidR="007A1581" w:rsidRPr="00D75B3F">
        <w:rPr>
          <w:rFonts w:ascii="Garamond" w:hAnsi="Garamond" w:cs="David" w:hint="cs"/>
          <w:sz w:val="24"/>
          <w:szCs w:val="24"/>
          <w:rtl/>
        </w:rPr>
        <w:t xml:space="preserve">, על שנתיים. </w:t>
      </w:r>
      <w:r w:rsidRPr="00D75B3F">
        <w:rPr>
          <w:rFonts w:ascii="Garamond" w:hAnsi="Garamond" w:cs="David"/>
          <w:sz w:val="24"/>
          <w:szCs w:val="24"/>
          <w:rtl/>
        </w:rPr>
        <w:t xml:space="preserve">לאור בעיות תקציביות, </w:t>
      </w:r>
      <w:r w:rsidR="007378D1" w:rsidRPr="00D75B3F">
        <w:rPr>
          <w:rFonts w:ascii="Garamond" w:hAnsi="Garamond" w:cs="David" w:hint="cs"/>
          <w:sz w:val="24"/>
          <w:szCs w:val="24"/>
          <w:rtl/>
        </w:rPr>
        <w:t xml:space="preserve">נקבע </w:t>
      </w:r>
      <w:r w:rsidRPr="00D75B3F">
        <w:rPr>
          <w:rFonts w:ascii="Garamond" w:hAnsi="Garamond" w:cs="David"/>
          <w:sz w:val="24"/>
          <w:szCs w:val="24"/>
          <w:rtl/>
        </w:rPr>
        <w:t xml:space="preserve">כי </w:t>
      </w:r>
      <w:r w:rsidR="007378D1" w:rsidRPr="00D75B3F">
        <w:rPr>
          <w:rFonts w:ascii="Garamond" w:hAnsi="Garamond" w:cs="David"/>
          <w:sz w:val="24"/>
          <w:szCs w:val="24"/>
          <w:rtl/>
        </w:rPr>
        <w:t xml:space="preserve">תנאי של עמידה בתכנית טיפול לא </w:t>
      </w:r>
      <w:r w:rsidR="007378D1" w:rsidRPr="00D75B3F">
        <w:rPr>
          <w:rFonts w:ascii="Garamond" w:hAnsi="Garamond" w:cs="David" w:hint="cs"/>
          <w:sz w:val="24"/>
          <w:szCs w:val="24"/>
          <w:rtl/>
        </w:rPr>
        <w:t>י</w:t>
      </w:r>
      <w:r w:rsidRPr="00D75B3F">
        <w:rPr>
          <w:rFonts w:ascii="Garamond" w:hAnsi="Garamond" w:cs="David"/>
          <w:sz w:val="24"/>
          <w:szCs w:val="24"/>
          <w:rtl/>
        </w:rPr>
        <w:t>יכלל בהסדר לסגירת תיק אלא לאחר ששיר</w:t>
      </w:r>
      <w:r w:rsidR="007378D1" w:rsidRPr="00D75B3F">
        <w:rPr>
          <w:rFonts w:ascii="Garamond" w:hAnsi="Garamond" w:cs="David"/>
          <w:sz w:val="24"/>
          <w:szCs w:val="24"/>
          <w:rtl/>
        </w:rPr>
        <w:t xml:space="preserve">ות המבחן </w:t>
      </w:r>
      <w:r w:rsidR="000F29AB">
        <w:rPr>
          <w:rFonts w:ascii="Garamond" w:hAnsi="Garamond" w:cs="David" w:hint="cs"/>
          <w:sz w:val="24"/>
          <w:szCs w:val="24"/>
          <w:rtl/>
        </w:rPr>
        <w:t>י</w:t>
      </w:r>
      <w:r w:rsidR="007378D1" w:rsidRPr="00D75B3F">
        <w:rPr>
          <w:rFonts w:ascii="Garamond" w:hAnsi="Garamond" w:cs="David"/>
          <w:sz w:val="24"/>
          <w:szCs w:val="24"/>
          <w:rtl/>
        </w:rPr>
        <w:t xml:space="preserve">צהיר </w:t>
      </w:r>
      <w:r w:rsidR="00D4363B">
        <w:rPr>
          <w:rFonts w:ascii="Garamond" w:hAnsi="Garamond" w:cs="David" w:hint="cs"/>
          <w:sz w:val="24"/>
          <w:szCs w:val="24"/>
          <w:rtl/>
        </w:rPr>
        <w:t xml:space="preserve">שהוא </w:t>
      </w:r>
      <w:r w:rsidR="00D4363B">
        <w:rPr>
          <w:rFonts w:ascii="Garamond" w:hAnsi="Garamond" w:cs="David"/>
          <w:sz w:val="24"/>
          <w:szCs w:val="24"/>
          <w:rtl/>
        </w:rPr>
        <w:t>ערו</w:t>
      </w:r>
      <w:r w:rsidR="00D4363B">
        <w:rPr>
          <w:rFonts w:ascii="Garamond" w:hAnsi="Garamond" w:cs="David" w:hint="cs"/>
          <w:sz w:val="24"/>
          <w:szCs w:val="24"/>
          <w:rtl/>
        </w:rPr>
        <w:t>ך לכך</w:t>
      </w:r>
      <w:r w:rsidR="007378D1" w:rsidRPr="00D75B3F">
        <w:rPr>
          <w:rFonts w:ascii="Garamond" w:hAnsi="Garamond" w:cs="David"/>
          <w:sz w:val="24"/>
          <w:szCs w:val="24"/>
          <w:rtl/>
        </w:rPr>
        <w:t>.</w:t>
      </w:r>
      <w:r w:rsidRPr="00D75B3F">
        <w:rPr>
          <w:rFonts w:ascii="Garamond" w:hAnsi="Garamond" w:cs="David"/>
          <w:sz w:val="24"/>
          <w:szCs w:val="24"/>
          <w:rtl/>
        </w:rPr>
        <w:t xml:space="preserve"> אמצעים נוספים יוכלו להתווסף לרשימה בתוספת החמישית, בצו שיאושר בידי הוועדה. לאחר התקופה הקבועה בהסדר למילוי התנאים, התובע יסגור את התיק בעילה של "סגירה בהסדר" וידווח על כך למרשם הפלילי.</w:t>
      </w:r>
      <w:r w:rsidR="007B7074" w:rsidRPr="00D75B3F">
        <w:rPr>
          <w:rFonts w:ascii="Garamond" w:hAnsi="Garamond" w:cs="David" w:hint="cs"/>
          <w:sz w:val="24"/>
          <w:szCs w:val="24"/>
          <w:rtl/>
        </w:rPr>
        <w:t xml:space="preserve"> תובע בכיר נדרש לאשר את התנאים שבהסדר, אלא אם כן ההסדר מוצע לפי תנאים מפורטים שפורט בהנחיות.</w:t>
      </w:r>
    </w:p>
    <w:p w:rsidR="007B5BC9" w:rsidRPr="00D75B3F" w:rsidRDefault="007B5BC9" w:rsidP="0074368D">
      <w:pPr>
        <w:spacing w:line="360" w:lineRule="auto"/>
        <w:ind w:firstLine="0"/>
        <w:rPr>
          <w:rFonts w:ascii="Garamond" w:hAnsi="Garamond" w:cs="David"/>
          <w:sz w:val="24"/>
          <w:szCs w:val="24"/>
          <w:rtl/>
        </w:rPr>
      </w:pPr>
    </w:p>
    <w:p w:rsidR="00A5660A" w:rsidRPr="00CA28EC" w:rsidRDefault="00B13843" w:rsidP="0074368D">
      <w:pPr>
        <w:pStyle w:val="aa"/>
        <w:numPr>
          <w:ilvl w:val="0"/>
          <w:numId w:val="1"/>
        </w:numPr>
        <w:spacing w:line="360" w:lineRule="auto"/>
        <w:ind w:left="0"/>
        <w:rPr>
          <w:rFonts w:ascii="Garamond" w:hAnsi="Garamond" w:cs="David"/>
          <w:b/>
          <w:bCs/>
          <w:sz w:val="24"/>
          <w:szCs w:val="24"/>
          <w:rtl/>
        </w:rPr>
      </w:pPr>
      <w:r w:rsidRPr="00CA28EC">
        <w:rPr>
          <w:rFonts w:ascii="Garamond" w:hAnsi="Garamond" w:cs="David" w:hint="cs"/>
          <w:b/>
          <w:bCs/>
          <w:sz w:val="24"/>
          <w:szCs w:val="24"/>
          <w:rtl/>
        </w:rPr>
        <w:t>פרסום ודיווח</w:t>
      </w:r>
    </w:p>
    <w:p w:rsidR="00BC50D2" w:rsidRPr="00D75B3F" w:rsidRDefault="00F7638A" w:rsidP="0074368D">
      <w:pPr>
        <w:spacing w:line="360" w:lineRule="auto"/>
        <w:ind w:firstLine="0"/>
        <w:rPr>
          <w:rFonts w:ascii="Garamond" w:hAnsi="Garamond" w:cs="David"/>
          <w:sz w:val="24"/>
          <w:szCs w:val="24"/>
          <w:rtl/>
        </w:rPr>
      </w:pPr>
      <w:r w:rsidRPr="00D75B3F">
        <w:rPr>
          <w:rFonts w:ascii="Garamond" w:hAnsi="Garamond" w:cs="David" w:hint="cs"/>
          <w:sz w:val="24"/>
          <w:szCs w:val="24"/>
          <w:rtl/>
        </w:rPr>
        <w:t xml:space="preserve">כדי להבטיח </w:t>
      </w:r>
      <w:r w:rsidRPr="00D75B3F">
        <w:rPr>
          <w:rFonts w:ascii="Garamond" w:hAnsi="Garamond" w:cs="David"/>
          <w:sz w:val="24"/>
          <w:szCs w:val="24"/>
          <w:rtl/>
        </w:rPr>
        <w:t>שקיפות לגבי הפעלת שיקול הדעת של התביעה בהפעלת סמכותה</w:t>
      </w:r>
      <w:r w:rsidRPr="00D75B3F">
        <w:rPr>
          <w:rFonts w:ascii="Garamond" w:hAnsi="Garamond" w:cs="David" w:hint="cs"/>
          <w:sz w:val="24"/>
          <w:szCs w:val="24"/>
          <w:rtl/>
        </w:rPr>
        <w:t>,</w:t>
      </w:r>
      <w:r w:rsidR="00D4363B">
        <w:rPr>
          <w:rFonts w:ascii="Garamond" w:hAnsi="Garamond" w:cs="David" w:hint="cs"/>
          <w:sz w:val="24"/>
          <w:szCs w:val="24"/>
          <w:rtl/>
        </w:rPr>
        <w:t xml:space="preserve"> וכן שוויון,</w:t>
      </w:r>
      <w:r w:rsidRPr="00D75B3F">
        <w:rPr>
          <w:rFonts w:ascii="Garamond" w:hAnsi="Garamond" w:cs="David" w:hint="cs"/>
          <w:sz w:val="24"/>
          <w:szCs w:val="24"/>
          <w:rtl/>
        </w:rPr>
        <w:t xml:space="preserve"> </w:t>
      </w:r>
      <w:r w:rsidR="007B7074" w:rsidRPr="00D75B3F">
        <w:rPr>
          <w:rFonts w:ascii="Garamond" w:hAnsi="Garamond" w:cs="David" w:hint="cs"/>
          <w:sz w:val="24"/>
          <w:szCs w:val="24"/>
          <w:rtl/>
        </w:rPr>
        <w:t xml:space="preserve">על </w:t>
      </w:r>
      <w:r w:rsidR="007B7074" w:rsidRPr="00D75B3F">
        <w:rPr>
          <w:rFonts w:ascii="Garamond" w:hAnsi="Garamond" w:cs="David"/>
          <w:sz w:val="24"/>
          <w:szCs w:val="24"/>
          <w:rtl/>
        </w:rPr>
        <w:t xml:space="preserve">רשות התביעה </w:t>
      </w:r>
      <w:r w:rsidR="007B7074" w:rsidRPr="00D75B3F">
        <w:rPr>
          <w:rFonts w:ascii="Garamond" w:hAnsi="Garamond" w:cs="David" w:hint="cs"/>
          <w:sz w:val="24"/>
          <w:szCs w:val="24"/>
          <w:rtl/>
        </w:rPr>
        <w:t>ל</w:t>
      </w:r>
      <w:r w:rsidR="007B7074" w:rsidRPr="00D75B3F">
        <w:rPr>
          <w:rFonts w:ascii="Garamond" w:hAnsi="Garamond" w:cs="David"/>
          <w:sz w:val="24"/>
          <w:szCs w:val="24"/>
          <w:rtl/>
        </w:rPr>
        <w:t xml:space="preserve">פרסם </w:t>
      </w:r>
      <w:r w:rsidR="007B7074" w:rsidRPr="00D75B3F">
        <w:rPr>
          <w:rFonts w:ascii="Garamond" w:hAnsi="Garamond" w:cs="David" w:hint="cs"/>
          <w:sz w:val="24"/>
          <w:szCs w:val="24"/>
          <w:rtl/>
        </w:rPr>
        <w:t xml:space="preserve">באינטרנט </w:t>
      </w:r>
      <w:r w:rsidR="007B7074" w:rsidRPr="00D75B3F">
        <w:rPr>
          <w:rFonts w:ascii="Garamond" w:hAnsi="Garamond" w:cs="David"/>
          <w:sz w:val="24"/>
          <w:szCs w:val="24"/>
          <w:rtl/>
        </w:rPr>
        <w:t>את החלטותיה לסגור תיקים בהסדר,</w:t>
      </w:r>
      <w:r w:rsidRPr="00D75B3F">
        <w:rPr>
          <w:rFonts w:ascii="Garamond" w:hAnsi="Garamond" w:cs="David" w:hint="cs"/>
          <w:sz w:val="24"/>
          <w:szCs w:val="24"/>
          <w:rtl/>
        </w:rPr>
        <w:t xml:space="preserve"> כולל את תיאור העובדות ואת תנאי ההסדר</w:t>
      </w:r>
      <w:r w:rsidR="00A655DC" w:rsidRPr="00D75B3F">
        <w:rPr>
          <w:rFonts w:ascii="Garamond" w:hAnsi="Garamond" w:cs="David" w:hint="cs"/>
          <w:sz w:val="24"/>
          <w:szCs w:val="24"/>
          <w:rtl/>
        </w:rPr>
        <w:t xml:space="preserve"> (ור' מצ"ב תיאורים </w:t>
      </w:r>
      <w:r w:rsidR="00D4363B">
        <w:rPr>
          <w:rFonts w:ascii="Garamond" w:hAnsi="Garamond" w:cs="David" w:hint="cs"/>
          <w:sz w:val="24"/>
          <w:szCs w:val="24"/>
          <w:rtl/>
        </w:rPr>
        <w:t>שמצאנו</w:t>
      </w:r>
      <w:r w:rsidR="00A655DC" w:rsidRPr="00D75B3F">
        <w:rPr>
          <w:rFonts w:ascii="Garamond" w:hAnsi="Garamond" w:cs="David" w:hint="cs"/>
          <w:sz w:val="24"/>
          <w:szCs w:val="24"/>
          <w:rtl/>
        </w:rPr>
        <w:t xml:space="preserve"> באתר משרד המשפטים)</w:t>
      </w:r>
      <w:r w:rsidR="007B7074" w:rsidRPr="00D75B3F">
        <w:rPr>
          <w:rFonts w:ascii="Garamond" w:hAnsi="Garamond" w:cs="David"/>
          <w:sz w:val="24"/>
          <w:szCs w:val="24"/>
          <w:rtl/>
        </w:rPr>
        <w:t xml:space="preserve">. כמו כן, שר המשפטים והשר לביטחון פנים </w:t>
      </w:r>
      <w:r w:rsidR="00D4363B">
        <w:rPr>
          <w:rFonts w:ascii="Garamond" w:hAnsi="Garamond" w:cs="David" w:hint="cs"/>
          <w:sz w:val="24"/>
          <w:szCs w:val="24"/>
          <w:rtl/>
        </w:rPr>
        <w:t>חייבים בדיווח</w:t>
      </w:r>
      <w:r w:rsidR="007B7074" w:rsidRPr="00D75B3F">
        <w:rPr>
          <w:rFonts w:ascii="Garamond" w:hAnsi="Garamond" w:cs="David" w:hint="cs"/>
          <w:sz w:val="24"/>
          <w:szCs w:val="24"/>
          <w:rtl/>
        </w:rPr>
        <w:t xml:space="preserve"> </w:t>
      </w:r>
      <w:r w:rsidR="007B7074" w:rsidRPr="00D75B3F">
        <w:rPr>
          <w:rFonts w:ascii="Garamond" w:hAnsi="Garamond" w:cs="David"/>
          <w:sz w:val="24"/>
          <w:szCs w:val="24"/>
          <w:rtl/>
        </w:rPr>
        <w:t>לוועדת החוקה מדי שנה על מספר התיקים שנסגרו בהסדר, בהשוואה למספר התיקים שנסגרו ולמספר התיקים בהם הוגשו כתבי אישום באותה שנה</w:t>
      </w:r>
      <w:r w:rsidR="00C73B48" w:rsidRPr="00D75B3F">
        <w:rPr>
          <w:rFonts w:ascii="Garamond" w:hAnsi="Garamond" w:cs="David" w:hint="cs"/>
          <w:sz w:val="24"/>
          <w:szCs w:val="24"/>
          <w:rtl/>
        </w:rPr>
        <w:t xml:space="preserve"> (ור' לדוגמא את הדיווחים שקיבלה הוועדה בסוף מאי 2015ׂׂ)</w:t>
      </w:r>
      <w:r w:rsidR="007B7074" w:rsidRPr="00D75B3F">
        <w:rPr>
          <w:rFonts w:ascii="Garamond" w:hAnsi="Garamond" w:cs="David"/>
          <w:sz w:val="24"/>
          <w:szCs w:val="24"/>
          <w:rtl/>
        </w:rPr>
        <w:t>.</w:t>
      </w:r>
    </w:p>
    <w:p w:rsidR="00BC50D2" w:rsidRPr="00D75B3F" w:rsidRDefault="00BC50D2" w:rsidP="0074368D">
      <w:pPr>
        <w:spacing w:line="360" w:lineRule="auto"/>
        <w:ind w:firstLine="0"/>
        <w:rPr>
          <w:rFonts w:ascii="Garamond" w:hAnsi="Garamond" w:cs="David"/>
          <w:sz w:val="24"/>
          <w:szCs w:val="24"/>
          <w:rtl/>
        </w:rPr>
      </w:pPr>
    </w:p>
    <w:p w:rsidR="000A24CB" w:rsidRPr="006476EF" w:rsidRDefault="00BC50D2" w:rsidP="0074368D">
      <w:pPr>
        <w:spacing w:line="360" w:lineRule="auto"/>
        <w:ind w:firstLine="0"/>
        <w:rPr>
          <w:rFonts w:ascii="Garamond" w:hAnsi="Garamond" w:cs="David"/>
          <w:b/>
          <w:bCs/>
          <w:sz w:val="24"/>
          <w:szCs w:val="24"/>
          <w:u w:val="single"/>
          <w:rtl/>
        </w:rPr>
      </w:pPr>
      <w:r w:rsidRPr="006476EF">
        <w:rPr>
          <w:rFonts w:ascii="Garamond" w:hAnsi="Garamond" w:cs="David" w:hint="cs"/>
          <w:b/>
          <w:bCs/>
          <w:sz w:val="24"/>
          <w:szCs w:val="24"/>
          <w:u w:val="single"/>
          <w:rtl/>
        </w:rPr>
        <w:t>נק</w:t>
      </w:r>
      <w:r w:rsidR="000A24CB" w:rsidRPr="006476EF">
        <w:rPr>
          <w:rFonts w:ascii="Garamond" w:hAnsi="Garamond" w:cs="David" w:hint="cs"/>
          <w:b/>
          <w:bCs/>
          <w:sz w:val="24"/>
          <w:szCs w:val="24"/>
          <w:u w:val="single"/>
          <w:rtl/>
        </w:rPr>
        <w:t>ודות לדיון:</w:t>
      </w:r>
      <w:r w:rsidRPr="006476EF">
        <w:rPr>
          <w:rFonts w:ascii="Garamond" w:hAnsi="Garamond" w:cs="David" w:hint="cs"/>
          <w:b/>
          <w:bCs/>
          <w:sz w:val="24"/>
          <w:szCs w:val="24"/>
          <w:u w:val="single"/>
          <w:rtl/>
        </w:rPr>
        <w:t xml:space="preserve"> </w:t>
      </w:r>
    </w:p>
    <w:p w:rsidR="00BC50D2" w:rsidRDefault="00D75B3F" w:rsidP="0074368D">
      <w:pPr>
        <w:spacing w:line="360" w:lineRule="auto"/>
        <w:ind w:firstLine="0"/>
        <w:rPr>
          <w:rFonts w:ascii="Garamond" w:hAnsi="Garamond" w:cs="David"/>
          <w:sz w:val="24"/>
          <w:szCs w:val="24"/>
          <w:rtl/>
        </w:rPr>
      </w:pPr>
      <w:r w:rsidRPr="00D75B3F">
        <w:rPr>
          <w:rFonts w:ascii="Garamond" w:hAnsi="Garamond" w:cs="David" w:hint="cs"/>
          <w:sz w:val="24"/>
          <w:szCs w:val="24"/>
          <w:rtl/>
        </w:rPr>
        <w:t xml:space="preserve">- </w:t>
      </w:r>
      <w:r w:rsidR="00D96EE9" w:rsidRPr="00D75B3F">
        <w:rPr>
          <w:rFonts w:ascii="Garamond" w:hAnsi="Garamond" w:cs="David" w:hint="cs"/>
          <w:b/>
          <w:bCs/>
          <w:sz w:val="24"/>
          <w:szCs w:val="24"/>
          <w:u w:val="single"/>
          <w:rtl/>
        </w:rPr>
        <w:t>שימוש בהסדר</w:t>
      </w:r>
      <w:r w:rsidR="00BC50D2" w:rsidRPr="00D75B3F">
        <w:rPr>
          <w:rFonts w:ascii="Garamond" w:hAnsi="Garamond" w:cs="David"/>
          <w:b/>
          <w:bCs/>
          <w:sz w:val="24"/>
          <w:szCs w:val="24"/>
          <w:u w:val="single"/>
          <w:rtl/>
        </w:rPr>
        <w:t xml:space="preserve"> </w:t>
      </w:r>
      <w:r w:rsidR="00981DA4">
        <w:rPr>
          <w:rFonts w:ascii="Garamond" w:hAnsi="Garamond" w:cs="David" w:hint="cs"/>
          <w:b/>
          <w:bCs/>
          <w:sz w:val="24"/>
          <w:szCs w:val="24"/>
          <w:u w:val="single"/>
          <w:rtl/>
        </w:rPr>
        <w:t>על ידי ה</w:t>
      </w:r>
      <w:r w:rsidR="00BC50D2" w:rsidRPr="00D75B3F">
        <w:rPr>
          <w:rFonts w:ascii="Garamond" w:hAnsi="Garamond" w:cs="David"/>
          <w:b/>
          <w:bCs/>
          <w:sz w:val="24"/>
          <w:szCs w:val="24"/>
          <w:u w:val="single"/>
          <w:rtl/>
        </w:rPr>
        <w:t>תביעה המשטרתית</w:t>
      </w:r>
      <w:r w:rsidR="00981DA4">
        <w:rPr>
          <w:rFonts w:ascii="Garamond" w:hAnsi="Garamond" w:cs="David"/>
          <w:sz w:val="24"/>
          <w:szCs w:val="24"/>
          <w:rtl/>
        </w:rPr>
        <w:t>:</w:t>
      </w:r>
      <w:r w:rsidR="00BC50D2" w:rsidRPr="00D75B3F">
        <w:rPr>
          <w:rFonts w:ascii="Garamond" w:hAnsi="Garamond" w:cs="David"/>
          <w:sz w:val="24"/>
          <w:szCs w:val="24"/>
          <w:rtl/>
        </w:rPr>
        <w:t xml:space="preserve"> </w:t>
      </w:r>
      <w:r w:rsidR="001541C0" w:rsidRPr="00D75B3F">
        <w:rPr>
          <w:rFonts w:ascii="Garamond" w:hAnsi="Garamond" w:cs="David" w:hint="cs"/>
          <w:sz w:val="24"/>
          <w:szCs w:val="24"/>
          <w:rtl/>
        </w:rPr>
        <w:t xml:space="preserve"> </w:t>
      </w:r>
      <w:r w:rsidR="003430CD" w:rsidRPr="00D75B3F">
        <w:rPr>
          <w:rFonts w:ascii="Garamond" w:hAnsi="Garamond" w:cs="David" w:hint="cs"/>
          <w:sz w:val="24"/>
          <w:szCs w:val="24"/>
          <w:rtl/>
        </w:rPr>
        <w:t xml:space="preserve">במרץ 2015, הודיע </w:t>
      </w:r>
      <w:r w:rsidR="001541C0" w:rsidRPr="00D75B3F">
        <w:rPr>
          <w:rFonts w:ascii="Garamond" w:hAnsi="Garamond" w:cs="David" w:hint="cs"/>
          <w:sz w:val="24"/>
          <w:szCs w:val="24"/>
          <w:rtl/>
        </w:rPr>
        <w:t xml:space="preserve">השר לביטחון פנים </w:t>
      </w:r>
      <w:r w:rsidR="003430CD" w:rsidRPr="00D75B3F">
        <w:rPr>
          <w:rFonts w:ascii="Garamond" w:hAnsi="Garamond" w:cs="David" w:hint="cs"/>
          <w:sz w:val="24"/>
          <w:szCs w:val="24"/>
          <w:rtl/>
        </w:rPr>
        <w:t xml:space="preserve">כי </w:t>
      </w:r>
      <w:r w:rsidR="00D4363B" w:rsidRPr="00D75B3F">
        <w:rPr>
          <w:rFonts w:ascii="Garamond" w:hAnsi="Garamond" w:cs="David" w:hint="cs"/>
          <w:sz w:val="24"/>
          <w:szCs w:val="24"/>
          <w:rtl/>
        </w:rPr>
        <w:t xml:space="preserve">המשטרה </w:t>
      </w:r>
      <w:r w:rsidR="003430CD" w:rsidRPr="00D75B3F">
        <w:rPr>
          <w:rFonts w:ascii="Garamond" w:hAnsi="Garamond" w:cs="David" w:hint="cs"/>
          <w:sz w:val="24"/>
          <w:szCs w:val="24"/>
          <w:rtl/>
        </w:rPr>
        <w:t xml:space="preserve">לא החלה ביישום החוק "לאור ההשלכות המשמעותיות הצפויות ביישום התיקון על עבודת המשטרה", והוא לא הודיע מהן הכוונות לעתיד. כבר בדיונים </w:t>
      </w:r>
      <w:r w:rsidR="006A2F8D" w:rsidRPr="00D75B3F">
        <w:rPr>
          <w:rFonts w:ascii="Garamond" w:hAnsi="Garamond" w:cs="David" w:hint="cs"/>
          <w:sz w:val="24"/>
          <w:szCs w:val="24"/>
          <w:rtl/>
        </w:rPr>
        <w:t xml:space="preserve">הראשוניים בהצעת החוק, </w:t>
      </w:r>
      <w:r w:rsidR="00185DC3" w:rsidRPr="00D75B3F">
        <w:rPr>
          <w:rFonts w:ascii="Garamond" w:hAnsi="Garamond" w:cs="David" w:hint="cs"/>
          <w:sz w:val="24"/>
          <w:szCs w:val="24"/>
          <w:rtl/>
        </w:rPr>
        <w:t>הודיעה המשטרה כי ללא תקציבים נוספים, היא לא תעשה שימוש בהסדר החדש</w:t>
      </w:r>
      <w:r w:rsidR="006935DC" w:rsidRPr="00D75B3F">
        <w:rPr>
          <w:rFonts w:ascii="Garamond" w:hAnsi="Garamond" w:cs="David" w:hint="cs"/>
          <w:sz w:val="24"/>
          <w:szCs w:val="24"/>
          <w:rtl/>
        </w:rPr>
        <w:t>, שכן המשטרה ביקשה לעשות שימוש בהסדר מותנה בתיקים שבעבר היו סוגרים מפאת היעדר משאבים</w:t>
      </w:r>
      <w:r w:rsidRPr="00D75B3F">
        <w:rPr>
          <w:rFonts w:ascii="Garamond" w:hAnsi="Garamond" w:cs="David" w:hint="cs"/>
          <w:sz w:val="24"/>
          <w:szCs w:val="24"/>
          <w:rtl/>
        </w:rPr>
        <w:t>.</w:t>
      </w:r>
      <w:r w:rsidR="006935DC" w:rsidRPr="00D75B3F">
        <w:rPr>
          <w:rFonts w:ascii="Garamond" w:hAnsi="Garamond" w:cs="David" w:hint="cs"/>
          <w:sz w:val="24"/>
          <w:szCs w:val="24"/>
          <w:rtl/>
        </w:rPr>
        <w:t xml:space="preserve"> </w:t>
      </w:r>
      <w:r w:rsidR="006A1A93" w:rsidRPr="00D75B3F">
        <w:rPr>
          <w:rFonts w:ascii="Garamond" w:hAnsi="Garamond" w:cs="David" w:hint="cs"/>
          <w:sz w:val="24"/>
          <w:szCs w:val="24"/>
          <w:rtl/>
        </w:rPr>
        <w:t>למרות שעמדת הממשלה הייתה אחרת (הן עמדת היועץ המשפט לממשלה והן עמדת וועדת שרים לענייני חקיקה, כפי שהובהר בדיון ביום 20.2.12)</w:t>
      </w:r>
      <w:r w:rsidRPr="00D75B3F">
        <w:rPr>
          <w:rFonts w:ascii="Garamond" w:hAnsi="Garamond" w:cs="David" w:hint="cs"/>
          <w:sz w:val="24"/>
          <w:szCs w:val="24"/>
          <w:rtl/>
        </w:rPr>
        <w:t>,</w:t>
      </w:r>
      <w:r w:rsidR="006A1A93" w:rsidRPr="00D75B3F">
        <w:rPr>
          <w:rFonts w:ascii="Garamond" w:hAnsi="Garamond" w:cs="David" w:hint="cs"/>
          <w:sz w:val="24"/>
          <w:szCs w:val="24"/>
          <w:rtl/>
        </w:rPr>
        <w:t xml:space="preserve"> </w:t>
      </w:r>
      <w:r w:rsidR="006935DC" w:rsidRPr="00D75B3F">
        <w:rPr>
          <w:rFonts w:ascii="Garamond" w:hAnsi="Garamond" w:cs="David" w:hint="cs"/>
          <w:sz w:val="24"/>
          <w:szCs w:val="24"/>
          <w:rtl/>
        </w:rPr>
        <w:t xml:space="preserve">המשטרה סברה כי לא נכון </w:t>
      </w:r>
      <w:r w:rsidR="00350E12" w:rsidRPr="00D75B3F">
        <w:rPr>
          <w:rFonts w:ascii="Garamond" w:hAnsi="Garamond" w:cs="David" w:hint="cs"/>
          <w:sz w:val="24"/>
          <w:szCs w:val="24"/>
          <w:rtl/>
        </w:rPr>
        <w:t xml:space="preserve">לסגור בהסדר תיקים שהיום </w:t>
      </w:r>
      <w:r w:rsidR="00350E12" w:rsidRPr="00D75B3F">
        <w:rPr>
          <w:rFonts w:ascii="Garamond" w:hAnsi="Garamond" w:cs="David"/>
          <w:sz w:val="24"/>
          <w:szCs w:val="24"/>
          <w:rtl/>
        </w:rPr>
        <w:t>מוגשים לבית משפט</w:t>
      </w:r>
      <w:r w:rsidR="00185DC3" w:rsidRPr="00D75B3F">
        <w:rPr>
          <w:rFonts w:ascii="Garamond" w:hAnsi="Garamond" w:cs="David" w:hint="cs"/>
          <w:sz w:val="24"/>
          <w:szCs w:val="24"/>
          <w:rtl/>
        </w:rPr>
        <w:t xml:space="preserve">. </w:t>
      </w:r>
      <w:r w:rsidR="00981DA4">
        <w:rPr>
          <w:rFonts w:ascii="Garamond" w:hAnsi="Garamond" w:cs="David" w:hint="cs"/>
          <w:sz w:val="24"/>
          <w:szCs w:val="24"/>
          <w:rtl/>
        </w:rPr>
        <w:t>(</w:t>
      </w:r>
      <w:r w:rsidR="00CD08CD">
        <w:rPr>
          <w:rFonts w:ascii="Garamond" w:hAnsi="Garamond" w:cs="David" w:hint="cs"/>
          <w:sz w:val="24"/>
          <w:szCs w:val="24"/>
          <w:rtl/>
        </w:rPr>
        <w:t>אף</w:t>
      </w:r>
      <w:r w:rsidR="00981DA4">
        <w:rPr>
          <w:rFonts w:ascii="Garamond" w:hAnsi="Garamond" w:cs="David" w:hint="cs"/>
          <w:sz w:val="24"/>
          <w:szCs w:val="24"/>
          <w:rtl/>
        </w:rPr>
        <w:t xml:space="preserve"> הסנגוריה הציבורית </w:t>
      </w:r>
      <w:r w:rsidR="00CD08CD">
        <w:rPr>
          <w:rFonts w:ascii="Garamond" w:hAnsi="Garamond" w:cs="David" w:hint="cs"/>
          <w:sz w:val="24"/>
          <w:szCs w:val="24"/>
          <w:rtl/>
        </w:rPr>
        <w:t xml:space="preserve">פנתה בעניין זה </w:t>
      </w:r>
      <w:r w:rsidR="00981DA4">
        <w:rPr>
          <w:rFonts w:ascii="Garamond" w:hAnsi="Garamond" w:cs="David" w:hint="cs"/>
          <w:sz w:val="24"/>
          <w:szCs w:val="24"/>
          <w:rtl/>
        </w:rPr>
        <w:t xml:space="preserve">ליועץ המשפט לממשלה </w:t>
      </w:r>
      <w:r w:rsidR="00CD08CD">
        <w:rPr>
          <w:rFonts w:ascii="Garamond" w:hAnsi="Garamond" w:cs="David" w:hint="cs"/>
          <w:sz w:val="24"/>
          <w:szCs w:val="24"/>
          <w:rtl/>
        </w:rPr>
        <w:t xml:space="preserve">במכתב </w:t>
      </w:r>
      <w:r w:rsidR="00981DA4">
        <w:rPr>
          <w:rFonts w:ascii="Garamond" w:hAnsi="Garamond" w:cs="David" w:hint="cs"/>
          <w:sz w:val="24"/>
          <w:szCs w:val="24"/>
          <w:rtl/>
        </w:rPr>
        <w:t xml:space="preserve">מיום 18.2.15.) הנחיות היועץ </w:t>
      </w:r>
      <w:r w:rsidR="00CD08CD">
        <w:rPr>
          <w:rFonts w:ascii="Garamond" w:hAnsi="Garamond" w:cs="David" w:hint="cs"/>
          <w:sz w:val="24"/>
          <w:szCs w:val="24"/>
          <w:rtl/>
        </w:rPr>
        <w:t xml:space="preserve">המשפטי לממשלה ליישום התיקון </w:t>
      </w:r>
      <w:r w:rsidR="00981DA4">
        <w:rPr>
          <w:rFonts w:ascii="Garamond" w:hAnsi="Garamond" w:cs="David" w:hint="cs"/>
          <w:sz w:val="24"/>
          <w:szCs w:val="24"/>
          <w:rtl/>
        </w:rPr>
        <w:t xml:space="preserve">שפורסמה נתן מעין "פטור" לתביעה המשטרתית, שכן ההנחיה לא כללה עבירות </w:t>
      </w:r>
      <w:r w:rsidR="00AB4090">
        <w:rPr>
          <w:rFonts w:ascii="Garamond" w:hAnsi="Garamond" w:cs="David" w:hint="cs"/>
          <w:sz w:val="24"/>
          <w:szCs w:val="24"/>
          <w:rtl/>
        </w:rPr>
        <w:t>שבטיפול התביעה המשטרתית</w:t>
      </w:r>
      <w:r w:rsidR="00981DA4">
        <w:rPr>
          <w:rFonts w:ascii="Garamond" w:hAnsi="Garamond" w:cs="David" w:hint="cs"/>
          <w:sz w:val="24"/>
          <w:szCs w:val="24"/>
          <w:rtl/>
        </w:rPr>
        <w:t xml:space="preserve">. </w:t>
      </w:r>
      <w:r w:rsidR="00D96EE9" w:rsidRPr="00D75B3F">
        <w:rPr>
          <w:rFonts w:ascii="Garamond" w:hAnsi="Garamond" w:cs="David" w:hint="cs"/>
          <w:sz w:val="24"/>
          <w:szCs w:val="24"/>
          <w:rtl/>
        </w:rPr>
        <w:t xml:space="preserve">נמסר לנו לאחרונה </w:t>
      </w:r>
      <w:r w:rsidR="00C412A7" w:rsidRPr="00D75B3F">
        <w:rPr>
          <w:rFonts w:ascii="Garamond" w:hAnsi="Garamond" w:cs="David" w:hint="cs"/>
          <w:sz w:val="24"/>
          <w:szCs w:val="24"/>
          <w:rtl/>
        </w:rPr>
        <w:t xml:space="preserve">כי </w:t>
      </w:r>
      <w:r w:rsidR="00D96EE9" w:rsidRPr="00D75B3F">
        <w:rPr>
          <w:rFonts w:ascii="Garamond" w:hAnsi="Garamond" w:cs="David" w:hint="cs"/>
          <w:sz w:val="24"/>
          <w:szCs w:val="24"/>
          <w:rtl/>
        </w:rPr>
        <w:t xml:space="preserve">יש היתכנות </w:t>
      </w:r>
      <w:r w:rsidR="00C412A7" w:rsidRPr="00D75B3F">
        <w:rPr>
          <w:rFonts w:ascii="Garamond" w:hAnsi="Garamond" w:cs="David" w:hint="cs"/>
          <w:sz w:val="24"/>
          <w:szCs w:val="24"/>
          <w:rtl/>
        </w:rPr>
        <w:t>להתחיל לעשות שימוש בכלי החדש</w:t>
      </w:r>
      <w:r w:rsidRPr="00D75B3F">
        <w:rPr>
          <w:rFonts w:ascii="Garamond" w:hAnsi="Garamond" w:cs="David" w:hint="cs"/>
          <w:sz w:val="24"/>
          <w:szCs w:val="24"/>
          <w:rtl/>
        </w:rPr>
        <w:t xml:space="preserve"> גם בתביעה המשטרתית</w:t>
      </w:r>
      <w:r w:rsidR="00C412A7" w:rsidRPr="00D75B3F">
        <w:rPr>
          <w:rFonts w:ascii="Garamond" w:hAnsi="Garamond" w:cs="David" w:hint="cs"/>
          <w:sz w:val="24"/>
          <w:szCs w:val="24"/>
          <w:rtl/>
        </w:rPr>
        <w:t xml:space="preserve">, בעבירות טיפוסיות ובתנאים שיפורטו בנהלים. </w:t>
      </w:r>
      <w:r w:rsidR="00AB4090">
        <w:rPr>
          <w:rFonts w:ascii="Garamond" w:hAnsi="Garamond" w:cs="David" w:hint="cs"/>
          <w:sz w:val="24"/>
          <w:szCs w:val="24"/>
          <w:rtl/>
        </w:rPr>
        <w:t>מוצע</w:t>
      </w:r>
      <w:r w:rsidR="00C412A7" w:rsidRPr="00D75B3F">
        <w:rPr>
          <w:rFonts w:ascii="Garamond" w:hAnsi="Garamond" w:cs="David" w:hint="cs"/>
          <w:sz w:val="24"/>
          <w:szCs w:val="24"/>
          <w:rtl/>
        </w:rPr>
        <w:t xml:space="preserve"> לבקש עדכון בנושא חשוב זה. </w:t>
      </w:r>
    </w:p>
    <w:p w:rsidR="007B5BC9" w:rsidRPr="00D75B3F" w:rsidRDefault="007B5BC9" w:rsidP="0074368D">
      <w:pPr>
        <w:spacing w:line="360" w:lineRule="auto"/>
        <w:ind w:firstLine="0"/>
        <w:rPr>
          <w:rFonts w:ascii="Garamond" w:hAnsi="Garamond" w:cs="David"/>
          <w:sz w:val="24"/>
          <w:szCs w:val="24"/>
          <w:rtl/>
        </w:rPr>
      </w:pPr>
    </w:p>
    <w:p w:rsidR="0067426E" w:rsidRDefault="0067426E" w:rsidP="0074368D">
      <w:pPr>
        <w:spacing w:line="360" w:lineRule="auto"/>
        <w:ind w:firstLine="0"/>
        <w:rPr>
          <w:rFonts w:ascii="Garamond" w:hAnsi="Garamond" w:cs="David"/>
          <w:sz w:val="24"/>
          <w:szCs w:val="24"/>
          <w:rtl/>
        </w:rPr>
      </w:pPr>
      <w:r w:rsidRPr="00D75B3F">
        <w:rPr>
          <w:rFonts w:ascii="Garamond" w:hAnsi="Garamond" w:cs="David" w:hint="cs"/>
          <w:sz w:val="24"/>
          <w:szCs w:val="24"/>
          <w:rtl/>
        </w:rPr>
        <w:t>-</w:t>
      </w:r>
      <w:r w:rsidR="00AC70E0" w:rsidRPr="00D75B3F">
        <w:rPr>
          <w:rFonts w:ascii="Garamond" w:hAnsi="Garamond" w:cs="David" w:hint="cs"/>
          <w:sz w:val="24"/>
          <w:szCs w:val="24"/>
          <w:rtl/>
        </w:rPr>
        <w:t xml:space="preserve"> </w:t>
      </w:r>
      <w:r w:rsidR="00AC70E0" w:rsidRPr="00D75B3F">
        <w:rPr>
          <w:rFonts w:ascii="Garamond" w:hAnsi="Garamond" w:cs="David" w:hint="cs"/>
          <w:b/>
          <w:bCs/>
          <w:sz w:val="24"/>
          <w:szCs w:val="24"/>
          <w:u w:val="single"/>
          <w:rtl/>
        </w:rPr>
        <w:t>שירות המבחן</w:t>
      </w:r>
      <w:r w:rsidR="00D75B3F" w:rsidRPr="00D75B3F">
        <w:rPr>
          <w:rFonts w:ascii="Garamond" w:hAnsi="Garamond" w:cs="David" w:hint="cs"/>
          <w:b/>
          <w:bCs/>
          <w:sz w:val="24"/>
          <w:szCs w:val="24"/>
          <w:u w:val="single"/>
          <w:rtl/>
        </w:rPr>
        <w:t>:</w:t>
      </w:r>
      <w:r w:rsidR="00D75B3F" w:rsidRPr="00D75B3F">
        <w:rPr>
          <w:rFonts w:ascii="Garamond" w:hAnsi="Garamond" w:cs="David" w:hint="cs"/>
          <w:sz w:val="24"/>
          <w:szCs w:val="24"/>
          <w:rtl/>
        </w:rPr>
        <w:t xml:space="preserve"> </w:t>
      </w:r>
      <w:r w:rsidR="00D75B3F">
        <w:rPr>
          <w:rFonts w:ascii="Garamond" w:hAnsi="Garamond" w:cs="David" w:hint="cs"/>
          <w:sz w:val="24"/>
          <w:szCs w:val="24"/>
          <w:rtl/>
        </w:rPr>
        <w:t xml:space="preserve">בכל הנוגע למעורבות של שירות המבחן בהסדרים התגלו בעיות תקציביות, וככל הידוע לנו אין </w:t>
      </w:r>
      <w:r w:rsidR="00AD1D3A">
        <w:rPr>
          <w:rFonts w:ascii="Garamond" w:hAnsi="Garamond" w:cs="David" w:hint="cs"/>
          <w:sz w:val="24"/>
          <w:szCs w:val="24"/>
          <w:rtl/>
        </w:rPr>
        <w:t xml:space="preserve">כיום אפשרות לתובע להתנות את ההסדר בעמידה בתנאי תכנית טיפול או שיקום על ידי שירות המבחן. </w:t>
      </w:r>
      <w:r w:rsidR="00426496">
        <w:rPr>
          <w:rFonts w:ascii="Garamond" w:hAnsi="Garamond" w:cs="David" w:hint="cs"/>
          <w:sz w:val="24"/>
          <w:szCs w:val="24"/>
          <w:rtl/>
        </w:rPr>
        <w:t>עולה מכך כי תי</w:t>
      </w:r>
      <w:r w:rsidR="00A5653A">
        <w:rPr>
          <w:rFonts w:ascii="Garamond" w:hAnsi="Garamond" w:cs="David" w:hint="cs"/>
          <w:sz w:val="24"/>
          <w:szCs w:val="24"/>
          <w:rtl/>
        </w:rPr>
        <w:t>קים שהיו יכולים להיסגר בהסדר</w:t>
      </w:r>
      <w:r w:rsidR="00426496">
        <w:rPr>
          <w:rFonts w:ascii="Garamond" w:hAnsi="Garamond" w:cs="David" w:hint="cs"/>
          <w:sz w:val="24"/>
          <w:szCs w:val="24"/>
          <w:rtl/>
        </w:rPr>
        <w:t xml:space="preserve"> תוך טיפול</w:t>
      </w:r>
      <w:r w:rsidR="00A5653A">
        <w:rPr>
          <w:rFonts w:ascii="Garamond" w:hAnsi="Garamond" w:cs="David" w:hint="cs"/>
          <w:sz w:val="24"/>
          <w:szCs w:val="24"/>
          <w:rtl/>
        </w:rPr>
        <w:t xml:space="preserve"> ענייני ומועיל </w:t>
      </w:r>
      <w:r w:rsidR="00A5653A">
        <w:rPr>
          <w:rFonts w:ascii="Garamond" w:hAnsi="Garamond" w:cs="David" w:hint="cs"/>
          <w:sz w:val="24"/>
          <w:szCs w:val="24"/>
          <w:rtl/>
        </w:rPr>
        <w:lastRenderedPageBreak/>
        <w:t xml:space="preserve">לנאשם, לא </w:t>
      </w:r>
      <w:r w:rsidR="00AB4090">
        <w:rPr>
          <w:rFonts w:ascii="Garamond" w:hAnsi="Garamond" w:cs="David" w:hint="cs"/>
          <w:sz w:val="24"/>
          <w:szCs w:val="24"/>
          <w:rtl/>
        </w:rPr>
        <w:t>עוברים למסלול החדש</w:t>
      </w:r>
      <w:r w:rsidR="00A5653A">
        <w:rPr>
          <w:rFonts w:ascii="Garamond" w:hAnsi="Garamond" w:cs="David" w:hint="cs"/>
          <w:sz w:val="24"/>
          <w:szCs w:val="24"/>
          <w:rtl/>
        </w:rPr>
        <w:t xml:space="preserve">. </w:t>
      </w:r>
      <w:r w:rsidR="00AB4090">
        <w:rPr>
          <w:rFonts w:ascii="Garamond" w:hAnsi="Garamond" w:cs="David" w:hint="cs"/>
          <w:sz w:val="24"/>
          <w:szCs w:val="24"/>
          <w:rtl/>
        </w:rPr>
        <w:t xml:space="preserve">מוצע </w:t>
      </w:r>
      <w:r w:rsidR="00426496">
        <w:rPr>
          <w:rFonts w:ascii="Garamond" w:hAnsi="Garamond" w:cs="David" w:hint="cs"/>
          <w:sz w:val="24"/>
          <w:szCs w:val="24"/>
          <w:rtl/>
        </w:rPr>
        <w:t>לבקש עדכון בנושא.</w:t>
      </w:r>
    </w:p>
    <w:p w:rsidR="007B5BC9" w:rsidRDefault="007B5BC9" w:rsidP="0074368D">
      <w:pPr>
        <w:spacing w:line="360" w:lineRule="auto"/>
        <w:ind w:firstLine="0"/>
        <w:rPr>
          <w:rFonts w:ascii="Garamond" w:hAnsi="Garamond" w:cs="David"/>
          <w:sz w:val="24"/>
          <w:szCs w:val="24"/>
          <w:rtl/>
        </w:rPr>
      </w:pPr>
    </w:p>
    <w:p w:rsidR="00AD1D3A" w:rsidRDefault="00AD1D3A" w:rsidP="0074368D">
      <w:pPr>
        <w:spacing w:line="360" w:lineRule="auto"/>
        <w:ind w:firstLine="0"/>
        <w:rPr>
          <w:rFonts w:ascii="Garamond" w:hAnsi="Garamond" w:cs="David"/>
          <w:sz w:val="24"/>
          <w:szCs w:val="24"/>
          <w:rtl/>
        </w:rPr>
      </w:pPr>
      <w:r w:rsidRPr="00AD1D3A">
        <w:rPr>
          <w:rFonts w:ascii="Garamond" w:hAnsi="Garamond" w:cs="David" w:hint="cs"/>
          <w:sz w:val="24"/>
          <w:szCs w:val="24"/>
          <w:rtl/>
        </w:rPr>
        <w:t xml:space="preserve">- </w:t>
      </w:r>
      <w:r w:rsidRPr="00AD1D3A">
        <w:rPr>
          <w:rFonts w:ascii="Garamond" w:hAnsi="Garamond" w:cs="David" w:hint="cs"/>
          <w:b/>
          <w:bCs/>
          <w:sz w:val="24"/>
          <w:szCs w:val="24"/>
          <w:u w:val="single"/>
          <w:rtl/>
        </w:rPr>
        <w:t>שימוש ללא סמכות</w:t>
      </w:r>
      <w:r w:rsidRPr="00AD1D3A">
        <w:rPr>
          <w:rFonts w:ascii="Garamond" w:hAnsi="Garamond" w:cs="David" w:hint="cs"/>
          <w:b/>
          <w:bCs/>
          <w:sz w:val="24"/>
          <w:szCs w:val="24"/>
          <w:rtl/>
        </w:rPr>
        <w:t xml:space="preserve">: </w:t>
      </w:r>
      <w:r w:rsidRPr="00AD1D3A">
        <w:rPr>
          <w:rFonts w:ascii="Garamond" w:hAnsi="Garamond" w:cs="David" w:hint="cs"/>
          <w:sz w:val="24"/>
          <w:szCs w:val="24"/>
          <w:rtl/>
        </w:rPr>
        <w:t xml:space="preserve">אגב הדיונים ב-2014 התגלה לוועדה כי משרדים, </w:t>
      </w:r>
      <w:r w:rsidR="00AB4090">
        <w:rPr>
          <w:rFonts w:ascii="Garamond" w:hAnsi="Garamond" w:cs="David" w:hint="cs"/>
          <w:sz w:val="24"/>
          <w:szCs w:val="24"/>
          <w:rtl/>
        </w:rPr>
        <w:t>שהמחוקק לא נתן להם הסמכה, ערכו</w:t>
      </w:r>
      <w:r w:rsidRPr="00AD1D3A">
        <w:rPr>
          <w:rFonts w:ascii="Garamond" w:hAnsi="Garamond" w:cs="David" w:hint="cs"/>
          <w:sz w:val="24"/>
          <w:szCs w:val="24"/>
          <w:rtl/>
        </w:rPr>
        <w:t xml:space="preserve"> הסדרים, ללא הסמכה בחוק וללא האיזונים והמגבלות שהמחוקק קבע בחוק זה; עוד התגלה לוועדה כי נערכים הסדרים בעבירות פשע בניגוד להוראות החוק. </w:t>
      </w:r>
      <w:r w:rsidR="006B33C5">
        <w:rPr>
          <w:rFonts w:ascii="Garamond" w:hAnsi="Garamond" w:cs="David" w:hint="cs"/>
          <w:sz w:val="24"/>
          <w:szCs w:val="24"/>
          <w:rtl/>
        </w:rPr>
        <w:t xml:space="preserve">התיקון הבהיר כי אין אפשרות </w:t>
      </w:r>
      <w:r w:rsidR="005E2B78">
        <w:rPr>
          <w:rFonts w:ascii="Garamond" w:hAnsi="Garamond" w:cs="David" w:hint="cs"/>
          <w:sz w:val="24"/>
          <w:szCs w:val="24"/>
          <w:rtl/>
        </w:rPr>
        <w:t>לערוך הסדרים לסגירת תיק אלא לפי הוראות החוק</w:t>
      </w:r>
      <w:r w:rsidR="00AB4090">
        <w:rPr>
          <w:rFonts w:ascii="Garamond" w:hAnsi="Garamond" w:cs="David" w:hint="cs"/>
          <w:sz w:val="24"/>
          <w:szCs w:val="24"/>
          <w:rtl/>
        </w:rPr>
        <w:t xml:space="preserve">. מוצע </w:t>
      </w:r>
      <w:r w:rsidR="000F09E5">
        <w:rPr>
          <w:rFonts w:ascii="Garamond" w:hAnsi="Garamond" w:cs="David" w:hint="cs"/>
          <w:sz w:val="24"/>
          <w:szCs w:val="24"/>
          <w:rtl/>
        </w:rPr>
        <w:t>לברר כי אכן כך</w:t>
      </w:r>
      <w:r w:rsidR="00533FFC">
        <w:rPr>
          <w:rFonts w:ascii="Garamond" w:hAnsi="Garamond" w:cs="David" w:hint="cs"/>
          <w:sz w:val="24"/>
          <w:szCs w:val="24"/>
          <w:rtl/>
        </w:rPr>
        <w:t xml:space="preserve"> נעשה</w:t>
      </w:r>
      <w:r w:rsidR="00AB4090">
        <w:rPr>
          <w:rFonts w:ascii="Garamond" w:hAnsi="Garamond" w:cs="David" w:hint="cs"/>
          <w:sz w:val="24"/>
          <w:szCs w:val="24"/>
          <w:rtl/>
        </w:rPr>
        <w:t>, בעיקר נוכח העובדה שהנחיות היועץ המשפטי לממשלה לרשויות התביעה, שלא היו ברורים בענין זה – לא תוקנו.</w:t>
      </w:r>
    </w:p>
    <w:p w:rsidR="007B5BC9" w:rsidRPr="00AD1D3A" w:rsidRDefault="007B5BC9" w:rsidP="0074368D">
      <w:pPr>
        <w:spacing w:line="360" w:lineRule="auto"/>
        <w:ind w:firstLine="0"/>
        <w:rPr>
          <w:rFonts w:ascii="Garamond" w:hAnsi="Garamond" w:cs="David"/>
          <w:sz w:val="24"/>
          <w:szCs w:val="24"/>
        </w:rPr>
      </w:pPr>
    </w:p>
    <w:p w:rsidR="00AD1D3A" w:rsidRDefault="00AD1D3A" w:rsidP="0074368D">
      <w:pPr>
        <w:spacing w:line="360" w:lineRule="auto"/>
        <w:ind w:firstLine="0"/>
        <w:rPr>
          <w:rFonts w:ascii="Garamond" w:hAnsi="Garamond" w:cs="David"/>
          <w:sz w:val="24"/>
          <w:szCs w:val="24"/>
          <w:rtl/>
        </w:rPr>
      </w:pPr>
      <w:r w:rsidRPr="00AD1D3A">
        <w:rPr>
          <w:rFonts w:ascii="Garamond" w:hAnsi="Garamond" w:cs="David" w:hint="cs"/>
          <w:sz w:val="24"/>
          <w:szCs w:val="24"/>
          <w:rtl/>
        </w:rPr>
        <w:t>-</w:t>
      </w:r>
      <w:r>
        <w:rPr>
          <w:rFonts w:ascii="Garamond" w:hAnsi="Garamond" w:cs="David" w:hint="cs"/>
          <w:b/>
          <w:bCs/>
          <w:sz w:val="24"/>
          <w:szCs w:val="24"/>
          <w:rtl/>
        </w:rPr>
        <w:t xml:space="preserve"> </w:t>
      </w:r>
      <w:r w:rsidRPr="00AD1D3A">
        <w:rPr>
          <w:rFonts w:ascii="Garamond" w:hAnsi="Garamond" w:cs="David" w:hint="cs"/>
          <w:b/>
          <w:bCs/>
          <w:sz w:val="24"/>
          <w:szCs w:val="24"/>
          <w:u w:val="single"/>
          <w:rtl/>
        </w:rPr>
        <w:t xml:space="preserve">מערכת </w:t>
      </w:r>
      <w:r>
        <w:rPr>
          <w:rFonts w:ascii="Garamond" w:hAnsi="Garamond" w:cs="David" w:hint="cs"/>
          <w:b/>
          <w:bCs/>
          <w:sz w:val="24"/>
          <w:szCs w:val="24"/>
          <w:u w:val="single"/>
          <w:rtl/>
        </w:rPr>
        <w:t>מ</w:t>
      </w:r>
      <w:r w:rsidRPr="00AD1D3A">
        <w:rPr>
          <w:rFonts w:ascii="Garamond" w:hAnsi="Garamond" w:cs="David" w:hint="cs"/>
          <w:b/>
          <w:bCs/>
          <w:sz w:val="24"/>
          <w:szCs w:val="24"/>
          <w:u w:val="single"/>
          <w:rtl/>
        </w:rPr>
        <w:t>מ</w:t>
      </w:r>
      <w:r>
        <w:rPr>
          <w:rFonts w:ascii="Garamond" w:hAnsi="Garamond" w:cs="David" w:hint="cs"/>
          <w:b/>
          <w:bCs/>
          <w:sz w:val="24"/>
          <w:szCs w:val="24"/>
          <w:u w:val="single"/>
          <w:rtl/>
        </w:rPr>
        <w:t>ו</w:t>
      </w:r>
      <w:r w:rsidRPr="00AD1D3A">
        <w:rPr>
          <w:rFonts w:ascii="Garamond" w:hAnsi="Garamond" w:cs="David" w:hint="cs"/>
          <w:b/>
          <w:bCs/>
          <w:sz w:val="24"/>
          <w:szCs w:val="24"/>
          <w:u w:val="single"/>
          <w:rtl/>
        </w:rPr>
        <w:t>חשב</w:t>
      </w:r>
      <w:r>
        <w:rPr>
          <w:rFonts w:ascii="Garamond" w:hAnsi="Garamond" w:cs="David" w:hint="cs"/>
          <w:b/>
          <w:bCs/>
          <w:sz w:val="24"/>
          <w:szCs w:val="24"/>
          <w:u w:val="single"/>
          <w:rtl/>
        </w:rPr>
        <w:t>ת</w:t>
      </w:r>
      <w:r>
        <w:rPr>
          <w:rFonts w:ascii="Garamond" w:hAnsi="Garamond" w:cs="David" w:hint="cs"/>
          <w:sz w:val="24"/>
          <w:szCs w:val="24"/>
          <w:rtl/>
        </w:rPr>
        <w:t xml:space="preserve">: </w:t>
      </w:r>
      <w:r w:rsidR="00426496">
        <w:rPr>
          <w:rFonts w:ascii="Garamond" w:hAnsi="Garamond" w:cs="David" w:hint="cs"/>
          <w:sz w:val="24"/>
          <w:szCs w:val="24"/>
          <w:rtl/>
        </w:rPr>
        <w:t xml:space="preserve">כדי לעקוב </w:t>
      </w:r>
      <w:r w:rsidR="0088293F">
        <w:rPr>
          <w:rFonts w:ascii="Garamond" w:hAnsi="Garamond" w:cs="David" w:hint="cs"/>
          <w:sz w:val="24"/>
          <w:szCs w:val="24"/>
          <w:rtl/>
        </w:rPr>
        <w:t xml:space="preserve">אחרי תנאי ההסדר, </w:t>
      </w:r>
      <w:r w:rsidR="00426496">
        <w:rPr>
          <w:rFonts w:ascii="Garamond" w:hAnsi="Garamond" w:cs="David" w:hint="cs"/>
          <w:sz w:val="24"/>
          <w:szCs w:val="24"/>
          <w:rtl/>
        </w:rPr>
        <w:t xml:space="preserve">להעביר </w:t>
      </w:r>
      <w:r w:rsidR="0088293F">
        <w:rPr>
          <w:rFonts w:ascii="Garamond" w:hAnsi="Garamond" w:cs="David" w:hint="cs"/>
          <w:sz w:val="24"/>
          <w:szCs w:val="24"/>
          <w:rtl/>
        </w:rPr>
        <w:t xml:space="preserve">מידע למרשם הפלילי, </w:t>
      </w:r>
      <w:r w:rsidR="00426496">
        <w:rPr>
          <w:rFonts w:ascii="Garamond" w:hAnsi="Garamond" w:cs="David" w:hint="cs"/>
          <w:sz w:val="24"/>
          <w:szCs w:val="24"/>
          <w:rtl/>
        </w:rPr>
        <w:t xml:space="preserve">ולפרסם את </w:t>
      </w:r>
      <w:r w:rsidR="0088293F">
        <w:rPr>
          <w:rFonts w:ascii="Garamond" w:hAnsi="Garamond" w:cs="David" w:hint="cs"/>
          <w:sz w:val="24"/>
          <w:szCs w:val="24"/>
          <w:rtl/>
        </w:rPr>
        <w:t xml:space="preserve">ההסדרים שנערכו, </w:t>
      </w:r>
      <w:r w:rsidR="00426496">
        <w:rPr>
          <w:rFonts w:ascii="Garamond" w:hAnsi="Garamond" w:cs="David" w:hint="cs"/>
          <w:sz w:val="24"/>
          <w:szCs w:val="24"/>
          <w:rtl/>
        </w:rPr>
        <w:t xml:space="preserve">יש צורך במערכת ממוחשבת שתעזור לתביעה לעמוד בדרישות החוק. </w:t>
      </w:r>
      <w:r w:rsidR="00D212FD">
        <w:rPr>
          <w:rFonts w:ascii="Garamond" w:hAnsi="Garamond" w:cs="David" w:hint="cs"/>
          <w:sz w:val="24"/>
          <w:szCs w:val="24"/>
          <w:rtl/>
        </w:rPr>
        <w:t>מוצע</w:t>
      </w:r>
      <w:r w:rsidR="00426496">
        <w:rPr>
          <w:rFonts w:ascii="Garamond" w:hAnsi="Garamond" w:cs="David" w:hint="cs"/>
          <w:sz w:val="24"/>
          <w:szCs w:val="24"/>
          <w:rtl/>
        </w:rPr>
        <w:t xml:space="preserve"> לבדוק מה המצב בשטח לעניין זה.</w:t>
      </w:r>
    </w:p>
    <w:p w:rsidR="007B5BC9" w:rsidRPr="00D75B3F" w:rsidRDefault="007B5BC9" w:rsidP="0074368D">
      <w:pPr>
        <w:spacing w:line="360" w:lineRule="auto"/>
        <w:ind w:firstLine="0"/>
        <w:rPr>
          <w:rFonts w:ascii="Garamond" w:hAnsi="Garamond" w:cs="David"/>
          <w:sz w:val="24"/>
          <w:szCs w:val="24"/>
          <w:rtl/>
        </w:rPr>
      </w:pPr>
    </w:p>
    <w:p w:rsidR="00D918CC" w:rsidRPr="00D75B3F" w:rsidRDefault="00AC70E0" w:rsidP="0074368D">
      <w:pPr>
        <w:spacing w:line="360" w:lineRule="auto"/>
        <w:ind w:firstLine="0"/>
        <w:rPr>
          <w:rStyle w:val="default"/>
          <w:rFonts w:cs="David"/>
          <w:sz w:val="24"/>
          <w:szCs w:val="24"/>
          <w:rtl/>
        </w:rPr>
      </w:pPr>
      <w:r w:rsidRPr="00D212FD">
        <w:rPr>
          <w:rFonts w:ascii="Garamond" w:hAnsi="Garamond" w:cs="David" w:hint="cs"/>
          <w:sz w:val="24"/>
          <w:szCs w:val="24"/>
          <w:rtl/>
        </w:rPr>
        <w:t xml:space="preserve">- </w:t>
      </w:r>
      <w:r w:rsidR="00D918CC" w:rsidRPr="00D75B3F">
        <w:rPr>
          <w:rFonts w:ascii="Garamond" w:hAnsi="Garamond" w:cs="David" w:hint="cs"/>
          <w:b/>
          <w:bCs/>
          <w:sz w:val="24"/>
          <w:szCs w:val="24"/>
          <w:u w:val="single"/>
          <w:rtl/>
        </w:rPr>
        <w:t>הנחיות היועץ</w:t>
      </w:r>
      <w:r w:rsidR="000A24CB" w:rsidRPr="00D75B3F">
        <w:rPr>
          <w:rFonts w:ascii="Garamond" w:hAnsi="Garamond" w:cs="David" w:hint="cs"/>
          <w:b/>
          <w:bCs/>
          <w:sz w:val="24"/>
          <w:szCs w:val="24"/>
          <w:u w:val="single"/>
          <w:rtl/>
        </w:rPr>
        <w:t xml:space="preserve"> המשפטי לממשלה</w:t>
      </w:r>
      <w:r w:rsidR="00D918CC" w:rsidRPr="00D75B3F">
        <w:rPr>
          <w:rFonts w:ascii="Garamond" w:hAnsi="Garamond" w:cs="David" w:hint="cs"/>
          <w:sz w:val="24"/>
          <w:szCs w:val="24"/>
          <w:u w:val="single"/>
          <w:rtl/>
        </w:rPr>
        <w:t>:</w:t>
      </w:r>
      <w:r w:rsidR="00BC50D2" w:rsidRPr="00D75B3F">
        <w:rPr>
          <w:rFonts w:ascii="Garamond" w:hAnsi="Garamond" w:cs="David" w:hint="cs"/>
          <w:sz w:val="24"/>
          <w:szCs w:val="24"/>
          <w:rtl/>
        </w:rPr>
        <w:t xml:space="preserve"> </w:t>
      </w:r>
      <w:r w:rsidR="00D918CC" w:rsidRPr="00D75B3F">
        <w:rPr>
          <w:rFonts w:cs="David" w:hint="cs"/>
          <w:sz w:val="24"/>
          <w:szCs w:val="24"/>
          <w:rtl/>
        </w:rPr>
        <w:t xml:space="preserve"> </w:t>
      </w:r>
      <w:r w:rsidR="00D212FD">
        <w:rPr>
          <w:rStyle w:val="default"/>
          <w:rFonts w:cs="David" w:hint="cs"/>
          <w:sz w:val="24"/>
          <w:szCs w:val="24"/>
          <w:rtl/>
        </w:rPr>
        <w:t>נעיר</w:t>
      </w:r>
      <w:r w:rsidR="00D918CC" w:rsidRPr="00D75B3F">
        <w:rPr>
          <w:rStyle w:val="default"/>
          <w:rFonts w:cs="David" w:hint="cs"/>
          <w:sz w:val="24"/>
          <w:szCs w:val="24"/>
          <w:rtl/>
        </w:rPr>
        <w:t xml:space="preserve"> שהנחית היועץ המשפטי לממשלה צריכה להיות מתוקנות, הן בהתאם לתיקונים החדשים</w:t>
      </w:r>
      <w:r w:rsidR="00980216" w:rsidRPr="00D75B3F">
        <w:rPr>
          <w:rStyle w:val="default"/>
          <w:rFonts w:cs="David" w:hint="cs"/>
          <w:sz w:val="24"/>
          <w:szCs w:val="24"/>
          <w:rtl/>
        </w:rPr>
        <w:t xml:space="preserve"> מ-2014</w:t>
      </w:r>
      <w:r w:rsidR="00AD1D3A">
        <w:rPr>
          <w:rStyle w:val="default"/>
          <w:rFonts w:cs="David" w:hint="cs"/>
          <w:sz w:val="24"/>
          <w:szCs w:val="24"/>
          <w:rtl/>
        </w:rPr>
        <w:t xml:space="preserve"> בתנאים </w:t>
      </w:r>
      <w:r w:rsidR="007B5BC9">
        <w:rPr>
          <w:rStyle w:val="default"/>
          <w:rFonts w:cs="David" w:hint="cs"/>
          <w:sz w:val="24"/>
          <w:szCs w:val="24"/>
          <w:rtl/>
        </w:rPr>
        <w:t xml:space="preserve">הנוספים </w:t>
      </w:r>
      <w:r w:rsidR="00AD1D3A">
        <w:rPr>
          <w:rStyle w:val="default"/>
          <w:rFonts w:cs="David" w:hint="cs"/>
          <w:sz w:val="24"/>
          <w:szCs w:val="24"/>
          <w:rtl/>
        </w:rPr>
        <w:t>שאפשר להטיל</w:t>
      </w:r>
      <w:r w:rsidR="00D918CC" w:rsidRPr="00D75B3F">
        <w:rPr>
          <w:rStyle w:val="default"/>
          <w:rFonts w:cs="David" w:hint="cs"/>
          <w:sz w:val="24"/>
          <w:szCs w:val="24"/>
          <w:rtl/>
        </w:rPr>
        <w:t xml:space="preserve">, </w:t>
      </w:r>
      <w:r w:rsidR="00980216" w:rsidRPr="00D75B3F">
        <w:rPr>
          <w:rStyle w:val="default"/>
          <w:rFonts w:cs="David" w:hint="cs"/>
          <w:sz w:val="24"/>
          <w:szCs w:val="24"/>
          <w:rtl/>
        </w:rPr>
        <w:t>ו</w:t>
      </w:r>
      <w:r w:rsidR="00D918CC" w:rsidRPr="00D75B3F">
        <w:rPr>
          <w:rStyle w:val="default"/>
          <w:rFonts w:cs="David" w:hint="cs"/>
          <w:sz w:val="24"/>
          <w:szCs w:val="24"/>
          <w:rtl/>
        </w:rPr>
        <w:t xml:space="preserve">הן כדי להבהיר שהחוק ממצה, ואין אפשרות לערוך הסדרים ולהטיל עונשים שלא על פיו (או לפי חוק אחר). מומלץ </w:t>
      </w:r>
      <w:r w:rsidR="00980216" w:rsidRPr="00D75B3F">
        <w:rPr>
          <w:rStyle w:val="default"/>
          <w:rFonts w:cs="David" w:hint="cs"/>
          <w:sz w:val="24"/>
          <w:szCs w:val="24"/>
          <w:rtl/>
        </w:rPr>
        <w:t xml:space="preserve">עוד </w:t>
      </w:r>
      <w:r w:rsidR="00D918CC" w:rsidRPr="00D75B3F">
        <w:rPr>
          <w:rStyle w:val="default"/>
          <w:rFonts w:cs="David" w:hint="cs"/>
          <w:sz w:val="24"/>
          <w:szCs w:val="24"/>
          <w:rtl/>
        </w:rPr>
        <w:t xml:space="preserve">לקבוע בהנחית היועץ המשפטי לממשלה לא רק רשימה של עבירות שעליהן החוק יחול, אלא "עונשים" ראויים למקרים טיפוסיים, על מנת להקל על התובעים </w:t>
      </w:r>
      <w:r w:rsidR="00D212FD">
        <w:rPr>
          <w:rStyle w:val="default"/>
          <w:rFonts w:cs="David" w:hint="cs"/>
          <w:sz w:val="24"/>
          <w:szCs w:val="24"/>
          <w:rtl/>
        </w:rPr>
        <w:t xml:space="preserve">(במיוחד התובעים המשטרתיים העמוסים) את </w:t>
      </w:r>
      <w:r w:rsidR="00D918CC" w:rsidRPr="00D75B3F">
        <w:rPr>
          <w:rStyle w:val="default"/>
          <w:rFonts w:cs="David" w:hint="cs"/>
          <w:sz w:val="24"/>
          <w:szCs w:val="24"/>
          <w:rtl/>
        </w:rPr>
        <w:t>הפעלת החוק. קביעה שכזו בהנחיה תייתר חלק ממנגנון התיעוד וההנמקה שבחוק ותפשט את ההליך.</w:t>
      </w:r>
      <w:r w:rsidR="00A5653A">
        <w:rPr>
          <w:rStyle w:val="default"/>
          <w:rFonts w:cs="David" w:hint="cs"/>
          <w:sz w:val="24"/>
          <w:szCs w:val="24"/>
          <w:rtl/>
        </w:rPr>
        <w:t xml:space="preserve"> </w:t>
      </w:r>
      <w:r w:rsidR="00D212FD">
        <w:rPr>
          <w:rStyle w:val="default"/>
          <w:rFonts w:cs="David" w:hint="cs"/>
          <w:sz w:val="24"/>
          <w:szCs w:val="24"/>
          <w:rtl/>
        </w:rPr>
        <w:t>מוצע</w:t>
      </w:r>
      <w:r w:rsidR="00A5653A">
        <w:rPr>
          <w:rStyle w:val="default"/>
          <w:rFonts w:cs="David" w:hint="cs"/>
          <w:sz w:val="24"/>
          <w:szCs w:val="24"/>
          <w:rtl/>
        </w:rPr>
        <w:t xml:space="preserve"> לבקש מנציגי הממשלה לעדכן את הוועדה בעניין ההנחיות, וכן לעדכנה לגבי הצעדים שננקטו בפרקליטות כדי להטמיע את הוראות </w:t>
      </w:r>
      <w:r w:rsidR="00755B3E">
        <w:rPr>
          <w:rStyle w:val="default"/>
          <w:rFonts w:cs="David" w:hint="cs"/>
          <w:sz w:val="24"/>
          <w:szCs w:val="24"/>
          <w:rtl/>
        </w:rPr>
        <w:t>התיקון בעבודת הפרקליטות</w:t>
      </w:r>
      <w:r w:rsidR="00A5653A">
        <w:rPr>
          <w:rStyle w:val="default"/>
          <w:rFonts w:cs="David" w:hint="cs"/>
          <w:sz w:val="24"/>
          <w:szCs w:val="24"/>
          <w:rtl/>
        </w:rPr>
        <w:t xml:space="preserve">. </w:t>
      </w:r>
    </w:p>
    <w:p w:rsidR="00D918CC" w:rsidRPr="00D75B3F" w:rsidRDefault="00D918CC" w:rsidP="0074368D">
      <w:pPr>
        <w:rPr>
          <w:rFonts w:ascii="Garamond" w:hAnsi="Garamond" w:cs="David"/>
          <w:sz w:val="24"/>
          <w:szCs w:val="24"/>
          <w:rtl/>
        </w:rPr>
      </w:pPr>
    </w:p>
    <w:p w:rsidR="00352281" w:rsidRPr="00D75B3F" w:rsidRDefault="00352281" w:rsidP="0074368D">
      <w:pPr>
        <w:rPr>
          <w:rFonts w:ascii="Garamond" w:hAnsi="Garamond" w:cs="David"/>
          <w:sz w:val="24"/>
          <w:szCs w:val="24"/>
        </w:rPr>
      </w:pPr>
    </w:p>
    <w:sectPr w:rsidR="00352281" w:rsidRPr="00D75B3F">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FE3" w:rsidRDefault="00D74FE3" w:rsidP="00D36F73">
      <w:pPr>
        <w:spacing w:line="240" w:lineRule="auto"/>
      </w:pPr>
      <w:r>
        <w:separator/>
      </w:r>
    </w:p>
  </w:endnote>
  <w:endnote w:type="continuationSeparator" w:id="0">
    <w:p w:rsidR="00D74FE3" w:rsidRDefault="00D74FE3" w:rsidP="00D36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25248838"/>
      <w:docPartObj>
        <w:docPartGallery w:val="Page Numbers (Bottom of Page)"/>
        <w:docPartUnique/>
      </w:docPartObj>
    </w:sdtPr>
    <w:sdtEndPr>
      <w:rPr>
        <w:noProof/>
      </w:rPr>
    </w:sdtEndPr>
    <w:sdtContent>
      <w:p w:rsidR="005743E2" w:rsidRDefault="005743E2">
        <w:pPr>
          <w:pStyle w:val="a8"/>
          <w:jc w:val="center"/>
        </w:pPr>
        <w:r>
          <w:fldChar w:fldCharType="begin"/>
        </w:r>
        <w:r>
          <w:instrText xml:space="preserve"> PAGE   \* MERGEFORMAT </w:instrText>
        </w:r>
        <w:r>
          <w:fldChar w:fldCharType="separate"/>
        </w:r>
        <w:r w:rsidR="00E57C5F">
          <w:rPr>
            <w:noProof/>
            <w:rtl/>
          </w:rPr>
          <w:t>1</w:t>
        </w:r>
        <w:r>
          <w:rPr>
            <w:noProof/>
          </w:rPr>
          <w:fldChar w:fldCharType="end"/>
        </w:r>
      </w:p>
    </w:sdtContent>
  </w:sdt>
  <w:p w:rsidR="00516CAA" w:rsidRPr="00516CAA" w:rsidRDefault="00516CAA">
    <w:pPr>
      <w:pStyle w:val="a8"/>
      <w:rPr>
        <w:rFonts w:ascii="Garamond" w:hAnsi="Garamond"/>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FE3" w:rsidRDefault="00D74FE3" w:rsidP="00516CAA">
      <w:pPr>
        <w:spacing w:line="240" w:lineRule="auto"/>
      </w:pPr>
      <w:r>
        <w:separator/>
      </w:r>
    </w:p>
  </w:footnote>
  <w:footnote w:type="continuationSeparator" w:id="0">
    <w:p w:rsidR="00D74FE3" w:rsidRDefault="00D74FE3" w:rsidP="00D36F7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07527"/>
    <w:multiLevelType w:val="hybridMultilevel"/>
    <w:tmpl w:val="4CEA33A0"/>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
    <w:nsid w:val="366C7F30"/>
    <w:multiLevelType w:val="hybridMultilevel"/>
    <w:tmpl w:val="6D92D7FE"/>
    <w:lvl w:ilvl="0" w:tplc="C57CB7B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B4628B"/>
    <w:multiLevelType w:val="hybridMultilevel"/>
    <w:tmpl w:val="B73E50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DDD2D6D"/>
    <w:multiLevelType w:val="hybridMultilevel"/>
    <w:tmpl w:val="D414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F70EDC"/>
    <w:multiLevelType w:val="hybridMultilevel"/>
    <w:tmpl w:val="149294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E3"/>
    <w:rsid w:val="00022F0E"/>
    <w:rsid w:val="00044D6B"/>
    <w:rsid w:val="00057545"/>
    <w:rsid w:val="000A24CB"/>
    <w:rsid w:val="000C0D75"/>
    <w:rsid w:val="000F09E5"/>
    <w:rsid w:val="000F29AB"/>
    <w:rsid w:val="00110608"/>
    <w:rsid w:val="001541C0"/>
    <w:rsid w:val="001606AB"/>
    <w:rsid w:val="00185DC3"/>
    <w:rsid w:val="001A41D0"/>
    <w:rsid w:val="001D211C"/>
    <w:rsid w:val="001D3D66"/>
    <w:rsid w:val="001D7B4A"/>
    <w:rsid w:val="002312B6"/>
    <w:rsid w:val="00251B2C"/>
    <w:rsid w:val="00261C9F"/>
    <w:rsid w:val="003047ED"/>
    <w:rsid w:val="003406A0"/>
    <w:rsid w:val="003430CD"/>
    <w:rsid w:val="00350E12"/>
    <w:rsid w:val="00352281"/>
    <w:rsid w:val="003777F3"/>
    <w:rsid w:val="0039511D"/>
    <w:rsid w:val="003F24BF"/>
    <w:rsid w:val="00402586"/>
    <w:rsid w:val="00426496"/>
    <w:rsid w:val="00435EE0"/>
    <w:rsid w:val="004656FD"/>
    <w:rsid w:val="00516CAA"/>
    <w:rsid w:val="0052617B"/>
    <w:rsid w:val="00533FFC"/>
    <w:rsid w:val="005743E2"/>
    <w:rsid w:val="005B6E31"/>
    <w:rsid w:val="005C1104"/>
    <w:rsid w:val="005E2B78"/>
    <w:rsid w:val="005F79C1"/>
    <w:rsid w:val="00637970"/>
    <w:rsid w:val="006476EF"/>
    <w:rsid w:val="00647FAA"/>
    <w:rsid w:val="00672980"/>
    <w:rsid w:val="0067426E"/>
    <w:rsid w:val="006935DC"/>
    <w:rsid w:val="006A1A93"/>
    <w:rsid w:val="006A2F8D"/>
    <w:rsid w:val="006B33C5"/>
    <w:rsid w:val="006B6B58"/>
    <w:rsid w:val="006E566A"/>
    <w:rsid w:val="006F0879"/>
    <w:rsid w:val="007378D1"/>
    <w:rsid w:val="0074368D"/>
    <w:rsid w:val="007517E6"/>
    <w:rsid w:val="0075329B"/>
    <w:rsid w:val="00755B3E"/>
    <w:rsid w:val="007A1581"/>
    <w:rsid w:val="007B5BC9"/>
    <w:rsid w:val="007B7074"/>
    <w:rsid w:val="007D2E89"/>
    <w:rsid w:val="0080311A"/>
    <w:rsid w:val="008107C9"/>
    <w:rsid w:val="0086206E"/>
    <w:rsid w:val="0088293F"/>
    <w:rsid w:val="0088298C"/>
    <w:rsid w:val="008873D7"/>
    <w:rsid w:val="00943E13"/>
    <w:rsid w:val="00980216"/>
    <w:rsid w:val="009802D3"/>
    <w:rsid w:val="00981DA4"/>
    <w:rsid w:val="009B2415"/>
    <w:rsid w:val="009F6050"/>
    <w:rsid w:val="00A151EC"/>
    <w:rsid w:val="00A5653A"/>
    <w:rsid w:val="00A5660A"/>
    <w:rsid w:val="00A655DC"/>
    <w:rsid w:val="00A71638"/>
    <w:rsid w:val="00AB4090"/>
    <w:rsid w:val="00AC70E0"/>
    <w:rsid w:val="00AD1D3A"/>
    <w:rsid w:val="00B114DC"/>
    <w:rsid w:val="00B13843"/>
    <w:rsid w:val="00B203B0"/>
    <w:rsid w:val="00B41BBF"/>
    <w:rsid w:val="00B44503"/>
    <w:rsid w:val="00BB1260"/>
    <w:rsid w:val="00BC50D2"/>
    <w:rsid w:val="00C412A7"/>
    <w:rsid w:val="00C519B9"/>
    <w:rsid w:val="00C6049B"/>
    <w:rsid w:val="00C64371"/>
    <w:rsid w:val="00C710EC"/>
    <w:rsid w:val="00C73B48"/>
    <w:rsid w:val="00C863E6"/>
    <w:rsid w:val="00CA28EC"/>
    <w:rsid w:val="00CD08CD"/>
    <w:rsid w:val="00CF61A4"/>
    <w:rsid w:val="00D212FD"/>
    <w:rsid w:val="00D25BF6"/>
    <w:rsid w:val="00D36F73"/>
    <w:rsid w:val="00D4363B"/>
    <w:rsid w:val="00D46DB6"/>
    <w:rsid w:val="00D52F9E"/>
    <w:rsid w:val="00D6601B"/>
    <w:rsid w:val="00D74FE3"/>
    <w:rsid w:val="00D75B3F"/>
    <w:rsid w:val="00D918CC"/>
    <w:rsid w:val="00D93BDE"/>
    <w:rsid w:val="00D96EE9"/>
    <w:rsid w:val="00DB1121"/>
    <w:rsid w:val="00E06213"/>
    <w:rsid w:val="00E55DA6"/>
    <w:rsid w:val="00E57C5F"/>
    <w:rsid w:val="00E65ED6"/>
    <w:rsid w:val="00E8461E"/>
    <w:rsid w:val="00EC4ED6"/>
    <w:rsid w:val="00EF0573"/>
    <w:rsid w:val="00F10A49"/>
    <w:rsid w:val="00F7638A"/>
    <w:rsid w:val="00F94A5A"/>
    <w:rsid w:val="00FE6D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FE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64371"/>
    <w:pPr>
      <w:spacing w:line="240" w:lineRule="auto"/>
    </w:pPr>
    <w:rPr>
      <w:rFonts w:cs="David"/>
      <w:szCs w:val="20"/>
    </w:rPr>
  </w:style>
  <w:style w:type="character" w:customStyle="1" w:styleId="a4">
    <w:name w:val="טקסט הערת שוליים תו"/>
    <w:basedOn w:val="a0"/>
    <w:link w:val="a3"/>
    <w:uiPriority w:val="99"/>
    <w:semiHidden/>
    <w:rsid w:val="00C64371"/>
    <w:rPr>
      <w:rFonts w:ascii="David" w:hAnsi="David" w:cs="David"/>
      <w:sz w:val="20"/>
      <w:szCs w:val="20"/>
    </w:rPr>
  </w:style>
  <w:style w:type="character" w:styleId="a5">
    <w:name w:val="footnote reference"/>
    <w:basedOn w:val="a0"/>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line="240" w:lineRule="auto"/>
    </w:pPr>
  </w:style>
  <w:style w:type="character" w:customStyle="1" w:styleId="a7">
    <w:name w:val="כותרת עליונה תו"/>
    <w:basedOn w:val="a0"/>
    <w:link w:val="a6"/>
    <w:uiPriority w:val="99"/>
    <w:rsid w:val="00516CAA"/>
  </w:style>
  <w:style w:type="paragraph" w:styleId="a8">
    <w:name w:val="footer"/>
    <w:basedOn w:val="a"/>
    <w:link w:val="a9"/>
    <w:uiPriority w:val="99"/>
    <w:unhideWhenUsed/>
    <w:rsid w:val="00516CAA"/>
    <w:pPr>
      <w:tabs>
        <w:tab w:val="center" w:pos="4320"/>
        <w:tab w:val="right" w:pos="8640"/>
      </w:tabs>
      <w:spacing w:line="240" w:lineRule="auto"/>
    </w:pPr>
  </w:style>
  <w:style w:type="character" w:customStyle="1" w:styleId="a9">
    <w:name w:val="כותרת תחתונה תו"/>
    <w:basedOn w:val="a0"/>
    <w:link w:val="a8"/>
    <w:uiPriority w:val="99"/>
    <w:rsid w:val="00516CAA"/>
  </w:style>
  <w:style w:type="character" w:customStyle="1" w:styleId="default">
    <w:name w:val="default"/>
    <w:rsid w:val="00D918CC"/>
    <w:rPr>
      <w:rFonts w:ascii="Times New Roman" w:hAnsi="Times New Roman" w:cs="Times New Roman"/>
      <w:sz w:val="26"/>
      <w:szCs w:val="26"/>
    </w:rPr>
  </w:style>
  <w:style w:type="paragraph" w:customStyle="1" w:styleId="header-2">
    <w:name w:val="header-2"/>
    <w:basedOn w:val="a"/>
    <w:rsid w:val="00D918CC"/>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noProof/>
      <w:color w:val="auto"/>
      <w:spacing w:val="0"/>
      <w:sz w:val="20"/>
      <w:szCs w:val="20"/>
      <w:lang w:eastAsia="he-IL"/>
    </w:rPr>
  </w:style>
  <w:style w:type="paragraph" w:styleId="aa">
    <w:name w:val="List Paragraph"/>
    <w:basedOn w:val="a"/>
    <w:uiPriority w:val="34"/>
    <w:qFormat/>
    <w:rsid w:val="00C863E6"/>
    <w:pPr>
      <w:ind w:left="720"/>
      <w:contextualSpacing/>
    </w:pPr>
  </w:style>
  <w:style w:type="paragraph" w:styleId="ab">
    <w:name w:val="Balloon Text"/>
    <w:basedOn w:val="a"/>
    <w:link w:val="ac"/>
    <w:uiPriority w:val="99"/>
    <w:semiHidden/>
    <w:unhideWhenUsed/>
    <w:rsid w:val="00981DA4"/>
    <w:pPr>
      <w:spacing w:before="0" w:line="240" w:lineRule="auto"/>
    </w:pPr>
    <w:rPr>
      <w:rFonts w:ascii="Tahoma" w:hAnsi="Tahoma" w:cs="Tahoma"/>
      <w:sz w:val="16"/>
      <w:szCs w:val="16"/>
    </w:rPr>
  </w:style>
  <w:style w:type="character" w:customStyle="1" w:styleId="ac">
    <w:name w:val="טקסט בלונים תו"/>
    <w:basedOn w:val="a0"/>
    <w:link w:val="ab"/>
    <w:uiPriority w:val="99"/>
    <w:semiHidden/>
    <w:rsid w:val="00981DA4"/>
    <w:rPr>
      <w:rFonts w:ascii="Tahoma" w:eastAsia="MS Mincho"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FE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64371"/>
    <w:pPr>
      <w:spacing w:line="240" w:lineRule="auto"/>
    </w:pPr>
    <w:rPr>
      <w:rFonts w:cs="David"/>
      <w:szCs w:val="20"/>
    </w:rPr>
  </w:style>
  <w:style w:type="character" w:customStyle="1" w:styleId="a4">
    <w:name w:val="טקסט הערת שוליים תו"/>
    <w:basedOn w:val="a0"/>
    <w:link w:val="a3"/>
    <w:uiPriority w:val="99"/>
    <w:semiHidden/>
    <w:rsid w:val="00C64371"/>
    <w:rPr>
      <w:rFonts w:ascii="David" w:hAnsi="David" w:cs="David"/>
      <w:sz w:val="20"/>
      <w:szCs w:val="20"/>
    </w:rPr>
  </w:style>
  <w:style w:type="character" w:styleId="a5">
    <w:name w:val="footnote reference"/>
    <w:basedOn w:val="a0"/>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line="240" w:lineRule="auto"/>
    </w:pPr>
  </w:style>
  <w:style w:type="character" w:customStyle="1" w:styleId="a7">
    <w:name w:val="כותרת עליונה תו"/>
    <w:basedOn w:val="a0"/>
    <w:link w:val="a6"/>
    <w:uiPriority w:val="99"/>
    <w:rsid w:val="00516CAA"/>
  </w:style>
  <w:style w:type="paragraph" w:styleId="a8">
    <w:name w:val="footer"/>
    <w:basedOn w:val="a"/>
    <w:link w:val="a9"/>
    <w:uiPriority w:val="99"/>
    <w:unhideWhenUsed/>
    <w:rsid w:val="00516CAA"/>
    <w:pPr>
      <w:tabs>
        <w:tab w:val="center" w:pos="4320"/>
        <w:tab w:val="right" w:pos="8640"/>
      </w:tabs>
      <w:spacing w:line="240" w:lineRule="auto"/>
    </w:pPr>
  </w:style>
  <w:style w:type="character" w:customStyle="1" w:styleId="a9">
    <w:name w:val="כותרת תחתונה תו"/>
    <w:basedOn w:val="a0"/>
    <w:link w:val="a8"/>
    <w:uiPriority w:val="99"/>
    <w:rsid w:val="00516CAA"/>
  </w:style>
  <w:style w:type="character" w:customStyle="1" w:styleId="default">
    <w:name w:val="default"/>
    <w:rsid w:val="00D918CC"/>
    <w:rPr>
      <w:rFonts w:ascii="Times New Roman" w:hAnsi="Times New Roman" w:cs="Times New Roman"/>
      <w:sz w:val="26"/>
      <w:szCs w:val="26"/>
    </w:rPr>
  </w:style>
  <w:style w:type="paragraph" w:customStyle="1" w:styleId="header-2">
    <w:name w:val="header-2"/>
    <w:basedOn w:val="a"/>
    <w:rsid w:val="00D918CC"/>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noProof/>
      <w:color w:val="auto"/>
      <w:spacing w:val="0"/>
      <w:sz w:val="20"/>
      <w:szCs w:val="20"/>
      <w:lang w:eastAsia="he-IL"/>
    </w:rPr>
  </w:style>
  <w:style w:type="paragraph" w:styleId="aa">
    <w:name w:val="List Paragraph"/>
    <w:basedOn w:val="a"/>
    <w:uiPriority w:val="34"/>
    <w:qFormat/>
    <w:rsid w:val="00C863E6"/>
    <w:pPr>
      <w:ind w:left="720"/>
      <w:contextualSpacing/>
    </w:pPr>
  </w:style>
  <w:style w:type="paragraph" w:styleId="ab">
    <w:name w:val="Balloon Text"/>
    <w:basedOn w:val="a"/>
    <w:link w:val="ac"/>
    <w:uiPriority w:val="99"/>
    <w:semiHidden/>
    <w:unhideWhenUsed/>
    <w:rsid w:val="00981DA4"/>
    <w:pPr>
      <w:spacing w:before="0" w:line="240" w:lineRule="auto"/>
    </w:pPr>
    <w:rPr>
      <w:rFonts w:ascii="Tahoma" w:hAnsi="Tahoma" w:cs="Tahoma"/>
      <w:sz w:val="16"/>
      <w:szCs w:val="16"/>
    </w:rPr>
  </w:style>
  <w:style w:type="character" w:customStyle="1" w:styleId="ac">
    <w:name w:val="טקסט בלונים תו"/>
    <w:basedOn w:val="a0"/>
    <w:link w:val="ab"/>
    <w:uiPriority w:val="99"/>
    <w:semiHidden/>
    <w:rsid w:val="00981DA4"/>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9A2D8-4C1E-4764-8816-DEF7C6135A8E}"/>
</file>

<file path=customXml/itemProps2.xml><?xml version="1.0" encoding="utf-8"?>
<ds:datastoreItem xmlns:ds="http://schemas.openxmlformats.org/officeDocument/2006/customXml" ds:itemID="{BF8F31F4-829F-49E6-B04E-1E77070E5652}"/>
</file>

<file path=customXml/itemProps3.xml><?xml version="1.0" encoding="utf-8"?>
<ds:datastoreItem xmlns:ds="http://schemas.openxmlformats.org/officeDocument/2006/customXml" ds:itemID="{803F8F65-F7C5-4261-A787-DFBA32725BA3}"/>
</file>

<file path=customXml/itemProps4.xml><?xml version="1.0" encoding="utf-8"?>
<ds:datastoreItem xmlns:ds="http://schemas.openxmlformats.org/officeDocument/2006/customXml" ds:itemID="{54353763-88F5-4CB5-8227-BDC6720D2E3F}"/>
</file>

<file path=docProps/app.xml><?xml version="1.0" encoding="utf-8"?>
<Properties xmlns="http://schemas.openxmlformats.org/officeDocument/2006/extended-properties" xmlns:vt="http://schemas.openxmlformats.org/officeDocument/2006/docPropsVTypes">
  <Template>Normal</Template>
  <TotalTime>1</TotalTime>
  <Pages>4</Pages>
  <Words>1397</Words>
  <Characters>6987</Characters>
  <Application>Microsoft Office Word</Application>
  <DocSecurity>4</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2015-06-04T12:03:00Z</cp:lastPrinted>
  <dcterms:created xsi:type="dcterms:W3CDTF">2015-06-07T06:37:00Z</dcterms:created>
  <dcterms:modified xsi:type="dcterms:W3CDTF">2015-06-07T06:37:00Z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