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2955" w:rsidRPr="008541C7" w:rsidRDefault="008541C7" w:rsidP="00BF1E25">
      <w:pPr>
        <w:spacing w:line="240" w:lineRule="auto"/>
        <w:jc w:val="right"/>
        <w:rPr>
          <w:rFonts w:ascii="David" w:hAnsi="David" w:cs="David"/>
          <w:szCs w:val="22"/>
          <w:rtl/>
        </w:rPr>
      </w:pPr>
      <w:bookmarkStart w:id="0" w:name="_GoBack"/>
      <w:bookmarkEnd w:id="0"/>
      <w:r w:rsidRPr="008541C7">
        <w:rPr>
          <w:rFonts w:ascii="David" w:hAnsi="David" w:cs="David" w:hint="cs"/>
          <w:szCs w:val="22"/>
          <w:rtl/>
        </w:rPr>
        <w:t>ט"ו</w:t>
      </w:r>
      <w:r w:rsidR="003A034B" w:rsidRPr="008541C7">
        <w:rPr>
          <w:rFonts w:ascii="David" w:hAnsi="David" w:cs="David" w:hint="cs"/>
          <w:szCs w:val="22"/>
          <w:rtl/>
        </w:rPr>
        <w:t xml:space="preserve"> </w:t>
      </w:r>
      <w:r w:rsidR="00BF1E25" w:rsidRPr="008541C7">
        <w:rPr>
          <w:rFonts w:ascii="David" w:hAnsi="David" w:cs="David" w:hint="cs"/>
          <w:szCs w:val="22"/>
          <w:rtl/>
        </w:rPr>
        <w:t xml:space="preserve">בתמוז </w:t>
      </w:r>
      <w:proofErr w:type="spellStart"/>
      <w:r w:rsidR="006B2955" w:rsidRPr="008541C7">
        <w:rPr>
          <w:rFonts w:ascii="David" w:hAnsi="David" w:cs="David" w:hint="cs"/>
          <w:szCs w:val="22"/>
          <w:rtl/>
        </w:rPr>
        <w:t>התשע"</w:t>
      </w:r>
      <w:r w:rsidR="00BF1E25" w:rsidRPr="008541C7">
        <w:rPr>
          <w:rFonts w:ascii="David" w:hAnsi="David" w:cs="David" w:hint="cs"/>
          <w:szCs w:val="22"/>
          <w:rtl/>
        </w:rPr>
        <w:t>ה</w:t>
      </w:r>
      <w:proofErr w:type="spellEnd"/>
    </w:p>
    <w:p w:rsidR="006B2955" w:rsidRPr="008541C7" w:rsidRDefault="008541C7" w:rsidP="00BF1E25">
      <w:pPr>
        <w:spacing w:line="240" w:lineRule="auto"/>
        <w:jc w:val="right"/>
        <w:rPr>
          <w:rFonts w:ascii="David" w:hAnsi="David" w:cs="David"/>
          <w:szCs w:val="22"/>
          <w:rtl/>
        </w:rPr>
      </w:pPr>
      <w:r w:rsidRPr="008541C7">
        <w:rPr>
          <w:rFonts w:ascii="David" w:hAnsi="David" w:cs="David" w:hint="cs"/>
          <w:szCs w:val="22"/>
          <w:rtl/>
        </w:rPr>
        <w:t>2</w:t>
      </w:r>
      <w:r w:rsidR="003A034B" w:rsidRPr="008541C7">
        <w:rPr>
          <w:rFonts w:ascii="David" w:hAnsi="David" w:cs="David" w:hint="cs"/>
          <w:szCs w:val="22"/>
          <w:rtl/>
        </w:rPr>
        <w:t xml:space="preserve"> בי</w:t>
      </w:r>
      <w:r w:rsidR="00BF1E25" w:rsidRPr="008541C7">
        <w:rPr>
          <w:rFonts w:ascii="David" w:hAnsi="David" w:cs="David" w:hint="cs"/>
          <w:szCs w:val="22"/>
          <w:rtl/>
        </w:rPr>
        <w:t>ולי</w:t>
      </w:r>
      <w:r w:rsidR="006B2955" w:rsidRPr="008541C7">
        <w:rPr>
          <w:rFonts w:ascii="David" w:hAnsi="David" w:cs="David" w:hint="cs"/>
          <w:szCs w:val="22"/>
          <w:rtl/>
        </w:rPr>
        <w:t xml:space="preserve"> 201</w:t>
      </w:r>
      <w:r w:rsidR="00BF1E25" w:rsidRPr="008541C7">
        <w:rPr>
          <w:rFonts w:ascii="David" w:hAnsi="David" w:cs="David" w:hint="cs"/>
          <w:szCs w:val="22"/>
          <w:rtl/>
        </w:rPr>
        <w:t>5</w:t>
      </w:r>
    </w:p>
    <w:p w:rsidR="006B2955" w:rsidRDefault="006B2955" w:rsidP="006B2955">
      <w:pPr>
        <w:spacing w:line="240" w:lineRule="auto"/>
        <w:rPr>
          <w:rFonts w:cs="David"/>
          <w:rtl/>
        </w:rPr>
      </w:pPr>
      <w:r w:rsidRPr="008541C7">
        <w:rPr>
          <w:rFonts w:cs="David" w:hint="cs"/>
          <w:u w:val="single"/>
          <w:rtl/>
        </w:rPr>
        <w:t>אל</w:t>
      </w:r>
      <w:r w:rsidRPr="008541C7">
        <w:rPr>
          <w:rFonts w:cs="David" w:hint="cs"/>
          <w:rtl/>
        </w:rPr>
        <w:t>: חברי ועדת החוקה, חוק ומשפט</w:t>
      </w:r>
    </w:p>
    <w:p w:rsidR="006B2955" w:rsidRDefault="006B2955" w:rsidP="006B2955">
      <w:pPr>
        <w:spacing w:line="240" w:lineRule="auto"/>
        <w:rPr>
          <w:rFonts w:cs="David"/>
          <w:rtl/>
        </w:rPr>
      </w:pPr>
      <w:r w:rsidRPr="00EA65F8">
        <w:rPr>
          <w:rFonts w:cs="David" w:hint="cs"/>
          <w:u w:val="single"/>
          <w:rtl/>
        </w:rPr>
        <w:t>מאת</w:t>
      </w:r>
      <w:r>
        <w:rPr>
          <w:rFonts w:cs="David" w:hint="cs"/>
          <w:rtl/>
        </w:rPr>
        <w:t>: הייעוץ המשפטי לוועדה</w:t>
      </w:r>
    </w:p>
    <w:p w:rsidR="006B2955" w:rsidRDefault="006B2955" w:rsidP="006B2955">
      <w:pPr>
        <w:spacing w:line="240" w:lineRule="auto"/>
        <w:rPr>
          <w:rFonts w:cs="David"/>
          <w:rtl/>
        </w:rPr>
      </w:pPr>
    </w:p>
    <w:p w:rsidR="006B2955" w:rsidRDefault="006B2955" w:rsidP="006B2955">
      <w:pPr>
        <w:spacing w:line="240" w:lineRule="auto"/>
        <w:rPr>
          <w:rFonts w:cs="David"/>
          <w:rtl/>
        </w:rPr>
      </w:pPr>
    </w:p>
    <w:p w:rsidR="006B2955" w:rsidRPr="000675CE" w:rsidRDefault="006B2955" w:rsidP="008244EB">
      <w:pPr>
        <w:spacing w:after="120" w:line="276" w:lineRule="auto"/>
        <w:jc w:val="center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>תקנות ההוצאה לפועל (</w:t>
      </w:r>
      <w:r w:rsidR="00A35EC0">
        <w:rPr>
          <w:rFonts w:cs="David" w:hint="cs"/>
          <w:b/>
          <w:bCs/>
          <w:sz w:val="28"/>
          <w:szCs w:val="28"/>
          <w:u w:val="single"/>
          <w:rtl/>
        </w:rPr>
        <w:t>אגרות שכר והוצאות</w:t>
      </w:r>
      <w:r>
        <w:rPr>
          <w:rFonts w:cs="David" w:hint="cs"/>
          <w:b/>
          <w:bCs/>
          <w:sz w:val="28"/>
          <w:szCs w:val="28"/>
          <w:u w:val="single"/>
          <w:rtl/>
        </w:rPr>
        <w:t>)</w:t>
      </w:r>
      <w:r w:rsidR="00A35EC0">
        <w:rPr>
          <w:rFonts w:cs="David" w:hint="cs"/>
          <w:b/>
          <w:bCs/>
          <w:sz w:val="28"/>
          <w:szCs w:val="28"/>
          <w:u w:val="single"/>
          <w:rtl/>
        </w:rPr>
        <w:t xml:space="preserve"> (תיקון)</w:t>
      </w:r>
      <w:r>
        <w:rPr>
          <w:rFonts w:cs="David" w:hint="cs"/>
          <w:b/>
          <w:bCs/>
          <w:sz w:val="28"/>
          <w:szCs w:val="28"/>
          <w:u w:val="single"/>
          <w:rtl/>
        </w:rPr>
        <w:t>, התשע"</w:t>
      </w:r>
      <w:r w:rsidR="00A701CB">
        <w:rPr>
          <w:rFonts w:cs="David" w:hint="cs"/>
          <w:b/>
          <w:bCs/>
          <w:sz w:val="28"/>
          <w:szCs w:val="28"/>
          <w:u w:val="single"/>
          <w:rtl/>
        </w:rPr>
        <w:t>ה</w:t>
      </w:r>
      <w:r>
        <w:rPr>
          <w:rFonts w:cs="David" w:hint="cs"/>
          <w:b/>
          <w:bCs/>
          <w:sz w:val="28"/>
          <w:szCs w:val="28"/>
          <w:u w:val="single"/>
          <w:rtl/>
        </w:rPr>
        <w:t>-201</w:t>
      </w:r>
      <w:r w:rsidR="00A701CB">
        <w:rPr>
          <w:rFonts w:cs="David" w:hint="cs"/>
          <w:b/>
          <w:bCs/>
          <w:sz w:val="28"/>
          <w:szCs w:val="28"/>
          <w:u w:val="single"/>
          <w:rtl/>
        </w:rPr>
        <w:t>5</w:t>
      </w:r>
      <w:r>
        <w:rPr>
          <w:rFonts w:cs="David" w:hint="cs"/>
          <w:b/>
          <w:bCs/>
          <w:sz w:val="28"/>
          <w:szCs w:val="28"/>
          <w:u w:val="single"/>
          <w:rtl/>
        </w:rPr>
        <w:t xml:space="preserve">  </w:t>
      </w:r>
      <w:r w:rsidR="00A35EC0">
        <w:rPr>
          <w:rFonts w:cs="David" w:hint="cs"/>
          <w:b/>
          <w:bCs/>
          <w:sz w:val="28"/>
          <w:szCs w:val="28"/>
          <w:u w:val="single"/>
          <w:rtl/>
        </w:rPr>
        <w:t xml:space="preserve">       </w:t>
      </w:r>
    </w:p>
    <w:p w:rsidR="00A701CB" w:rsidRDefault="004930FB" w:rsidP="004930FB">
      <w:pPr>
        <w:spacing w:after="120" w:line="240" w:lineRule="auto"/>
        <w:rPr>
          <w:rFonts w:cs="David"/>
          <w:b/>
          <w:bCs/>
          <w:sz w:val="24"/>
          <w:u w:val="single"/>
          <w:rtl/>
        </w:rPr>
      </w:pPr>
      <w:r>
        <w:rPr>
          <w:rFonts w:cs="David" w:hint="cs"/>
          <w:b/>
          <w:bCs/>
          <w:sz w:val="24"/>
          <w:u w:val="single"/>
          <w:rtl/>
        </w:rPr>
        <w:t>כללי</w:t>
      </w:r>
    </w:p>
    <w:p w:rsidR="009F3074" w:rsidRDefault="009F3074" w:rsidP="00E027C0">
      <w:pPr>
        <w:spacing w:before="120" w:after="120"/>
        <w:rPr>
          <w:rFonts w:cs="David"/>
          <w:sz w:val="24"/>
          <w:rtl/>
        </w:rPr>
      </w:pPr>
      <w:r>
        <w:rPr>
          <w:rFonts w:cs="David" w:hint="cs"/>
          <w:sz w:val="24"/>
          <w:rtl/>
        </w:rPr>
        <w:t xml:space="preserve">סעיף 88(א)(1) לחוק ההוצאה לפועל, התשכ"ז-1967 (להלן </w:t>
      </w:r>
      <w:r>
        <w:rPr>
          <w:rFonts w:cs="David"/>
          <w:sz w:val="24"/>
          <w:rtl/>
        </w:rPr>
        <w:t>–</w:t>
      </w:r>
      <w:r>
        <w:rPr>
          <w:rFonts w:cs="David" w:hint="cs"/>
          <w:sz w:val="24"/>
          <w:rtl/>
        </w:rPr>
        <w:t xml:space="preserve"> החוק), מסמיך את שר המשפטים להתקין תקנות בעניינים שונים הנוגעים לחוק, ובכלל זה לעניין תשלום אגרות. מכוח הוראה זו הותקנו תקנות ההוצאה לפועל (אגרות, שכר והוצאות), התשכ"ח-1968 (להלן </w:t>
      </w:r>
      <w:r>
        <w:rPr>
          <w:rFonts w:cs="David"/>
          <w:sz w:val="24"/>
          <w:rtl/>
        </w:rPr>
        <w:t>–</w:t>
      </w:r>
      <w:r>
        <w:rPr>
          <w:rFonts w:cs="David" w:hint="cs"/>
          <w:sz w:val="24"/>
          <w:rtl/>
        </w:rPr>
        <w:t xml:space="preserve"> התקנות)</w:t>
      </w:r>
      <w:r w:rsidR="00FE1A1B">
        <w:rPr>
          <w:rFonts w:cs="David" w:hint="cs"/>
          <w:sz w:val="24"/>
          <w:rtl/>
        </w:rPr>
        <w:t>, שבמסגרתם, נקבע, ב</w:t>
      </w:r>
      <w:r>
        <w:rPr>
          <w:rFonts w:cs="David" w:hint="cs"/>
          <w:sz w:val="24"/>
          <w:rtl/>
        </w:rPr>
        <w:t>תוספת לתקנות</w:t>
      </w:r>
      <w:r w:rsidR="00FE1A1B">
        <w:rPr>
          <w:rFonts w:cs="David" w:hint="cs"/>
          <w:sz w:val="24"/>
          <w:rtl/>
        </w:rPr>
        <w:t>,</w:t>
      </w:r>
      <w:r>
        <w:rPr>
          <w:rFonts w:cs="David" w:hint="cs"/>
          <w:sz w:val="24"/>
          <w:rtl/>
        </w:rPr>
        <w:t xml:space="preserve"> רשימה של הליכים ופעולות שניתן לבצע במערכת ההוצאה לפועל, ובצדם סכום האגרה הנגבית בגין ההליך או הפעולה. </w:t>
      </w:r>
      <w:r w:rsidR="00EC1035">
        <w:rPr>
          <w:rFonts w:cs="David" w:hint="cs"/>
          <w:sz w:val="24"/>
          <w:rtl/>
        </w:rPr>
        <w:t>בעבר, פרט (א)(11) לתוספת לתקנות קבע, כי האגרה בגין העתק מכל מסמך שנעשה על ידי לשכת ההוצאה לפועל היא 3 ₪ לכל עמוד, החל בעמוד הראשון.</w:t>
      </w:r>
    </w:p>
    <w:p w:rsidR="004930FB" w:rsidRDefault="004930FB" w:rsidP="00760F86">
      <w:pPr>
        <w:spacing w:before="120"/>
        <w:rPr>
          <w:rFonts w:cs="David"/>
          <w:sz w:val="24"/>
          <w:rtl/>
        </w:rPr>
      </w:pPr>
    </w:p>
    <w:p w:rsidR="004930FB" w:rsidRPr="004930FB" w:rsidRDefault="004930FB" w:rsidP="001051B1">
      <w:pPr>
        <w:spacing w:after="120" w:line="240" w:lineRule="auto"/>
        <w:rPr>
          <w:rFonts w:cs="David"/>
          <w:b/>
          <w:bCs/>
          <w:sz w:val="24"/>
          <w:u w:val="single"/>
          <w:rtl/>
        </w:rPr>
      </w:pPr>
      <w:r w:rsidRPr="004930FB">
        <w:rPr>
          <w:rFonts w:cs="David" w:hint="cs"/>
          <w:b/>
          <w:bCs/>
          <w:sz w:val="24"/>
          <w:u w:val="single"/>
          <w:rtl/>
        </w:rPr>
        <w:t>רקע לתיקון המוצע</w:t>
      </w:r>
    </w:p>
    <w:p w:rsidR="002B3572" w:rsidRDefault="001051B1" w:rsidP="00E027C0">
      <w:pPr>
        <w:spacing w:after="120"/>
        <w:rPr>
          <w:rFonts w:cs="David"/>
          <w:sz w:val="24"/>
          <w:rtl/>
        </w:rPr>
      </w:pPr>
      <w:r>
        <w:rPr>
          <w:rFonts w:cs="David" w:hint="cs"/>
          <w:sz w:val="24"/>
          <w:rtl/>
        </w:rPr>
        <w:t>בתובענה</w:t>
      </w:r>
      <w:r w:rsidR="004A70E3" w:rsidRPr="004A70E3">
        <w:rPr>
          <w:rFonts w:cs="David" w:hint="cs"/>
          <w:sz w:val="24"/>
          <w:rtl/>
        </w:rPr>
        <w:t xml:space="preserve"> ייצוגית שהוגשה כנגד רשות האכיפה והגביה</w:t>
      </w:r>
      <w:r w:rsidR="004A70E3">
        <w:rPr>
          <w:rStyle w:val="a7"/>
          <w:rFonts w:cs="David"/>
          <w:sz w:val="24"/>
          <w:rtl/>
        </w:rPr>
        <w:footnoteReference w:id="1"/>
      </w:r>
      <w:r w:rsidR="004A70E3" w:rsidRPr="004A70E3">
        <w:rPr>
          <w:rFonts w:cs="David" w:hint="cs"/>
          <w:sz w:val="24"/>
          <w:rtl/>
        </w:rPr>
        <w:t xml:space="preserve">, קבע בית המשפט כי האגרה </w:t>
      </w:r>
      <w:proofErr w:type="spellStart"/>
      <w:r w:rsidR="004A70E3" w:rsidRPr="004A70E3">
        <w:rPr>
          <w:rFonts w:cs="David" w:hint="cs"/>
          <w:sz w:val="24"/>
          <w:rtl/>
        </w:rPr>
        <w:t>שהיתה</w:t>
      </w:r>
      <w:proofErr w:type="spellEnd"/>
      <w:r w:rsidR="004A70E3" w:rsidRPr="004A70E3">
        <w:rPr>
          <w:rFonts w:cs="David" w:hint="cs"/>
          <w:sz w:val="24"/>
          <w:rtl/>
        </w:rPr>
        <w:t xml:space="preserve"> קבועה במועד הגשת התביעה בפרט </w:t>
      </w:r>
      <w:r w:rsidR="002B3572">
        <w:rPr>
          <w:rFonts w:cs="David" w:hint="cs"/>
          <w:sz w:val="24"/>
          <w:rtl/>
        </w:rPr>
        <w:t>(א)</w:t>
      </w:r>
      <w:r w:rsidR="004A70E3" w:rsidRPr="004A70E3">
        <w:rPr>
          <w:rFonts w:cs="David" w:hint="cs"/>
          <w:sz w:val="24"/>
          <w:rtl/>
        </w:rPr>
        <w:t>(11) לתוספת לתקנות אינה סבירה. במסגרת ההחלטה שנתן בית המשפט נקבע</w:t>
      </w:r>
      <w:r w:rsidR="00BD36B7">
        <w:rPr>
          <w:rFonts w:cs="David" w:hint="cs"/>
          <w:sz w:val="24"/>
          <w:rtl/>
        </w:rPr>
        <w:t>,</w:t>
      </w:r>
      <w:r w:rsidR="004A70E3" w:rsidRPr="004A70E3">
        <w:rPr>
          <w:rFonts w:cs="David" w:hint="cs"/>
          <w:sz w:val="24"/>
          <w:rtl/>
        </w:rPr>
        <w:t xml:space="preserve"> כי במהלך השנתיים ש</w:t>
      </w:r>
      <w:r w:rsidR="00BD36B7">
        <w:rPr>
          <w:rFonts w:cs="David" w:hint="cs"/>
          <w:sz w:val="24"/>
          <w:rtl/>
        </w:rPr>
        <w:t>מה</w:t>
      </w:r>
      <w:r w:rsidR="002B3572">
        <w:rPr>
          <w:rFonts w:cs="David" w:hint="cs"/>
          <w:sz w:val="24"/>
          <w:rtl/>
        </w:rPr>
        <w:t>-17 במאי 2013 ועד</w:t>
      </w:r>
      <w:r w:rsidR="00BD36B7">
        <w:rPr>
          <w:rFonts w:cs="David" w:hint="cs"/>
          <w:sz w:val="24"/>
          <w:rtl/>
        </w:rPr>
        <w:t xml:space="preserve"> ל-</w:t>
      </w:r>
      <w:r w:rsidR="002B3572">
        <w:rPr>
          <w:rFonts w:cs="David" w:hint="cs"/>
          <w:sz w:val="24"/>
          <w:rtl/>
        </w:rPr>
        <w:t xml:space="preserve"> 17 במאי 2015 </w:t>
      </w:r>
      <w:r w:rsidR="004A70E3" w:rsidRPr="004A70E3">
        <w:rPr>
          <w:rFonts w:cs="David" w:hint="cs"/>
          <w:sz w:val="24"/>
          <w:rtl/>
        </w:rPr>
        <w:t xml:space="preserve">לא </w:t>
      </w:r>
      <w:r w:rsidR="002B3572">
        <w:rPr>
          <w:rFonts w:cs="David" w:hint="cs"/>
          <w:sz w:val="24"/>
          <w:rtl/>
        </w:rPr>
        <w:t xml:space="preserve">תיגבה אגרה </w:t>
      </w:r>
      <w:r w:rsidR="004A70E3" w:rsidRPr="004A70E3">
        <w:rPr>
          <w:rFonts w:cs="David" w:hint="cs"/>
          <w:sz w:val="24"/>
          <w:rtl/>
        </w:rPr>
        <w:t xml:space="preserve">עבור 29 הצילומים הראשונים, </w:t>
      </w:r>
      <w:r w:rsidR="002B3572">
        <w:rPr>
          <w:rFonts w:cs="David" w:hint="cs"/>
          <w:sz w:val="24"/>
          <w:rtl/>
        </w:rPr>
        <w:t>ו</w:t>
      </w:r>
      <w:r w:rsidR="004A70E3" w:rsidRPr="004A70E3">
        <w:rPr>
          <w:rFonts w:cs="David" w:hint="cs"/>
          <w:sz w:val="24"/>
          <w:rtl/>
        </w:rPr>
        <w:t>עבור המסמך ה</w:t>
      </w:r>
      <w:r w:rsidR="002B3572">
        <w:rPr>
          <w:rFonts w:cs="David" w:hint="cs"/>
          <w:sz w:val="24"/>
          <w:rtl/>
        </w:rPr>
        <w:t>-</w:t>
      </w:r>
      <w:r w:rsidR="004A70E3" w:rsidRPr="004A70E3">
        <w:rPr>
          <w:rFonts w:cs="David" w:hint="cs"/>
          <w:sz w:val="24"/>
          <w:rtl/>
        </w:rPr>
        <w:t>30 ואילך ניתן לגבות אגרה בסכום סביר שיקבע בתקנות. כמו כן, בית המשפט קבע כי לאחר  ה</w:t>
      </w:r>
      <w:r w:rsidR="002B3572">
        <w:rPr>
          <w:rFonts w:cs="David" w:hint="cs"/>
          <w:sz w:val="24"/>
          <w:rtl/>
        </w:rPr>
        <w:t xml:space="preserve">-17 במאי 2015 </w:t>
      </w:r>
      <w:r w:rsidR="004A70E3" w:rsidRPr="004A70E3">
        <w:rPr>
          <w:rFonts w:cs="David" w:hint="cs"/>
          <w:sz w:val="24"/>
          <w:rtl/>
        </w:rPr>
        <w:t>ניתן יהיה לגבות אגרה בסכום סביר כפי שיקבע בתקנות. בהתאם להחלטת בית המשפט</w:t>
      </w:r>
      <w:r w:rsidR="002B3572">
        <w:rPr>
          <w:rFonts w:cs="David" w:hint="cs"/>
          <w:sz w:val="24"/>
          <w:rtl/>
        </w:rPr>
        <w:t>,</w:t>
      </w:r>
      <w:r w:rsidR="004A70E3" w:rsidRPr="004A70E3">
        <w:rPr>
          <w:rFonts w:cs="David" w:hint="cs"/>
          <w:sz w:val="24"/>
          <w:rtl/>
        </w:rPr>
        <w:t xml:space="preserve"> תוקנה התוספת לתקנות ונקבעה הוראת שעה </w:t>
      </w:r>
      <w:r w:rsidR="002B3572">
        <w:rPr>
          <w:rFonts w:cs="David" w:hint="cs"/>
          <w:sz w:val="24"/>
          <w:rtl/>
        </w:rPr>
        <w:t xml:space="preserve">עד ליום 17 במאי 2015, </w:t>
      </w:r>
      <w:r w:rsidR="004A70E3" w:rsidRPr="004A70E3">
        <w:rPr>
          <w:rFonts w:cs="David" w:hint="cs"/>
          <w:sz w:val="24"/>
          <w:rtl/>
        </w:rPr>
        <w:t>במהלכה לא תגבה אגרה עבור 29 הצילומים הראשונים</w:t>
      </w:r>
      <w:r w:rsidR="002B3572">
        <w:rPr>
          <w:rFonts w:cs="David" w:hint="cs"/>
          <w:sz w:val="24"/>
          <w:rtl/>
        </w:rPr>
        <w:t>,</w:t>
      </w:r>
      <w:r w:rsidR="004A70E3" w:rsidRPr="004A70E3">
        <w:rPr>
          <w:rFonts w:cs="David" w:hint="cs"/>
          <w:sz w:val="24"/>
          <w:rtl/>
        </w:rPr>
        <w:t xml:space="preserve"> ומהצילום השלושים והלאה יגבה סכום של 30 אגורות לצילום. </w:t>
      </w:r>
    </w:p>
    <w:p w:rsidR="002B3572" w:rsidRDefault="004A70E3" w:rsidP="00E027C0">
      <w:pPr>
        <w:spacing w:after="120"/>
        <w:rPr>
          <w:rFonts w:cs="David"/>
          <w:sz w:val="24"/>
          <w:rtl/>
        </w:rPr>
      </w:pPr>
      <w:r w:rsidRPr="004A70E3">
        <w:rPr>
          <w:rFonts w:cs="David" w:hint="cs"/>
          <w:sz w:val="24"/>
          <w:rtl/>
        </w:rPr>
        <w:t xml:space="preserve">הוראת השעה </w:t>
      </w:r>
      <w:r w:rsidR="002B3572">
        <w:rPr>
          <w:rFonts w:cs="David" w:hint="cs"/>
          <w:sz w:val="24"/>
          <w:rtl/>
        </w:rPr>
        <w:t xml:space="preserve">אמורה </w:t>
      </w:r>
      <w:proofErr w:type="spellStart"/>
      <w:r w:rsidR="002B3572">
        <w:rPr>
          <w:rFonts w:cs="David" w:hint="cs"/>
          <w:sz w:val="24"/>
          <w:rtl/>
        </w:rPr>
        <w:t>היתה</w:t>
      </w:r>
      <w:proofErr w:type="spellEnd"/>
      <w:r w:rsidR="002B3572">
        <w:rPr>
          <w:rFonts w:cs="David" w:hint="cs"/>
          <w:sz w:val="24"/>
          <w:rtl/>
        </w:rPr>
        <w:t xml:space="preserve"> לפקוע ב-17 במאי 2015, אך מכוחו של סעיף 38 לחוק-יסוד: הכנסת, הוארך תוקפה של </w:t>
      </w:r>
      <w:r w:rsidR="00E027C0">
        <w:rPr>
          <w:rFonts w:cs="David" w:hint="cs"/>
          <w:sz w:val="24"/>
          <w:rtl/>
        </w:rPr>
        <w:t xml:space="preserve">הוראת השעה </w:t>
      </w:r>
      <w:r w:rsidR="002B3572">
        <w:rPr>
          <w:rFonts w:cs="David" w:hint="cs"/>
          <w:sz w:val="24"/>
          <w:rtl/>
        </w:rPr>
        <w:t xml:space="preserve">עד ליום 30 ביוני 2015. </w:t>
      </w:r>
      <w:r w:rsidR="00E027C0">
        <w:rPr>
          <w:rFonts w:cs="David" w:hint="cs"/>
          <w:sz w:val="24"/>
          <w:rtl/>
        </w:rPr>
        <w:t xml:space="preserve">התוצאה של פקיעת תוקפה של הוראת השעה, היא שתחול ההוראה המקורית שקבעה סכום של 3 ₪ לצילום, לכל עמוד, החל בעמוד הראשון. </w:t>
      </w:r>
      <w:r w:rsidRPr="004A70E3">
        <w:rPr>
          <w:rFonts w:cs="David" w:hint="cs"/>
          <w:sz w:val="24"/>
          <w:rtl/>
        </w:rPr>
        <w:t>לפיכך</w:t>
      </w:r>
      <w:r w:rsidR="002B3572">
        <w:rPr>
          <w:rFonts w:cs="David" w:hint="cs"/>
          <w:sz w:val="24"/>
          <w:rtl/>
        </w:rPr>
        <w:t>,</w:t>
      </w:r>
      <w:r w:rsidRPr="004A70E3">
        <w:rPr>
          <w:rFonts w:cs="David" w:hint="cs"/>
          <w:sz w:val="24"/>
          <w:rtl/>
        </w:rPr>
        <w:t xml:space="preserve"> </w:t>
      </w:r>
      <w:r w:rsidR="002B3572">
        <w:rPr>
          <w:rFonts w:cs="David" w:hint="cs"/>
          <w:sz w:val="24"/>
          <w:rtl/>
        </w:rPr>
        <w:t xml:space="preserve">בהתאם להחלטת בית המשפט, </w:t>
      </w:r>
      <w:r w:rsidRPr="004A70E3">
        <w:rPr>
          <w:rFonts w:cs="David" w:hint="cs"/>
          <w:sz w:val="24"/>
          <w:rtl/>
        </w:rPr>
        <w:t xml:space="preserve">יש לקבוע הוראה </w:t>
      </w:r>
      <w:r w:rsidR="002B3572">
        <w:rPr>
          <w:rFonts w:cs="David" w:hint="cs"/>
          <w:sz w:val="24"/>
          <w:rtl/>
        </w:rPr>
        <w:t xml:space="preserve">שתקבע אגרה בסכום סביר </w:t>
      </w:r>
      <w:r w:rsidRPr="004A70E3">
        <w:rPr>
          <w:rFonts w:cs="David" w:hint="cs"/>
          <w:sz w:val="24"/>
          <w:rtl/>
        </w:rPr>
        <w:t xml:space="preserve">עבור צילומים החל ממועד זה. </w:t>
      </w:r>
    </w:p>
    <w:p w:rsidR="004A70E3" w:rsidRDefault="002B3572" w:rsidP="002B3572">
      <w:pPr>
        <w:rPr>
          <w:rFonts w:cs="David"/>
          <w:sz w:val="24"/>
          <w:rtl/>
        </w:rPr>
      </w:pPr>
      <w:r>
        <w:rPr>
          <w:rFonts w:cs="David" w:hint="cs"/>
          <w:sz w:val="24"/>
          <w:rtl/>
        </w:rPr>
        <w:t xml:space="preserve">התיקון המוצע מבקש להפוך את הוראת השעה להוראת </w:t>
      </w:r>
      <w:r w:rsidR="004A70E3" w:rsidRPr="004A70E3">
        <w:rPr>
          <w:rFonts w:cs="David" w:hint="cs"/>
          <w:sz w:val="24"/>
          <w:rtl/>
        </w:rPr>
        <w:t>קבע</w:t>
      </w:r>
      <w:r>
        <w:rPr>
          <w:rFonts w:cs="David" w:hint="cs"/>
          <w:sz w:val="24"/>
          <w:rtl/>
        </w:rPr>
        <w:t>,</w:t>
      </w:r>
      <w:r w:rsidR="004A70E3" w:rsidRPr="004A70E3">
        <w:rPr>
          <w:rFonts w:cs="David" w:hint="cs"/>
          <w:sz w:val="24"/>
          <w:rtl/>
        </w:rPr>
        <w:t xml:space="preserve"> ולקבוע כי גם לאחר תום תוקפה של הוראת השעה תגבה אגרה החל מהצילום ה</w:t>
      </w:r>
      <w:r>
        <w:rPr>
          <w:rFonts w:cs="David" w:hint="cs"/>
          <w:sz w:val="24"/>
          <w:rtl/>
        </w:rPr>
        <w:t>-</w:t>
      </w:r>
      <w:r w:rsidR="004A70E3" w:rsidRPr="004A70E3">
        <w:rPr>
          <w:rFonts w:cs="David" w:hint="cs"/>
          <w:sz w:val="24"/>
          <w:rtl/>
        </w:rPr>
        <w:t xml:space="preserve">30 ואילך בסך של </w:t>
      </w:r>
      <w:r>
        <w:rPr>
          <w:rFonts w:cs="David" w:hint="cs"/>
          <w:sz w:val="24"/>
          <w:rtl/>
        </w:rPr>
        <w:t xml:space="preserve">30 אגורות </w:t>
      </w:r>
      <w:r w:rsidR="004A70E3" w:rsidRPr="004A70E3">
        <w:rPr>
          <w:rFonts w:cs="David" w:hint="cs"/>
          <w:sz w:val="24"/>
          <w:rtl/>
        </w:rPr>
        <w:t xml:space="preserve">לעמוד. </w:t>
      </w:r>
    </w:p>
    <w:p w:rsidR="004A70E3" w:rsidRDefault="004A70E3" w:rsidP="004A70E3">
      <w:pPr>
        <w:rPr>
          <w:rFonts w:cs="David"/>
          <w:sz w:val="24"/>
          <w:rtl/>
        </w:rPr>
      </w:pPr>
    </w:p>
    <w:p w:rsidR="002B3572" w:rsidRPr="002B3572" w:rsidRDefault="002B3572" w:rsidP="004A70E3">
      <w:pPr>
        <w:rPr>
          <w:rFonts w:cs="David"/>
          <w:b/>
          <w:bCs/>
          <w:sz w:val="24"/>
          <w:u w:val="single"/>
          <w:rtl/>
        </w:rPr>
      </w:pPr>
      <w:r w:rsidRPr="002B3572">
        <w:rPr>
          <w:rFonts w:cs="David" w:hint="cs"/>
          <w:b/>
          <w:bCs/>
          <w:sz w:val="24"/>
          <w:u w:val="single"/>
          <w:rtl/>
        </w:rPr>
        <w:t>נקודות לדיון</w:t>
      </w:r>
    </w:p>
    <w:p w:rsidR="00760F86" w:rsidRPr="00957CB3" w:rsidRDefault="002B3572" w:rsidP="00731D34">
      <w:pPr>
        <w:rPr>
          <w:rFonts w:cs="David"/>
          <w:sz w:val="24"/>
          <w:rtl/>
        </w:rPr>
      </w:pPr>
      <w:r w:rsidRPr="00957CB3">
        <w:rPr>
          <w:rFonts w:cs="David" w:hint="cs"/>
          <w:b/>
          <w:bCs/>
          <w:sz w:val="24"/>
          <w:rtl/>
        </w:rPr>
        <w:t>גבייה בתקופה שמתום פקיעת הוראת השעה ועד לתיקון המוצע</w:t>
      </w:r>
      <w:r w:rsidRPr="00957CB3">
        <w:rPr>
          <w:rFonts w:cs="David" w:hint="cs"/>
          <w:sz w:val="24"/>
          <w:rtl/>
        </w:rPr>
        <w:t xml:space="preserve"> </w:t>
      </w:r>
      <w:r w:rsidRPr="00957CB3">
        <w:rPr>
          <w:rFonts w:cs="David"/>
          <w:sz w:val="24"/>
          <w:rtl/>
        </w:rPr>
        <w:t>–</w:t>
      </w:r>
      <w:r w:rsidRPr="00957CB3">
        <w:rPr>
          <w:rFonts w:cs="David" w:hint="cs"/>
          <w:sz w:val="24"/>
          <w:rtl/>
        </w:rPr>
        <w:t xml:space="preserve"> כיצד </w:t>
      </w:r>
      <w:r w:rsidR="00760F86" w:rsidRPr="00957CB3">
        <w:rPr>
          <w:rFonts w:cs="David" w:hint="cs"/>
          <w:sz w:val="24"/>
          <w:rtl/>
        </w:rPr>
        <w:t xml:space="preserve">מערכת ההוצאה לפועל </w:t>
      </w:r>
      <w:r w:rsidR="00731D34">
        <w:rPr>
          <w:rFonts w:cs="David" w:hint="cs"/>
          <w:sz w:val="24"/>
          <w:rtl/>
        </w:rPr>
        <w:t>מתכננת</w:t>
      </w:r>
      <w:r w:rsidR="00760F86" w:rsidRPr="00957CB3">
        <w:rPr>
          <w:rFonts w:cs="David" w:hint="cs"/>
          <w:sz w:val="24"/>
          <w:rtl/>
        </w:rPr>
        <w:t xml:space="preserve"> להתנהל בתקופה שמתום הוראת השעה </w:t>
      </w:r>
      <w:r w:rsidR="00957CB3" w:rsidRPr="00957CB3">
        <w:rPr>
          <w:rFonts w:cs="David" w:hint="cs"/>
          <w:sz w:val="24"/>
          <w:rtl/>
        </w:rPr>
        <w:t xml:space="preserve">(30 ביוני 2015) </w:t>
      </w:r>
      <w:r w:rsidR="00760F86" w:rsidRPr="00957CB3">
        <w:rPr>
          <w:rFonts w:cs="David" w:hint="cs"/>
          <w:sz w:val="24"/>
          <w:rtl/>
        </w:rPr>
        <w:t xml:space="preserve">ועד </w:t>
      </w:r>
      <w:r w:rsidR="00957CB3" w:rsidRPr="00957CB3">
        <w:rPr>
          <w:rFonts w:cs="David" w:hint="cs"/>
          <w:sz w:val="24"/>
          <w:rtl/>
        </w:rPr>
        <w:t>תחילתו של ה</w:t>
      </w:r>
      <w:r w:rsidR="00760F86" w:rsidRPr="00957CB3">
        <w:rPr>
          <w:rFonts w:cs="David" w:hint="cs"/>
          <w:sz w:val="24"/>
          <w:rtl/>
        </w:rPr>
        <w:t xml:space="preserve">תיקון המוצע? האם הגבייה תיעשה לפי 3 ₪ לכל צילום החל בעמוד הראשון, או לפי 30 אגורות לצילום החל בעמוד ה-30? </w:t>
      </w:r>
    </w:p>
    <w:sectPr w:rsidR="00760F86" w:rsidRPr="00957CB3" w:rsidSect="00E027C0">
      <w:pgSz w:w="11906" w:h="16838"/>
      <w:pgMar w:top="1247" w:right="1701" w:bottom="1247" w:left="1701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B84" w:rsidRDefault="00482B84" w:rsidP="00482B84">
      <w:pPr>
        <w:spacing w:line="240" w:lineRule="auto"/>
      </w:pPr>
      <w:r>
        <w:separator/>
      </w:r>
    </w:p>
  </w:endnote>
  <w:endnote w:type="continuationSeparator" w:id="0">
    <w:p w:rsidR="00482B84" w:rsidRDefault="00482B84" w:rsidP="00482B8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FrankRuehl">
    <w:panose1 w:val="020E0503060101010101"/>
    <w:charset w:val="B1"/>
    <w:family w:val="swiss"/>
    <w:pitch w:val="variable"/>
    <w:sig w:usb0="00000801" w:usb1="00000000" w:usb2="00000000" w:usb3="00000000" w:csb0="0000002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B84" w:rsidRDefault="00482B84" w:rsidP="00482B84">
      <w:pPr>
        <w:spacing w:line="240" w:lineRule="auto"/>
      </w:pPr>
      <w:r>
        <w:separator/>
      </w:r>
    </w:p>
  </w:footnote>
  <w:footnote w:type="continuationSeparator" w:id="0">
    <w:p w:rsidR="00482B84" w:rsidRDefault="00482B84" w:rsidP="00482B84">
      <w:pPr>
        <w:spacing w:line="240" w:lineRule="auto"/>
      </w:pPr>
      <w:r>
        <w:continuationSeparator/>
      </w:r>
    </w:p>
  </w:footnote>
  <w:footnote w:id="1">
    <w:p w:rsidR="004A70E3" w:rsidRDefault="004A70E3" w:rsidP="004A70E3">
      <w:pPr>
        <w:pStyle w:val="a5"/>
        <w:rPr>
          <w:rtl/>
        </w:rPr>
      </w:pPr>
      <w:r>
        <w:rPr>
          <w:rStyle w:val="a7"/>
        </w:rPr>
        <w:footnoteRef/>
      </w:r>
      <w:r>
        <w:rPr>
          <w:rtl/>
        </w:rPr>
        <w:t xml:space="preserve"> </w:t>
      </w:r>
      <w:r w:rsidRPr="004A70E3">
        <w:rPr>
          <w:rFonts w:cs="David" w:hint="cs"/>
          <w:rtl/>
        </w:rPr>
        <w:t xml:space="preserve">ת"צ 17846-10-10 </w:t>
      </w:r>
      <w:r w:rsidRPr="004A70E3">
        <w:rPr>
          <w:rFonts w:cs="David" w:hint="cs"/>
          <w:b/>
          <w:bCs/>
          <w:rtl/>
        </w:rPr>
        <w:t>קישון ואח' נ' רשות האכיפה והגביה</w:t>
      </w:r>
      <w:r>
        <w:rPr>
          <w:rFonts w:cs="David" w:hint="cs"/>
          <w:rtl/>
        </w:rPr>
        <w:t xml:space="preserve"> (אפריל 2013).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955"/>
    <w:rsid w:val="000101A4"/>
    <w:rsid w:val="00022429"/>
    <w:rsid w:val="00045A4F"/>
    <w:rsid w:val="00074D8D"/>
    <w:rsid w:val="000D705E"/>
    <w:rsid w:val="000D77BA"/>
    <w:rsid w:val="000F44F7"/>
    <w:rsid w:val="001051B1"/>
    <w:rsid w:val="0010560D"/>
    <w:rsid w:val="00117D9B"/>
    <w:rsid w:val="0012648F"/>
    <w:rsid w:val="00146705"/>
    <w:rsid w:val="001734B7"/>
    <w:rsid w:val="001760AE"/>
    <w:rsid w:val="00193105"/>
    <w:rsid w:val="001C298E"/>
    <w:rsid w:val="00214028"/>
    <w:rsid w:val="00225BCB"/>
    <w:rsid w:val="0023695B"/>
    <w:rsid w:val="0025392C"/>
    <w:rsid w:val="0027545C"/>
    <w:rsid w:val="002A2AC7"/>
    <w:rsid w:val="002B316E"/>
    <w:rsid w:val="002B3572"/>
    <w:rsid w:val="002E075E"/>
    <w:rsid w:val="002E1A58"/>
    <w:rsid w:val="002E330E"/>
    <w:rsid w:val="002F114D"/>
    <w:rsid w:val="00305783"/>
    <w:rsid w:val="003127FB"/>
    <w:rsid w:val="0031479B"/>
    <w:rsid w:val="00316047"/>
    <w:rsid w:val="00347527"/>
    <w:rsid w:val="003870A7"/>
    <w:rsid w:val="003A034B"/>
    <w:rsid w:val="003A1892"/>
    <w:rsid w:val="003D59E8"/>
    <w:rsid w:val="003D7755"/>
    <w:rsid w:val="003F6273"/>
    <w:rsid w:val="00435F19"/>
    <w:rsid w:val="00460712"/>
    <w:rsid w:val="00464E15"/>
    <w:rsid w:val="004820B9"/>
    <w:rsid w:val="00482B84"/>
    <w:rsid w:val="004930FB"/>
    <w:rsid w:val="004943E8"/>
    <w:rsid w:val="004A70E3"/>
    <w:rsid w:val="004B326B"/>
    <w:rsid w:val="004B3295"/>
    <w:rsid w:val="004C26D6"/>
    <w:rsid w:val="004E77C6"/>
    <w:rsid w:val="0052625D"/>
    <w:rsid w:val="00533EF0"/>
    <w:rsid w:val="005623A6"/>
    <w:rsid w:val="005657F4"/>
    <w:rsid w:val="00571534"/>
    <w:rsid w:val="005855F1"/>
    <w:rsid w:val="005D1B39"/>
    <w:rsid w:val="00603382"/>
    <w:rsid w:val="00603873"/>
    <w:rsid w:val="00626942"/>
    <w:rsid w:val="00647C57"/>
    <w:rsid w:val="006531AD"/>
    <w:rsid w:val="0065332C"/>
    <w:rsid w:val="00677399"/>
    <w:rsid w:val="00681E9C"/>
    <w:rsid w:val="006B2955"/>
    <w:rsid w:val="006B29D3"/>
    <w:rsid w:val="006F12FC"/>
    <w:rsid w:val="00701C6E"/>
    <w:rsid w:val="00731D34"/>
    <w:rsid w:val="00752C6E"/>
    <w:rsid w:val="00760F86"/>
    <w:rsid w:val="00771A61"/>
    <w:rsid w:val="007C6C73"/>
    <w:rsid w:val="007D645E"/>
    <w:rsid w:val="007E22D6"/>
    <w:rsid w:val="007F0591"/>
    <w:rsid w:val="008244EB"/>
    <w:rsid w:val="008347B5"/>
    <w:rsid w:val="00835CF9"/>
    <w:rsid w:val="00851323"/>
    <w:rsid w:val="008541C7"/>
    <w:rsid w:val="00866C5A"/>
    <w:rsid w:val="00883D41"/>
    <w:rsid w:val="00884810"/>
    <w:rsid w:val="008930F0"/>
    <w:rsid w:val="008A6C10"/>
    <w:rsid w:val="008E0D12"/>
    <w:rsid w:val="009011AF"/>
    <w:rsid w:val="00913855"/>
    <w:rsid w:val="00921349"/>
    <w:rsid w:val="00934F85"/>
    <w:rsid w:val="00944ED6"/>
    <w:rsid w:val="00945CDB"/>
    <w:rsid w:val="00957CB3"/>
    <w:rsid w:val="00982993"/>
    <w:rsid w:val="00990FEA"/>
    <w:rsid w:val="009941F8"/>
    <w:rsid w:val="009B685A"/>
    <w:rsid w:val="009E0359"/>
    <w:rsid w:val="009F3074"/>
    <w:rsid w:val="00A013E1"/>
    <w:rsid w:val="00A201B2"/>
    <w:rsid w:val="00A35EC0"/>
    <w:rsid w:val="00A65CD0"/>
    <w:rsid w:val="00A701CB"/>
    <w:rsid w:val="00A74A0B"/>
    <w:rsid w:val="00AA7B10"/>
    <w:rsid w:val="00AB12CF"/>
    <w:rsid w:val="00AD2C6E"/>
    <w:rsid w:val="00AD67A1"/>
    <w:rsid w:val="00AE18E2"/>
    <w:rsid w:val="00AF1B00"/>
    <w:rsid w:val="00B45CC9"/>
    <w:rsid w:val="00B83CA3"/>
    <w:rsid w:val="00BA6134"/>
    <w:rsid w:val="00BD30E1"/>
    <w:rsid w:val="00BD36B7"/>
    <w:rsid w:val="00BF1E25"/>
    <w:rsid w:val="00C05332"/>
    <w:rsid w:val="00C1230A"/>
    <w:rsid w:val="00C210DD"/>
    <w:rsid w:val="00C35E69"/>
    <w:rsid w:val="00C3604B"/>
    <w:rsid w:val="00C423BD"/>
    <w:rsid w:val="00C64C79"/>
    <w:rsid w:val="00C8149E"/>
    <w:rsid w:val="00C9772D"/>
    <w:rsid w:val="00CB088B"/>
    <w:rsid w:val="00D0763B"/>
    <w:rsid w:val="00D10824"/>
    <w:rsid w:val="00D41327"/>
    <w:rsid w:val="00D74012"/>
    <w:rsid w:val="00D90B29"/>
    <w:rsid w:val="00DC49E7"/>
    <w:rsid w:val="00DE3203"/>
    <w:rsid w:val="00DF2376"/>
    <w:rsid w:val="00DF2E23"/>
    <w:rsid w:val="00DF361A"/>
    <w:rsid w:val="00E027C0"/>
    <w:rsid w:val="00E0614D"/>
    <w:rsid w:val="00E16746"/>
    <w:rsid w:val="00E47EC7"/>
    <w:rsid w:val="00E80032"/>
    <w:rsid w:val="00EC1035"/>
    <w:rsid w:val="00EE5678"/>
    <w:rsid w:val="00F35B64"/>
    <w:rsid w:val="00F80E13"/>
    <w:rsid w:val="00FE0DFD"/>
    <w:rsid w:val="00FE1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63B"/>
    <w:pPr>
      <w:autoSpaceDE w:val="0"/>
      <w:autoSpaceDN w:val="0"/>
      <w:bidi/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">
    <w:name w:val="default"/>
    <w:rsid w:val="006B2955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6B2955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table" w:styleId="a3">
    <w:name w:val="Table Grid"/>
    <w:basedOn w:val="a1"/>
    <w:uiPriority w:val="59"/>
    <w:rsid w:val="006B2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1">
    <w:name w:val="P01"/>
    <w:basedOn w:val="P00"/>
    <w:rsid w:val="00DF2E23"/>
    <w:pPr>
      <w:ind w:right="624" w:hanging="624"/>
    </w:pPr>
    <w:rPr>
      <w:rFonts w:cs="FrankRuehl"/>
    </w:rPr>
  </w:style>
  <w:style w:type="paragraph" w:customStyle="1" w:styleId="P02">
    <w:name w:val="P02"/>
    <w:basedOn w:val="P00"/>
    <w:rsid w:val="00DF2E23"/>
    <w:pPr>
      <w:ind w:right="1021" w:hanging="1021"/>
    </w:pPr>
    <w:rPr>
      <w:rFonts w:cs="FrankRuehl"/>
    </w:rPr>
  </w:style>
  <w:style w:type="paragraph" w:customStyle="1" w:styleId="page">
    <w:name w:val="page"/>
    <w:rsid w:val="00DF2E23"/>
    <w:pPr>
      <w:widowControl w:val="0"/>
      <w:autoSpaceDE w:val="0"/>
      <w:autoSpaceDN w:val="0"/>
      <w:bidi/>
      <w:spacing w:after="0" w:line="240" w:lineRule="auto"/>
    </w:pPr>
    <w:rPr>
      <w:rFonts w:ascii="Times New Roman" w:eastAsia="Times New Roman" w:hAnsi="Times New Roman" w:cs="David"/>
      <w:noProof/>
      <w:position w:val="4"/>
      <w:sz w:val="20"/>
      <w:lang w:eastAsia="he-IL"/>
    </w:rPr>
  </w:style>
  <w:style w:type="paragraph" w:styleId="a4">
    <w:name w:val="List Paragraph"/>
    <w:basedOn w:val="a"/>
    <w:uiPriority w:val="34"/>
    <w:qFormat/>
    <w:rsid w:val="00C64C79"/>
    <w:pPr>
      <w:ind w:left="720"/>
      <w:contextualSpacing/>
    </w:pPr>
  </w:style>
  <w:style w:type="character" w:customStyle="1" w:styleId="big-number">
    <w:name w:val="big-number"/>
    <w:basedOn w:val="default"/>
    <w:rsid w:val="003D59E8"/>
    <w:rPr>
      <w:rFonts w:ascii="Times New Roman" w:hAnsi="Times New Roman" w:cs="Times New Roman"/>
      <w:sz w:val="32"/>
      <w:szCs w:val="32"/>
    </w:rPr>
  </w:style>
  <w:style w:type="paragraph" w:customStyle="1" w:styleId="big-header">
    <w:name w:val="big-header"/>
    <w:basedOn w:val="a"/>
    <w:rsid w:val="00482B84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spacing w:before="440" w:after="120" w:line="240" w:lineRule="auto"/>
      <w:ind w:left="2835"/>
      <w:jc w:val="center"/>
    </w:pPr>
    <w:rPr>
      <w:rFonts w:cs="FrankRuehl"/>
      <w:noProof/>
      <w:sz w:val="20"/>
      <w:szCs w:val="32"/>
    </w:rPr>
  </w:style>
  <w:style w:type="paragraph" w:customStyle="1" w:styleId="footnote">
    <w:name w:val="footnote"/>
    <w:basedOn w:val="P00"/>
    <w:rsid w:val="00482B84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</w:tabs>
      <w:spacing w:before="0"/>
    </w:pPr>
    <w:rPr>
      <w:rFonts w:cs="FrankRuehl"/>
      <w:sz w:val="22"/>
      <w:szCs w:val="22"/>
    </w:rPr>
  </w:style>
  <w:style w:type="character" w:styleId="Hyperlink">
    <w:name w:val="Hyperlink"/>
    <w:rsid w:val="00482B84"/>
    <w:rPr>
      <w:color w:val="0000FF"/>
      <w:u w:val="single"/>
    </w:rPr>
  </w:style>
  <w:style w:type="paragraph" w:styleId="a5">
    <w:name w:val="footnote text"/>
    <w:basedOn w:val="a"/>
    <w:link w:val="a6"/>
    <w:unhideWhenUsed/>
    <w:rsid w:val="00347527"/>
    <w:pPr>
      <w:spacing w:line="240" w:lineRule="auto"/>
    </w:pPr>
    <w:rPr>
      <w:sz w:val="20"/>
      <w:szCs w:val="20"/>
    </w:rPr>
  </w:style>
  <w:style w:type="character" w:customStyle="1" w:styleId="a6">
    <w:name w:val="טקסט הערת שוליים תו"/>
    <w:basedOn w:val="a0"/>
    <w:link w:val="a5"/>
    <w:rsid w:val="00347527"/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styleId="a7">
    <w:name w:val="footnote reference"/>
    <w:aliases w:val="Footnote Reference"/>
    <w:basedOn w:val="a0"/>
    <w:unhideWhenUsed/>
    <w:rsid w:val="00347527"/>
    <w:rPr>
      <w:vertAlign w:val="superscript"/>
    </w:rPr>
  </w:style>
  <w:style w:type="paragraph" w:customStyle="1" w:styleId="P22">
    <w:name w:val="P22"/>
    <w:basedOn w:val="P00"/>
    <w:rsid w:val="00DF361A"/>
    <w:pPr>
      <w:tabs>
        <w:tab w:val="clear" w:pos="624"/>
        <w:tab w:val="clear" w:pos="1021"/>
      </w:tabs>
      <w:ind w:right="1021"/>
    </w:pPr>
  </w:style>
  <w:style w:type="paragraph" w:customStyle="1" w:styleId="TableText">
    <w:name w:val="Table Text"/>
    <w:basedOn w:val="a"/>
    <w:rsid w:val="00A013E1"/>
    <w:pPr>
      <w:keepLines/>
      <w:widowControl w:val="0"/>
      <w:tabs>
        <w:tab w:val="left" w:pos="624"/>
        <w:tab w:val="left" w:pos="1247"/>
      </w:tabs>
      <w:adjustRightInd w:val="0"/>
      <w:snapToGrid w:val="0"/>
      <w:ind w:right="57"/>
      <w:jc w:val="left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A013E1"/>
  </w:style>
  <w:style w:type="paragraph" w:customStyle="1" w:styleId="TableBlock">
    <w:name w:val="Table Block"/>
    <w:basedOn w:val="TableText"/>
    <w:rsid w:val="00A013E1"/>
    <w:pPr>
      <w:ind w:right="0"/>
      <w:jc w:val="both"/>
    </w:pPr>
  </w:style>
  <w:style w:type="paragraph" w:customStyle="1" w:styleId="TableInnerSideHeading">
    <w:name w:val="Table InnerSideHeading"/>
    <w:basedOn w:val="TableSideHeading"/>
    <w:uiPriority w:val="99"/>
    <w:rsid w:val="00A013E1"/>
  </w:style>
  <w:style w:type="paragraph" w:customStyle="1" w:styleId="HeadDivreiHesber">
    <w:name w:val="Head DivreiHesber"/>
    <w:basedOn w:val="a"/>
    <w:rsid w:val="004930FB"/>
    <w:pPr>
      <w:widowControl w:val="0"/>
      <w:adjustRightInd w:val="0"/>
      <w:snapToGrid w:val="0"/>
      <w:spacing w:before="360" w:after="120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63B"/>
    <w:pPr>
      <w:autoSpaceDE w:val="0"/>
      <w:autoSpaceDN w:val="0"/>
      <w:bidi/>
      <w:spacing w:after="0" w:line="360" w:lineRule="auto"/>
      <w:jc w:val="both"/>
    </w:pPr>
    <w:rPr>
      <w:rFonts w:ascii="Times New Roman" w:eastAsia="Times New Roman" w:hAnsi="Times New Roman" w:cs="Times New Roman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efault">
    <w:name w:val="default"/>
    <w:rsid w:val="006B2955"/>
    <w:rPr>
      <w:rFonts w:ascii="Times New Roman" w:hAnsi="Times New Roman" w:cs="Times New Roman"/>
      <w:sz w:val="26"/>
      <w:szCs w:val="26"/>
    </w:rPr>
  </w:style>
  <w:style w:type="paragraph" w:customStyle="1" w:styleId="P00">
    <w:name w:val="P00"/>
    <w:rsid w:val="006B2955"/>
    <w:pPr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  <w:tab w:val="right" w:leader="dot" w:pos="6259"/>
      </w:tabs>
      <w:suppressAutoHyphens/>
      <w:autoSpaceDE w:val="0"/>
      <w:autoSpaceDN w:val="0"/>
      <w:bidi/>
      <w:spacing w:before="60" w:after="0" w:line="240" w:lineRule="auto"/>
      <w:ind w:left="2835"/>
      <w:jc w:val="both"/>
    </w:pPr>
    <w:rPr>
      <w:rFonts w:ascii="Times New Roman" w:eastAsia="Times New Roman" w:hAnsi="Times New Roman" w:cs="Times New Roman"/>
      <w:noProof/>
      <w:sz w:val="20"/>
      <w:szCs w:val="26"/>
      <w:lang w:eastAsia="he-IL"/>
    </w:rPr>
  </w:style>
  <w:style w:type="table" w:styleId="a3">
    <w:name w:val="Table Grid"/>
    <w:basedOn w:val="a1"/>
    <w:uiPriority w:val="59"/>
    <w:rsid w:val="006B29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01">
    <w:name w:val="P01"/>
    <w:basedOn w:val="P00"/>
    <w:rsid w:val="00DF2E23"/>
    <w:pPr>
      <w:ind w:right="624" w:hanging="624"/>
    </w:pPr>
    <w:rPr>
      <w:rFonts w:cs="FrankRuehl"/>
    </w:rPr>
  </w:style>
  <w:style w:type="paragraph" w:customStyle="1" w:styleId="P02">
    <w:name w:val="P02"/>
    <w:basedOn w:val="P00"/>
    <w:rsid w:val="00DF2E23"/>
    <w:pPr>
      <w:ind w:right="1021" w:hanging="1021"/>
    </w:pPr>
    <w:rPr>
      <w:rFonts w:cs="FrankRuehl"/>
    </w:rPr>
  </w:style>
  <w:style w:type="paragraph" w:customStyle="1" w:styleId="page">
    <w:name w:val="page"/>
    <w:rsid w:val="00DF2E23"/>
    <w:pPr>
      <w:widowControl w:val="0"/>
      <w:autoSpaceDE w:val="0"/>
      <w:autoSpaceDN w:val="0"/>
      <w:bidi/>
      <w:spacing w:after="0" w:line="240" w:lineRule="auto"/>
    </w:pPr>
    <w:rPr>
      <w:rFonts w:ascii="Times New Roman" w:eastAsia="Times New Roman" w:hAnsi="Times New Roman" w:cs="David"/>
      <w:noProof/>
      <w:position w:val="4"/>
      <w:sz w:val="20"/>
      <w:lang w:eastAsia="he-IL"/>
    </w:rPr>
  </w:style>
  <w:style w:type="paragraph" w:styleId="a4">
    <w:name w:val="List Paragraph"/>
    <w:basedOn w:val="a"/>
    <w:uiPriority w:val="34"/>
    <w:qFormat/>
    <w:rsid w:val="00C64C79"/>
    <w:pPr>
      <w:ind w:left="720"/>
      <w:contextualSpacing/>
    </w:pPr>
  </w:style>
  <w:style w:type="character" w:customStyle="1" w:styleId="big-number">
    <w:name w:val="big-number"/>
    <w:basedOn w:val="default"/>
    <w:rsid w:val="003D59E8"/>
    <w:rPr>
      <w:rFonts w:ascii="Times New Roman" w:hAnsi="Times New Roman" w:cs="Times New Roman"/>
      <w:sz w:val="32"/>
      <w:szCs w:val="32"/>
    </w:rPr>
  </w:style>
  <w:style w:type="paragraph" w:customStyle="1" w:styleId="big-header">
    <w:name w:val="big-header"/>
    <w:basedOn w:val="a"/>
    <w:rsid w:val="00482B84"/>
    <w:pPr>
      <w:keepNext/>
      <w:keepLines/>
      <w:widowControl w:val="0"/>
      <w:tabs>
        <w:tab w:val="left" w:pos="624"/>
        <w:tab w:val="left" w:pos="1021"/>
        <w:tab w:val="left" w:pos="1474"/>
        <w:tab w:val="left" w:pos="1928"/>
        <w:tab w:val="left" w:pos="2381"/>
        <w:tab w:val="left" w:pos="2835"/>
      </w:tabs>
      <w:suppressAutoHyphens/>
      <w:spacing w:before="440" w:after="120" w:line="240" w:lineRule="auto"/>
      <w:ind w:left="2835"/>
      <w:jc w:val="center"/>
    </w:pPr>
    <w:rPr>
      <w:rFonts w:cs="FrankRuehl"/>
      <w:noProof/>
      <w:sz w:val="20"/>
      <w:szCs w:val="32"/>
    </w:rPr>
  </w:style>
  <w:style w:type="paragraph" w:customStyle="1" w:styleId="footnote">
    <w:name w:val="footnote"/>
    <w:basedOn w:val="P00"/>
    <w:rsid w:val="00482B84"/>
    <w:pPr>
      <w:tabs>
        <w:tab w:val="clear" w:pos="624"/>
        <w:tab w:val="clear" w:pos="1021"/>
        <w:tab w:val="clear" w:pos="1474"/>
        <w:tab w:val="clear" w:pos="1928"/>
        <w:tab w:val="clear" w:pos="2381"/>
        <w:tab w:val="clear" w:pos="2835"/>
        <w:tab w:val="clear" w:pos="6259"/>
      </w:tabs>
      <w:spacing w:before="0"/>
    </w:pPr>
    <w:rPr>
      <w:rFonts w:cs="FrankRuehl"/>
      <w:sz w:val="22"/>
      <w:szCs w:val="22"/>
    </w:rPr>
  </w:style>
  <w:style w:type="character" w:styleId="Hyperlink">
    <w:name w:val="Hyperlink"/>
    <w:rsid w:val="00482B84"/>
    <w:rPr>
      <w:color w:val="0000FF"/>
      <w:u w:val="single"/>
    </w:rPr>
  </w:style>
  <w:style w:type="paragraph" w:styleId="a5">
    <w:name w:val="footnote text"/>
    <w:basedOn w:val="a"/>
    <w:link w:val="a6"/>
    <w:unhideWhenUsed/>
    <w:rsid w:val="00347527"/>
    <w:pPr>
      <w:spacing w:line="240" w:lineRule="auto"/>
    </w:pPr>
    <w:rPr>
      <w:sz w:val="20"/>
      <w:szCs w:val="20"/>
    </w:rPr>
  </w:style>
  <w:style w:type="character" w:customStyle="1" w:styleId="a6">
    <w:name w:val="טקסט הערת שוליים תו"/>
    <w:basedOn w:val="a0"/>
    <w:link w:val="a5"/>
    <w:rsid w:val="00347527"/>
    <w:rPr>
      <w:rFonts w:ascii="Times New Roman" w:eastAsia="Times New Roman" w:hAnsi="Times New Roman" w:cs="Times New Roman"/>
      <w:sz w:val="20"/>
      <w:szCs w:val="20"/>
      <w:lang w:eastAsia="he-IL"/>
    </w:rPr>
  </w:style>
  <w:style w:type="character" w:styleId="a7">
    <w:name w:val="footnote reference"/>
    <w:aliases w:val="Footnote Reference"/>
    <w:basedOn w:val="a0"/>
    <w:unhideWhenUsed/>
    <w:rsid w:val="00347527"/>
    <w:rPr>
      <w:vertAlign w:val="superscript"/>
    </w:rPr>
  </w:style>
  <w:style w:type="paragraph" w:customStyle="1" w:styleId="P22">
    <w:name w:val="P22"/>
    <w:basedOn w:val="P00"/>
    <w:rsid w:val="00DF361A"/>
    <w:pPr>
      <w:tabs>
        <w:tab w:val="clear" w:pos="624"/>
        <w:tab w:val="clear" w:pos="1021"/>
      </w:tabs>
      <w:ind w:right="1021"/>
    </w:pPr>
  </w:style>
  <w:style w:type="paragraph" w:customStyle="1" w:styleId="TableText">
    <w:name w:val="Table Text"/>
    <w:basedOn w:val="a"/>
    <w:rsid w:val="00A013E1"/>
    <w:pPr>
      <w:keepLines/>
      <w:widowControl w:val="0"/>
      <w:tabs>
        <w:tab w:val="left" w:pos="624"/>
        <w:tab w:val="left" w:pos="1247"/>
      </w:tabs>
      <w:adjustRightInd w:val="0"/>
      <w:snapToGrid w:val="0"/>
      <w:ind w:right="57"/>
      <w:jc w:val="left"/>
      <w:textAlignment w:val="center"/>
    </w:pPr>
    <w:rPr>
      <w:rFonts w:ascii="Arial" w:eastAsia="Arial Unicode MS" w:hAnsi="Arial" w:cs="David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A013E1"/>
  </w:style>
  <w:style w:type="paragraph" w:customStyle="1" w:styleId="TableBlock">
    <w:name w:val="Table Block"/>
    <w:basedOn w:val="TableText"/>
    <w:rsid w:val="00A013E1"/>
    <w:pPr>
      <w:ind w:right="0"/>
      <w:jc w:val="both"/>
    </w:pPr>
  </w:style>
  <w:style w:type="paragraph" w:customStyle="1" w:styleId="TableInnerSideHeading">
    <w:name w:val="Table InnerSideHeading"/>
    <w:basedOn w:val="TableSideHeading"/>
    <w:uiPriority w:val="99"/>
    <w:rsid w:val="00A013E1"/>
  </w:style>
  <w:style w:type="paragraph" w:customStyle="1" w:styleId="HeadDivreiHesber">
    <w:name w:val="Head DivreiHesber"/>
    <w:basedOn w:val="a"/>
    <w:rsid w:val="004930FB"/>
    <w:pPr>
      <w:widowControl w:val="0"/>
      <w:adjustRightInd w:val="0"/>
      <w:snapToGrid w:val="0"/>
      <w:spacing w:before="360" w:after="120"/>
      <w:jc w:val="center"/>
      <w:textAlignment w:val="center"/>
    </w:pPr>
    <w:rPr>
      <w:rFonts w:ascii="Arial" w:eastAsia="Arial Unicode MS" w:hAnsi="Arial" w:cs="David"/>
      <w:b/>
      <w:snapToGrid w:val="0"/>
      <w:color w:val="000000"/>
      <w:spacing w:val="4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97EE03B-3FED-4B80-BBDE-4D6022C7BFEA}"/>
</file>

<file path=customXml/itemProps2.xml><?xml version="1.0" encoding="utf-8"?>
<ds:datastoreItem xmlns:ds="http://schemas.openxmlformats.org/officeDocument/2006/customXml" ds:itemID="{74F53A45-908A-44AB-959D-33BF590AF846}"/>
</file>

<file path=customXml/itemProps3.xml><?xml version="1.0" encoding="utf-8"?>
<ds:datastoreItem xmlns:ds="http://schemas.openxmlformats.org/officeDocument/2006/customXml" ds:itemID="{A6258CFC-761D-4546-8465-1E2C7314CDF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344</Words>
  <Characters>1722</Characters>
  <Application>Microsoft Office Word</Application>
  <DocSecurity>4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2062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אלעזר שטרן</dc:creator>
  <cp:lastModifiedBy>עידן פז</cp:lastModifiedBy>
  <cp:revision>2</cp:revision>
  <dcterms:created xsi:type="dcterms:W3CDTF">2015-07-02T06:43:00Z</dcterms:created>
  <dcterms:modified xsi:type="dcterms:W3CDTF">2015-07-02T06:43:00Z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