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A35" w:rsidRPr="00F0048F" w:rsidRDefault="00796337" w:rsidP="000D775F">
      <w:pPr>
        <w:spacing w:line="240" w:lineRule="auto"/>
        <w:rPr>
          <w:rFonts w:cs="David" w:hint="cs"/>
          <w:color w:val="0070C0"/>
          <w:sz w:val="24"/>
          <w:rtl/>
        </w:rPr>
      </w:pPr>
      <w:bookmarkStart w:id="0" w:name="_GoBack"/>
      <w:bookmarkEnd w:id="0"/>
    </w:p>
    <w:p w:rsidR="00EE2FDA" w:rsidRPr="0084484D" w:rsidRDefault="00F0048F" w:rsidP="0084484D">
      <w:pPr>
        <w:spacing w:line="240" w:lineRule="auto"/>
        <w:jc w:val="right"/>
        <w:rPr>
          <w:rFonts w:ascii="David" w:hAnsi="David" w:cs="David"/>
          <w:szCs w:val="22"/>
          <w:rtl/>
        </w:rPr>
      </w:pPr>
      <w:r w:rsidRPr="0084484D">
        <w:rPr>
          <w:rFonts w:ascii="David" w:hAnsi="David" w:cs="David" w:hint="cs"/>
          <w:szCs w:val="22"/>
          <w:rtl/>
        </w:rPr>
        <w:t>י</w:t>
      </w:r>
      <w:r w:rsidR="00EE2FDA" w:rsidRPr="0084484D">
        <w:rPr>
          <w:rFonts w:ascii="David" w:hAnsi="David" w:cs="David" w:hint="cs"/>
          <w:szCs w:val="22"/>
          <w:rtl/>
        </w:rPr>
        <w:t>"</w:t>
      </w:r>
      <w:r w:rsidR="0084484D" w:rsidRPr="0084484D">
        <w:rPr>
          <w:rFonts w:ascii="David" w:hAnsi="David" w:cs="David" w:hint="cs"/>
          <w:szCs w:val="22"/>
          <w:rtl/>
        </w:rPr>
        <w:t>ח</w:t>
      </w:r>
      <w:r w:rsidR="00EE2FDA" w:rsidRPr="0084484D">
        <w:rPr>
          <w:rFonts w:ascii="David" w:hAnsi="David" w:cs="David" w:hint="cs"/>
          <w:szCs w:val="22"/>
          <w:rtl/>
        </w:rPr>
        <w:t xml:space="preserve"> ב</w:t>
      </w:r>
      <w:r w:rsidRPr="0084484D">
        <w:rPr>
          <w:rFonts w:ascii="David" w:hAnsi="David" w:cs="David" w:hint="cs"/>
          <w:szCs w:val="22"/>
          <w:rtl/>
        </w:rPr>
        <w:t>כסלו</w:t>
      </w:r>
      <w:r w:rsidR="00EE2FDA" w:rsidRPr="0084484D">
        <w:rPr>
          <w:rFonts w:ascii="David" w:hAnsi="David" w:cs="David" w:hint="cs"/>
          <w:szCs w:val="22"/>
          <w:rtl/>
        </w:rPr>
        <w:t xml:space="preserve"> התשע"ו</w:t>
      </w:r>
    </w:p>
    <w:p w:rsidR="00EE2FDA" w:rsidRPr="0084484D" w:rsidRDefault="0084484D" w:rsidP="0084484D">
      <w:pPr>
        <w:spacing w:line="240" w:lineRule="auto"/>
        <w:jc w:val="right"/>
        <w:rPr>
          <w:rFonts w:ascii="David" w:hAnsi="David" w:cs="David"/>
          <w:szCs w:val="22"/>
          <w:rtl/>
        </w:rPr>
      </w:pPr>
      <w:r w:rsidRPr="0084484D">
        <w:rPr>
          <w:rFonts w:ascii="David" w:hAnsi="David" w:cs="David" w:hint="cs"/>
          <w:szCs w:val="22"/>
          <w:rtl/>
        </w:rPr>
        <w:t>30 בנובמבר</w:t>
      </w:r>
      <w:r w:rsidR="00EE2FDA" w:rsidRPr="0084484D">
        <w:rPr>
          <w:rFonts w:ascii="David" w:hAnsi="David" w:cs="David" w:hint="cs"/>
          <w:szCs w:val="22"/>
          <w:rtl/>
        </w:rPr>
        <w:t xml:space="preserve"> 2015</w:t>
      </w:r>
    </w:p>
    <w:p w:rsidR="00FC2122" w:rsidRPr="0084484D" w:rsidRDefault="00FC2122" w:rsidP="00EE2FDA">
      <w:pPr>
        <w:spacing w:line="240" w:lineRule="auto"/>
        <w:rPr>
          <w:rFonts w:cs="David"/>
          <w:u w:val="single"/>
          <w:rtl/>
        </w:rPr>
      </w:pPr>
    </w:p>
    <w:p w:rsidR="00EE2FDA" w:rsidRPr="0084484D" w:rsidRDefault="00EE2FDA" w:rsidP="00EE2FDA">
      <w:pPr>
        <w:spacing w:line="240" w:lineRule="auto"/>
        <w:rPr>
          <w:rFonts w:cs="David"/>
          <w:rtl/>
        </w:rPr>
      </w:pPr>
      <w:r w:rsidRPr="0084484D">
        <w:rPr>
          <w:rFonts w:cs="David" w:hint="cs"/>
          <w:u w:val="single"/>
          <w:rtl/>
        </w:rPr>
        <w:t>אל</w:t>
      </w:r>
      <w:r w:rsidRPr="0084484D">
        <w:rPr>
          <w:rFonts w:cs="David" w:hint="cs"/>
          <w:rtl/>
        </w:rPr>
        <w:t>: חברי ועדת החוקה, חוק ומשפט</w:t>
      </w:r>
    </w:p>
    <w:p w:rsidR="00EE2FDA" w:rsidRPr="00F0048F" w:rsidRDefault="00EE2FDA" w:rsidP="00EE2FDA">
      <w:pPr>
        <w:spacing w:line="240" w:lineRule="auto"/>
        <w:rPr>
          <w:rFonts w:cs="David"/>
          <w:rtl/>
        </w:rPr>
      </w:pPr>
      <w:r w:rsidRPr="0084484D">
        <w:rPr>
          <w:rFonts w:cs="David" w:hint="cs"/>
          <w:u w:val="single"/>
          <w:rtl/>
        </w:rPr>
        <w:t>מאת</w:t>
      </w:r>
      <w:r w:rsidRPr="0084484D">
        <w:rPr>
          <w:rFonts w:cs="David" w:hint="cs"/>
          <w:rtl/>
        </w:rPr>
        <w:t>: הייעוץ המשפטי לוועדה</w:t>
      </w:r>
    </w:p>
    <w:p w:rsidR="00EE2FDA" w:rsidRPr="00F0048F" w:rsidRDefault="00EE2FDA" w:rsidP="00EE2FDA">
      <w:pPr>
        <w:spacing w:line="240" w:lineRule="auto"/>
        <w:rPr>
          <w:rFonts w:cs="David"/>
          <w:rtl/>
        </w:rPr>
      </w:pPr>
    </w:p>
    <w:p w:rsidR="00EE2FDA" w:rsidRPr="00F0048F" w:rsidRDefault="00EE2FDA" w:rsidP="00EE2FDA">
      <w:pPr>
        <w:spacing w:line="240" w:lineRule="auto"/>
        <w:rPr>
          <w:rFonts w:cs="David"/>
          <w:color w:val="0070C0"/>
          <w:rtl/>
        </w:rPr>
      </w:pPr>
    </w:p>
    <w:p w:rsidR="00EE2FDA" w:rsidRPr="00470C55" w:rsidRDefault="00EE2FDA" w:rsidP="00F0048F">
      <w:pPr>
        <w:pStyle w:val="HeadHatzaotHok"/>
        <w:spacing w:before="0" w:after="240" w:line="240" w:lineRule="auto"/>
        <w:rPr>
          <w:color w:val="auto"/>
          <w:sz w:val="28"/>
          <w:szCs w:val="28"/>
          <w:u w:val="single"/>
        </w:rPr>
      </w:pPr>
      <w:r w:rsidRPr="00470C55">
        <w:rPr>
          <w:rFonts w:hint="cs"/>
          <w:color w:val="auto"/>
          <w:sz w:val="28"/>
          <w:szCs w:val="28"/>
          <w:u w:val="single"/>
          <w:rtl/>
        </w:rPr>
        <w:t xml:space="preserve">הצעת </w:t>
      </w:r>
      <w:r w:rsidRPr="00470C55">
        <w:rPr>
          <w:color w:val="auto"/>
          <w:sz w:val="28"/>
          <w:szCs w:val="28"/>
          <w:u w:val="single"/>
          <w:rtl/>
        </w:rPr>
        <w:t xml:space="preserve">חוק </w:t>
      </w:r>
      <w:r w:rsidRPr="00470C55">
        <w:rPr>
          <w:rFonts w:hint="cs"/>
          <w:color w:val="auto"/>
          <w:sz w:val="28"/>
          <w:szCs w:val="28"/>
          <w:u w:val="single"/>
          <w:rtl/>
        </w:rPr>
        <w:t>מעמדן של ההסתדרות הציונית העולמית ושל הסוכנות היהודית לארץ-ישראל (תיקון – מעמד החטיבה להתיישבות), התשע"</w:t>
      </w:r>
      <w:r w:rsidR="00F0048F" w:rsidRPr="00470C55">
        <w:rPr>
          <w:rFonts w:hint="cs"/>
          <w:color w:val="auto"/>
          <w:sz w:val="28"/>
          <w:szCs w:val="28"/>
          <w:u w:val="single"/>
          <w:rtl/>
        </w:rPr>
        <w:t>ו</w:t>
      </w:r>
      <w:r w:rsidRPr="00470C55">
        <w:rPr>
          <w:rFonts w:hint="cs"/>
          <w:color w:val="auto"/>
          <w:sz w:val="28"/>
          <w:szCs w:val="28"/>
          <w:u w:val="single"/>
          <w:rtl/>
        </w:rPr>
        <w:t xml:space="preserve">–2015 (פ/1674/20) של ח"כ </w:t>
      </w:r>
      <w:bookmarkStart w:id="1" w:name="LGS_PM_Names"/>
      <w:r w:rsidRPr="00470C55">
        <w:rPr>
          <w:rFonts w:hint="cs"/>
          <w:color w:val="auto"/>
          <w:sz w:val="28"/>
          <w:szCs w:val="28"/>
          <w:u w:val="single"/>
          <w:rtl/>
        </w:rPr>
        <w:t>בצלאל סמוטריץ'</w:t>
      </w:r>
      <w:bookmarkEnd w:id="1"/>
    </w:p>
    <w:p w:rsidR="00E6225D" w:rsidRPr="00470C55" w:rsidRDefault="0065395E" w:rsidP="0057590D">
      <w:pPr>
        <w:spacing w:after="120" w:line="240" w:lineRule="auto"/>
        <w:rPr>
          <w:rFonts w:cs="David"/>
          <w:b/>
          <w:bCs/>
          <w:u w:val="single"/>
          <w:rtl/>
        </w:rPr>
      </w:pPr>
      <w:r w:rsidRPr="00470C55">
        <w:rPr>
          <w:rFonts w:cs="David" w:hint="cs"/>
          <w:b/>
          <w:bCs/>
          <w:u w:val="single"/>
          <w:rtl/>
        </w:rPr>
        <w:t xml:space="preserve">מעמד החטיבה להתיישבות </w:t>
      </w:r>
      <w:r w:rsidRPr="00470C55">
        <w:rPr>
          <w:rFonts w:cs="David"/>
          <w:b/>
          <w:bCs/>
          <w:u w:val="single"/>
          <w:rtl/>
        </w:rPr>
        <w:t>–</w:t>
      </w:r>
      <w:r w:rsidRPr="00470C55">
        <w:rPr>
          <w:rFonts w:cs="David" w:hint="cs"/>
          <w:b/>
          <w:bCs/>
          <w:u w:val="single"/>
          <w:rtl/>
        </w:rPr>
        <w:t xml:space="preserve"> רקע</w:t>
      </w:r>
    </w:p>
    <w:p w:rsidR="00125C5A" w:rsidRPr="001C40BB" w:rsidRDefault="00EF0DC8" w:rsidP="009B33CF">
      <w:pPr>
        <w:rPr>
          <w:rFonts w:cs="David"/>
          <w:rtl/>
        </w:rPr>
      </w:pPr>
      <w:r w:rsidRPr="00470C55">
        <w:rPr>
          <w:rFonts w:cs="David" w:hint="cs"/>
          <w:rtl/>
        </w:rPr>
        <w:t xml:space="preserve">הצעת החוק שבנדון, מבקשת להסדיר את </w:t>
      </w:r>
      <w:r w:rsidR="00EE1ACB" w:rsidRPr="00470C55">
        <w:rPr>
          <w:rFonts w:cs="David" w:hint="cs"/>
          <w:rtl/>
        </w:rPr>
        <w:t xml:space="preserve">פעילותה של החטיבה להתיישבות בהסתדרות הציונית העולמית (להלן </w:t>
      </w:r>
      <w:r w:rsidR="00EE1ACB" w:rsidRPr="00470C55">
        <w:rPr>
          <w:rFonts w:cs="David"/>
          <w:rtl/>
        </w:rPr>
        <w:t>–</w:t>
      </w:r>
      <w:r w:rsidR="00EE1ACB" w:rsidRPr="00470C55">
        <w:rPr>
          <w:rFonts w:cs="David" w:hint="cs"/>
          <w:rtl/>
        </w:rPr>
        <w:t xml:space="preserve"> החטיבה להתיישבות או החטיבה), ואת </w:t>
      </w:r>
      <w:r w:rsidRPr="00470C55">
        <w:rPr>
          <w:rFonts w:cs="David" w:hint="cs"/>
          <w:rtl/>
        </w:rPr>
        <w:t>הממשק ש</w:t>
      </w:r>
      <w:r w:rsidR="00EE1ACB" w:rsidRPr="00470C55">
        <w:rPr>
          <w:rFonts w:cs="David" w:hint="cs"/>
          <w:rtl/>
        </w:rPr>
        <w:t>בינה ל</w:t>
      </w:r>
      <w:r w:rsidRPr="00470C55">
        <w:rPr>
          <w:rFonts w:cs="David" w:hint="cs"/>
          <w:rtl/>
        </w:rPr>
        <w:t>בין ממשלת ישראל.</w:t>
      </w:r>
      <w:r w:rsidR="00EE1ACB" w:rsidRPr="00470C55">
        <w:rPr>
          <w:rFonts w:cs="David" w:hint="cs"/>
          <w:rtl/>
        </w:rPr>
        <w:t xml:space="preserve"> </w:t>
      </w:r>
      <w:r w:rsidR="00125C5A" w:rsidRPr="00470C55">
        <w:rPr>
          <w:rFonts w:cs="David" w:hint="cs"/>
          <w:rtl/>
        </w:rPr>
        <w:t>ברקע הצעת החוק עומדת חוות דעת</w:t>
      </w:r>
      <w:r w:rsidR="009A37F4" w:rsidRPr="00470C55">
        <w:rPr>
          <w:rFonts w:cs="David" w:hint="cs"/>
          <w:rtl/>
        </w:rPr>
        <w:t>ה</w:t>
      </w:r>
      <w:r w:rsidR="00125C5A" w:rsidRPr="00470C55">
        <w:rPr>
          <w:rFonts w:cs="David" w:hint="cs"/>
          <w:rtl/>
        </w:rPr>
        <w:t xml:space="preserve"> של המשנה ליועץ המשפטי לממשלה</w:t>
      </w:r>
      <w:r w:rsidR="00A529E7">
        <w:rPr>
          <w:rFonts w:cs="David" w:hint="cs"/>
          <w:rtl/>
        </w:rPr>
        <w:t xml:space="preserve"> (ייעוץ)</w:t>
      </w:r>
      <w:r w:rsidR="00125C5A" w:rsidRPr="00470C55">
        <w:rPr>
          <w:rFonts w:cs="David" w:hint="cs"/>
          <w:rtl/>
        </w:rPr>
        <w:t xml:space="preserve"> (להלן </w:t>
      </w:r>
      <w:r w:rsidR="00125C5A" w:rsidRPr="00470C55">
        <w:rPr>
          <w:rFonts w:cs="David"/>
          <w:rtl/>
        </w:rPr>
        <w:t>–</w:t>
      </w:r>
      <w:r w:rsidR="00125C5A" w:rsidRPr="00470C55">
        <w:rPr>
          <w:rFonts w:cs="David" w:hint="cs"/>
          <w:rtl/>
        </w:rPr>
        <w:t xml:space="preserve"> חוות הדעת), שהצביעה על קשיים </w:t>
      </w:r>
      <w:r w:rsidR="00EE1ACB" w:rsidRPr="00470C55">
        <w:rPr>
          <w:rFonts w:cs="David" w:hint="cs"/>
          <w:rtl/>
        </w:rPr>
        <w:t>ב</w:t>
      </w:r>
      <w:r w:rsidR="00125C5A" w:rsidRPr="00470C55">
        <w:rPr>
          <w:rFonts w:cs="David" w:hint="cs"/>
          <w:rtl/>
        </w:rPr>
        <w:t xml:space="preserve">תקינות </w:t>
      </w:r>
      <w:r w:rsidR="00FD26C1" w:rsidRPr="00470C55">
        <w:rPr>
          <w:rFonts w:cs="David" w:hint="cs"/>
          <w:rtl/>
        </w:rPr>
        <w:t xml:space="preserve">המנהלית של </w:t>
      </w:r>
      <w:r w:rsidR="00BE24BD">
        <w:rPr>
          <w:rFonts w:cs="David" w:hint="cs"/>
          <w:rtl/>
        </w:rPr>
        <w:t>פעילותה של החטיבה ו</w:t>
      </w:r>
      <w:r w:rsidR="00A529E7">
        <w:rPr>
          <w:rFonts w:cs="David" w:hint="cs"/>
          <w:rtl/>
        </w:rPr>
        <w:t>ב</w:t>
      </w:r>
      <w:r w:rsidR="00125C5A" w:rsidRPr="00470C55">
        <w:rPr>
          <w:rFonts w:cs="David" w:hint="cs"/>
          <w:rtl/>
        </w:rPr>
        <w:t xml:space="preserve">ממשק שבין </w:t>
      </w:r>
      <w:r w:rsidR="009A37F4" w:rsidRPr="00470C55">
        <w:rPr>
          <w:rFonts w:cs="David" w:hint="cs"/>
          <w:rtl/>
        </w:rPr>
        <w:t>הממשלה והחטיבה</w:t>
      </w:r>
      <w:r w:rsidR="00125C5A" w:rsidRPr="00470C55">
        <w:rPr>
          <w:rFonts w:cs="David" w:hint="cs"/>
          <w:rtl/>
        </w:rPr>
        <w:t xml:space="preserve">. </w:t>
      </w:r>
      <w:r w:rsidR="00466358" w:rsidRPr="00470C55">
        <w:rPr>
          <w:rFonts w:cs="David" w:hint="cs"/>
          <w:rtl/>
        </w:rPr>
        <w:t xml:space="preserve">בעקבות </w:t>
      </w:r>
      <w:r w:rsidR="00125C5A" w:rsidRPr="00470C55">
        <w:rPr>
          <w:rFonts w:cs="David" w:hint="cs"/>
          <w:rtl/>
        </w:rPr>
        <w:t>חוות הדעת</w:t>
      </w:r>
      <w:r w:rsidR="00466358" w:rsidRPr="00470C55">
        <w:rPr>
          <w:rFonts w:cs="David" w:hint="cs"/>
          <w:rtl/>
        </w:rPr>
        <w:t xml:space="preserve">, הוקמה </w:t>
      </w:r>
      <w:r w:rsidR="00125C5A" w:rsidRPr="00470C55">
        <w:rPr>
          <w:rFonts w:cs="David" w:hint="cs"/>
          <w:rtl/>
        </w:rPr>
        <w:t>ועד</w:t>
      </w:r>
      <w:r w:rsidR="004B74C5" w:rsidRPr="00470C55">
        <w:rPr>
          <w:rFonts w:cs="David" w:hint="cs"/>
          <w:rtl/>
        </w:rPr>
        <w:t xml:space="preserve">ה בראשות מנכ"ל משרד ראש הממשלה, ובהשתתפות מנכ"ל משרד החקלאות ומנכ"ל משרד הביטחון (להלן </w:t>
      </w:r>
      <w:r w:rsidR="004B74C5" w:rsidRPr="00470C55">
        <w:rPr>
          <w:rFonts w:cs="David"/>
          <w:rtl/>
        </w:rPr>
        <w:t>–</w:t>
      </w:r>
      <w:r w:rsidR="004B74C5" w:rsidRPr="00470C55">
        <w:rPr>
          <w:rFonts w:cs="David" w:hint="cs"/>
          <w:rtl/>
        </w:rPr>
        <w:t xml:space="preserve"> ועדת המנכ"לים)</w:t>
      </w:r>
      <w:r w:rsidR="00125C5A" w:rsidRPr="00470C55">
        <w:rPr>
          <w:rFonts w:cs="David" w:hint="cs"/>
          <w:rtl/>
        </w:rPr>
        <w:t xml:space="preserve">, עליה הוטלה המשימה להתוות </w:t>
      </w:r>
      <w:r w:rsidR="00EE1ACB" w:rsidRPr="00470C55">
        <w:rPr>
          <w:rFonts w:cs="David" w:hint="cs"/>
          <w:rtl/>
        </w:rPr>
        <w:t xml:space="preserve">"מודל הפעלה" </w:t>
      </w:r>
      <w:r w:rsidR="00125C5A" w:rsidRPr="00470C55">
        <w:rPr>
          <w:rFonts w:cs="David" w:hint="cs"/>
          <w:rtl/>
        </w:rPr>
        <w:t>לפעילותה של החטיבה להתיישבות</w:t>
      </w:r>
      <w:r w:rsidR="004B74C5" w:rsidRPr="00470C55">
        <w:rPr>
          <w:rFonts w:cs="David" w:hint="cs"/>
          <w:rtl/>
        </w:rPr>
        <w:t xml:space="preserve"> ו</w:t>
      </w:r>
      <w:r w:rsidR="00A975E1" w:rsidRPr="00470C55">
        <w:rPr>
          <w:rFonts w:cs="David" w:hint="cs"/>
          <w:rtl/>
        </w:rPr>
        <w:t>ל</w:t>
      </w:r>
      <w:r w:rsidR="00EE1ACB" w:rsidRPr="00470C55">
        <w:rPr>
          <w:rFonts w:cs="David" w:hint="cs"/>
          <w:rtl/>
        </w:rPr>
        <w:t xml:space="preserve">ממשק </w:t>
      </w:r>
      <w:r w:rsidR="004B74C5" w:rsidRPr="00470C55">
        <w:rPr>
          <w:rFonts w:cs="David" w:hint="cs"/>
          <w:rtl/>
        </w:rPr>
        <w:t>שבינה לבין הממשלה</w:t>
      </w:r>
      <w:r w:rsidR="004B74C5" w:rsidRPr="001C40BB">
        <w:rPr>
          <w:rFonts w:cs="David" w:hint="cs"/>
          <w:rtl/>
        </w:rPr>
        <w:t>, וזאת בשים לב לקשיים עליהם הצביעה חוות הדעת.</w:t>
      </w:r>
      <w:r w:rsidR="00EE1ACB" w:rsidRPr="001C40BB">
        <w:rPr>
          <w:rFonts w:cs="David" w:hint="cs"/>
          <w:rtl/>
        </w:rPr>
        <w:t xml:space="preserve"> נכון להיום, </w:t>
      </w:r>
      <w:r w:rsidR="00125C5A" w:rsidRPr="001C40BB">
        <w:rPr>
          <w:rFonts w:cs="David" w:hint="cs"/>
          <w:rtl/>
        </w:rPr>
        <w:t>מסקנות ועדת המנכ"לים</w:t>
      </w:r>
      <w:r w:rsidR="00FD26C1" w:rsidRPr="001C40BB">
        <w:rPr>
          <w:rFonts w:cs="David" w:hint="cs"/>
          <w:rtl/>
        </w:rPr>
        <w:t xml:space="preserve"> </w:t>
      </w:r>
      <w:r w:rsidR="00FD26C1" w:rsidRPr="001C40BB">
        <w:rPr>
          <w:rFonts w:cs="David"/>
          <w:rtl/>
        </w:rPr>
        <w:t>–</w:t>
      </w:r>
      <w:r w:rsidR="00FD26C1" w:rsidRPr="001C40BB">
        <w:rPr>
          <w:rFonts w:cs="David" w:hint="cs"/>
          <w:rtl/>
        </w:rPr>
        <w:t xml:space="preserve"> שאינן מונחות בפני הוועדה </w:t>
      </w:r>
      <w:r w:rsidR="00FD26C1" w:rsidRPr="001C40BB">
        <w:rPr>
          <w:rFonts w:cs="David"/>
          <w:rtl/>
        </w:rPr>
        <w:t>–</w:t>
      </w:r>
      <w:r w:rsidR="00125C5A" w:rsidRPr="001C40BB">
        <w:rPr>
          <w:rFonts w:cs="David" w:hint="cs"/>
          <w:rtl/>
        </w:rPr>
        <w:t xml:space="preserve"> טרם הבשילו לכדי החלטת ממשלה, </w:t>
      </w:r>
      <w:r w:rsidR="00FD26C1" w:rsidRPr="001C40BB">
        <w:rPr>
          <w:rFonts w:cs="David" w:hint="cs"/>
          <w:rtl/>
        </w:rPr>
        <w:t>והן מצויות ב</w:t>
      </w:r>
      <w:r w:rsidR="00125C5A" w:rsidRPr="001C40BB">
        <w:rPr>
          <w:rFonts w:cs="David" w:hint="cs"/>
          <w:rtl/>
        </w:rPr>
        <w:t xml:space="preserve">דיונים פנימיים </w:t>
      </w:r>
      <w:r w:rsidR="00BE24BD" w:rsidRPr="001C40BB">
        <w:rPr>
          <w:rFonts w:cs="David" w:hint="cs"/>
          <w:rtl/>
        </w:rPr>
        <w:t>בתוך הממשלה.</w:t>
      </w:r>
    </w:p>
    <w:p w:rsidR="00191A71" w:rsidRPr="001C40BB" w:rsidRDefault="00191A71" w:rsidP="0057590D">
      <w:pPr>
        <w:rPr>
          <w:rFonts w:cs="David"/>
          <w:rtl/>
        </w:rPr>
      </w:pPr>
    </w:p>
    <w:p w:rsidR="00191A71" w:rsidRPr="001C40BB" w:rsidRDefault="00191A71" w:rsidP="0057590D">
      <w:pPr>
        <w:spacing w:after="120" w:line="240" w:lineRule="auto"/>
        <w:rPr>
          <w:rFonts w:cs="David"/>
          <w:b/>
          <w:bCs/>
          <w:u w:val="single"/>
          <w:rtl/>
        </w:rPr>
      </w:pPr>
      <w:r w:rsidRPr="001C40BB">
        <w:rPr>
          <w:rFonts w:cs="David" w:hint="cs"/>
          <w:b/>
          <w:bCs/>
          <w:u w:val="single"/>
          <w:rtl/>
        </w:rPr>
        <w:t>הצעת החוק</w:t>
      </w:r>
      <w:r w:rsidR="00ED1C73" w:rsidRPr="001C40BB">
        <w:rPr>
          <w:rFonts w:cs="David" w:hint="cs"/>
          <w:b/>
          <w:bCs/>
          <w:u w:val="single"/>
          <w:rtl/>
        </w:rPr>
        <w:t xml:space="preserve"> </w:t>
      </w:r>
      <w:r w:rsidR="00ED1C73" w:rsidRPr="001C40BB">
        <w:rPr>
          <w:rFonts w:cs="David"/>
          <w:b/>
          <w:bCs/>
          <w:u w:val="single"/>
          <w:rtl/>
        </w:rPr>
        <w:t>–</w:t>
      </w:r>
      <w:r w:rsidRPr="001C40BB">
        <w:rPr>
          <w:rFonts w:cs="David" w:hint="cs"/>
          <w:b/>
          <w:bCs/>
          <w:u w:val="single"/>
          <w:rtl/>
        </w:rPr>
        <w:t xml:space="preserve"> נוסח הקריאה הראשונה</w:t>
      </w:r>
    </w:p>
    <w:p w:rsidR="00191A71" w:rsidRPr="001C40BB" w:rsidRDefault="003A31B0" w:rsidP="00E47EEC">
      <w:pPr>
        <w:spacing w:after="60"/>
        <w:rPr>
          <w:rFonts w:cs="David"/>
          <w:rtl/>
        </w:rPr>
      </w:pPr>
      <w:r w:rsidRPr="001C40BB">
        <w:rPr>
          <w:rFonts w:cs="David" w:hint="cs"/>
          <w:rtl/>
        </w:rPr>
        <w:t>בשונה מחוות הדעת ו</w:t>
      </w:r>
      <w:r w:rsidR="00147DDD" w:rsidRPr="001C40BB">
        <w:rPr>
          <w:rFonts w:cs="David" w:hint="cs"/>
          <w:rtl/>
        </w:rPr>
        <w:t xml:space="preserve">מסקנות </w:t>
      </w:r>
      <w:r w:rsidRPr="001C40BB">
        <w:rPr>
          <w:rFonts w:cs="David" w:hint="cs"/>
          <w:rtl/>
        </w:rPr>
        <w:t>ועדת המנכ"לים</w:t>
      </w:r>
      <w:r w:rsidR="00147DDD" w:rsidRPr="001C40BB">
        <w:rPr>
          <w:rFonts w:cs="David" w:hint="cs"/>
          <w:rtl/>
        </w:rPr>
        <w:t>,</w:t>
      </w:r>
      <w:r w:rsidRPr="001C40BB">
        <w:rPr>
          <w:rFonts w:cs="David" w:hint="cs"/>
          <w:rtl/>
        </w:rPr>
        <w:t xml:space="preserve"> שעוסקים</w:t>
      </w:r>
      <w:r w:rsidR="00147DDD" w:rsidRPr="001C40BB">
        <w:rPr>
          <w:rFonts w:cs="David" w:hint="cs"/>
          <w:rtl/>
        </w:rPr>
        <w:t xml:space="preserve"> </w:t>
      </w:r>
      <w:r w:rsidRPr="001C40BB">
        <w:rPr>
          <w:rFonts w:cs="David" w:hint="cs"/>
          <w:rtl/>
        </w:rPr>
        <w:t xml:space="preserve">במעמד החטיבה במסגרת </w:t>
      </w:r>
      <w:r w:rsidR="00E47EEC">
        <w:rPr>
          <w:rFonts w:cs="David" w:hint="cs"/>
          <w:rtl/>
        </w:rPr>
        <w:t xml:space="preserve">פרשנות סמכותה של הממשלה על פי </w:t>
      </w:r>
      <w:r w:rsidR="00147DDD" w:rsidRPr="001C40BB">
        <w:rPr>
          <w:rFonts w:cs="David" w:hint="cs"/>
          <w:rtl/>
        </w:rPr>
        <w:t>כללי המשפט המנהלי הרגילים</w:t>
      </w:r>
      <w:r w:rsidRPr="001C40BB">
        <w:rPr>
          <w:rFonts w:cs="David" w:hint="cs"/>
          <w:rtl/>
        </w:rPr>
        <w:t xml:space="preserve">, הצעת החוק מבקשת להסדיר את מעמד החטיבה </w:t>
      </w:r>
      <w:r w:rsidR="00D777AE" w:rsidRPr="001C40BB">
        <w:rPr>
          <w:rFonts w:cs="David" w:hint="cs"/>
          <w:rtl/>
        </w:rPr>
        <w:t xml:space="preserve">באמצעות </w:t>
      </w:r>
      <w:r w:rsidRPr="001C40BB">
        <w:rPr>
          <w:rFonts w:cs="David" w:hint="cs"/>
          <w:rtl/>
        </w:rPr>
        <w:t>חקיקה</w:t>
      </w:r>
      <w:r w:rsidR="00D777AE" w:rsidRPr="001C40BB">
        <w:rPr>
          <w:rFonts w:cs="David" w:hint="cs"/>
          <w:rtl/>
        </w:rPr>
        <w:t xml:space="preserve"> מפורשת</w:t>
      </w:r>
      <w:r w:rsidRPr="001C40BB">
        <w:rPr>
          <w:rFonts w:cs="David" w:hint="cs"/>
          <w:rtl/>
        </w:rPr>
        <w:t xml:space="preserve">. </w:t>
      </w:r>
    </w:p>
    <w:p w:rsidR="00E47EEC" w:rsidRDefault="00ED1C73" w:rsidP="00E47EEC">
      <w:pPr>
        <w:spacing w:after="60"/>
        <w:rPr>
          <w:rFonts w:cs="David"/>
          <w:rtl/>
        </w:rPr>
      </w:pPr>
      <w:r w:rsidRPr="001C40BB">
        <w:rPr>
          <w:rFonts w:cs="David" w:hint="cs"/>
          <w:rtl/>
        </w:rPr>
        <w:t>הצעת החוק שאושרה על ידי מליא</w:t>
      </w:r>
      <w:r w:rsidR="00A911A1" w:rsidRPr="001C40BB">
        <w:rPr>
          <w:rFonts w:cs="David" w:hint="cs"/>
          <w:rtl/>
        </w:rPr>
        <w:t>ת הכנסת</w:t>
      </w:r>
      <w:r w:rsidRPr="001C40BB">
        <w:rPr>
          <w:rFonts w:cs="David" w:hint="cs"/>
          <w:rtl/>
        </w:rPr>
        <w:t xml:space="preserve"> בקריאה הראשונה (להלן </w:t>
      </w:r>
      <w:r w:rsidRPr="001C40BB">
        <w:rPr>
          <w:rFonts w:cs="David"/>
          <w:rtl/>
        </w:rPr>
        <w:t>–</w:t>
      </w:r>
      <w:r w:rsidRPr="001C40BB">
        <w:rPr>
          <w:rFonts w:cs="David" w:hint="cs"/>
          <w:rtl/>
        </w:rPr>
        <w:t xml:space="preserve"> נוסח </w:t>
      </w:r>
      <w:r w:rsidR="009372C8" w:rsidRPr="001C40BB">
        <w:rPr>
          <w:rFonts w:cs="David" w:hint="cs"/>
          <w:rtl/>
        </w:rPr>
        <w:t xml:space="preserve">הקריאה </w:t>
      </w:r>
      <w:r w:rsidRPr="001C40BB">
        <w:rPr>
          <w:rFonts w:cs="David" w:hint="cs"/>
          <w:rtl/>
        </w:rPr>
        <w:t>הראשונה), ביקשה לקבוע כי הממשלה תהא רשאית להטיל על החטיבה להתיישבות ביצוע של משימות לאומיות בתחום ההתיישבות, בהתאם למדיניות שתקבע</w:t>
      </w:r>
      <w:r w:rsidR="003D0CFE">
        <w:rPr>
          <w:rFonts w:cs="David" w:hint="cs"/>
          <w:rtl/>
        </w:rPr>
        <w:t xml:space="preserve"> הממשלה</w:t>
      </w:r>
      <w:r w:rsidRPr="001C40BB">
        <w:rPr>
          <w:rFonts w:cs="David" w:hint="cs"/>
          <w:rtl/>
        </w:rPr>
        <w:t>, וכי לחטיבה תהיינה הסמכויות לבצע את הפעולות הדרושות לשם מילוי אותן החלטות ממשלה, ובכלל זה להקצות משאבים, לבצע פעולות תכנון ופיתוח, לפרסם מכרזים ועוד.</w:t>
      </w:r>
      <w:r w:rsidR="00E47EEC">
        <w:rPr>
          <w:rFonts w:cs="David" w:hint="cs"/>
          <w:rtl/>
        </w:rPr>
        <w:t xml:space="preserve"> </w:t>
      </w:r>
    </w:p>
    <w:p w:rsidR="00A06674" w:rsidRPr="001C40BB" w:rsidRDefault="00A06674" w:rsidP="003D0CFE">
      <w:pPr>
        <w:spacing w:after="60"/>
        <w:rPr>
          <w:rFonts w:cs="David"/>
          <w:rtl/>
        </w:rPr>
      </w:pPr>
      <w:r w:rsidRPr="001C40BB">
        <w:rPr>
          <w:rFonts w:cs="David" w:hint="cs"/>
          <w:rtl/>
        </w:rPr>
        <w:t xml:space="preserve">כפי שצוין על ידינו במסגרת הכנת הצעת החוק לקריאה הראשונה, המחוקק </w:t>
      </w:r>
      <w:r w:rsidR="000957C0" w:rsidRPr="001C40BB">
        <w:rPr>
          <w:rFonts w:cs="David" w:hint="cs"/>
          <w:rtl/>
        </w:rPr>
        <w:t xml:space="preserve">יכול לבחור </w:t>
      </w:r>
      <w:r w:rsidRPr="001C40BB">
        <w:rPr>
          <w:rFonts w:cs="David" w:hint="cs"/>
          <w:rtl/>
        </w:rPr>
        <w:t>להעביר</w:t>
      </w:r>
      <w:r w:rsidR="000957C0" w:rsidRPr="001C40BB">
        <w:rPr>
          <w:rFonts w:cs="David" w:hint="cs"/>
          <w:rtl/>
        </w:rPr>
        <w:t>, בחקיקה,</w:t>
      </w:r>
      <w:r w:rsidRPr="001C40BB">
        <w:rPr>
          <w:rFonts w:cs="David" w:hint="cs"/>
          <w:rtl/>
        </w:rPr>
        <w:t xml:space="preserve"> סמכויות שלטוניות לגוף חוץ</w:t>
      </w:r>
      <w:r w:rsidR="000957C0" w:rsidRPr="001C40BB">
        <w:rPr>
          <w:rFonts w:cs="David" w:hint="cs"/>
          <w:rtl/>
        </w:rPr>
        <w:t>-</w:t>
      </w:r>
      <w:r w:rsidRPr="001C40BB">
        <w:rPr>
          <w:rFonts w:cs="David" w:hint="cs"/>
          <w:rtl/>
        </w:rPr>
        <w:t xml:space="preserve">ממשלתי, </w:t>
      </w:r>
      <w:r w:rsidR="000957C0" w:rsidRPr="001C40BB">
        <w:rPr>
          <w:rFonts w:cs="David" w:hint="cs"/>
          <w:rtl/>
        </w:rPr>
        <w:t xml:space="preserve">ואולם, במסגרת חקיקה כזאת </w:t>
      </w:r>
      <w:r w:rsidRPr="001C40BB">
        <w:rPr>
          <w:rFonts w:cs="David" w:hint="cs"/>
          <w:rtl/>
        </w:rPr>
        <w:t xml:space="preserve">שומה </w:t>
      </w:r>
      <w:r w:rsidR="000957C0" w:rsidRPr="001C40BB">
        <w:rPr>
          <w:rFonts w:cs="David" w:hint="cs"/>
          <w:rtl/>
        </w:rPr>
        <w:t xml:space="preserve">על המחוקק </w:t>
      </w:r>
      <w:r w:rsidRPr="001C40BB">
        <w:rPr>
          <w:rFonts w:cs="David" w:hint="cs"/>
          <w:rtl/>
        </w:rPr>
        <w:t xml:space="preserve">לתת את דעתו לשלוש סוגיות מרכזיות: </w:t>
      </w:r>
      <w:r w:rsidR="000957C0" w:rsidRPr="001C40BB">
        <w:rPr>
          <w:rFonts w:cs="David" w:hint="cs"/>
          <w:rtl/>
        </w:rPr>
        <w:t xml:space="preserve">(1) </w:t>
      </w:r>
      <w:r w:rsidRPr="001C40BB">
        <w:rPr>
          <w:rFonts w:cs="David" w:hint="cs"/>
          <w:rtl/>
        </w:rPr>
        <w:t xml:space="preserve">האם קיימת </w:t>
      </w:r>
      <w:r w:rsidRPr="00E47EEC">
        <w:rPr>
          <w:rFonts w:cs="David" w:hint="cs"/>
          <w:u w:val="single"/>
          <w:rtl/>
        </w:rPr>
        <w:t>הצדקה</w:t>
      </w:r>
      <w:r w:rsidRPr="001C40BB">
        <w:rPr>
          <w:rFonts w:cs="David" w:hint="cs"/>
          <w:rtl/>
        </w:rPr>
        <w:t xml:space="preserve"> להעביר את ביצועה של סמכות שלטונית אל מחוץ למערכת הממשלתית, ואם כן מהי; </w:t>
      </w:r>
      <w:r w:rsidR="000957C0" w:rsidRPr="001C40BB">
        <w:rPr>
          <w:rFonts w:cs="David" w:hint="cs"/>
          <w:rtl/>
        </w:rPr>
        <w:t xml:space="preserve">(2) </w:t>
      </w:r>
      <w:r w:rsidRPr="001C40BB">
        <w:rPr>
          <w:rFonts w:cs="David" w:hint="cs"/>
          <w:rtl/>
        </w:rPr>
        <w:t>מה היקפ</w:t>
      </w:r>
      <w:r w:rsidR="003D0CFE">
        <w:rPr>
          <w:rFonts w:cs="David" w:hint="cs"/>
          <w:rtl/>
        </w:rPr>
        <w:t>ן</w:t>
      </w:r>
      <w:r w:rsidRPr="001C40BB">
        <w:rPr>
          <w:rFonts w:cs="David" w:hint="cs"/>
          <w:rtl/>
        </w:rPr>
        <w:t xml:space="preserve"> וטיב</w:t>
      </w:r>
      <w:r w:rsidR="003D0CFE">
        <w:rPr>
          <w:rFonts w:cs="David" w:hint="cs"/>
          <w:rtl/>
        </w:rPr>
        <w:t>ן</w:t>
      </w:r>
      <w:r w:rsidRPr="001C40BB">
        <w:rPr>
          <w:rFonts w:cs="David" w:hint="cs"/>
          <w:rtl/>
        </w:rPr>
        <w:t xml:space="preserve"> של </w:t>
      </w:r>
      <w:r w:rsidRPr="00E47EEC">
        <w:rPr>
          <w:rFonts w:cs="David" w:hint="cs"/>
          <w:u w:val="single"/>
          <w:rtl/>
        </w:rPr>
        <w:t xml:space="preserve">הסמכויות המועברות </w:t>
      </w:r>
      <w:r w:rsidRPr="001C40BB">
        <w:rPr>
          <w:rFonts w:cs="David" w:hint="cs"/>
          <w:rtl/>
        </w:rPr>
        <w:t>לאותו גוף חוץ-ממשלתי, ומהם ממשקי העבודה בין הממשלה לבין אותו הגוף;</w:t>
      </w:r>
      <w:r w:rsidR="000957C0" w:rsidRPr="001C40BB">
        <w:rPr>
          <w:rFonts w:cs="David" w:hint="cs"/>
          <w:rtl/>
        </w:rPr>
        <w:t xml:space="preserve"> (3)</w:t>
      </w:r>
      <w:r w:rsidRPr="001C40BB">
        <w:rPr>
          <w:rFonts w:cs="David" w:hint="cs"/>
          <w:rtl/>
        </w:rPr>
        <w:t xml:space="preserve"> מה צריכים להיות המאפיינים של </w:t>
      </w:r>
      <w:r w:rsidR="000957C0" w:rsidRPr="001C40BB">
        <w:rPr>
          <w:rFonts w:cs="David" w:hint="cs"/>
          <w:rtl/>
        </w:rPr>
        <w:t xml:space="preserve">אותו הגוף </w:t>
      </w:r>
      <w:r w:rsidRPr="001C40BB">
        <w:rPr>
          <w:rFonts w:cs="David" w:hint="cs"/>
          <w:rtl/>
        </w:rPr>
        <w:t xml:space="preserve">שהמחוקק בחר להעביר לו </w:t>
      </w:r>
      <w:r w:rsidR="000957C0" w:rsidRPr="001C40BB">
        <w:rPr>
          <w:rFonts w:cs="David" w:hint="cs"/>
          <w:rtl/>
        </w:rPr>
        <w:t>את ה</w:t>
      </w:r>
      <w:r w:rsidRPr="001C40BB">
        <w:rPr>
          <w:rFonts w:cs="David" w:hint="cs"/>
          <w:rtl/>
        </w:rPr>
        <w:t xml:space="preserve">סמכויות </w:t>
      </w:r>
      <w:r w:rsidR="000957C0" w:rsidRPr="001C40BB">
        <w:rPr>
          <w:rFonts w:cs="David" w:hint="cs"/>
          <w:rtl/>
        </w:rPr>
        <w:t>ה</w:t>
      </w:r>
      <w:r w:rsidRPr="001C40BB">
        <w:rPr>
          <w:rFonts w:cs="David" w:hint="cs"/>
          <w:rtl/>
        </w:rPr>
        <w:t>שלטוניות</w:t>
      </w:r>
      <w:r w:rsidR="00147853" w:rsidRPr="001C40BB">
        <w:rPr>
          <w:rFonts w:cs="David" w:hint="cs"/>
          <w:rtl/>
        </w:rPr>
        <w:t xml:space="preserve">, </w:t>
      </w:r>
      <w:r w:rsidR="00147853" w:rsidRPr="00E47EEC">
        <w:rPr>
          <w:rFonts w:cs="David" w:hint="cs"/>
          <w:u w:val="single"/>
          <w:rtl/>
        </w:rPr>
        <w:t>ו</w:t>
      </w:r>
      <w:r w:rsidRPr="00E47EEC">
        <w:rPr>
          <w:rFonts w:cs="David" w:hint="cs"/>
          <w:u w:val="single"/>
          <w:rtl/>
        </w:rPr>
        <w:t xml:space="preserve">מהן החובות המנהליות שאמורות לחול </w:t>
      </w:r>
      <w:r w:rsidR="000957C0" w:rsidRPr="00E47EEC">
        <w:rPr>
          <w:rFonts w:cs="David" w:hint="cs"/>
          <w:u w:val="single"/>
          <w:rtl/>
        </w:rPr>
        <w:t xml:space="preserve">עליו </w:t>
      </w:r>
      <w:r w:rsidRPr="00E47EEC">
        <w:rPr>
          <w:rFonts w:cs="David" w:hint="cs"/>
          <w:u w:val="single"/>
          <w:rtl/>
        </w:rPr>
        <w:t>ועל עובדיו</w:t>
      </w:r>
      <w:r w:rsidR="00147853" w:rsidRPr="001C40BB">
        <w:rPr>
          <w:rFonts w:cs="David" w:hint="cs"/>
          <w:rtl/>
        </w:rPr>
        <w:t>.</w:t>
      </w:r>
      <w:r w:rsidRPr="001C40BB">
        <w:rPr>
          <w:rFonts w:cs="David" w:hint="cs"/>
          <w:rtl/>
        </w:rPr>
        <w:t xml:space="preserve"> במסגרת זו, הבענו את עמדתנו, ולפיה נוכח היקף הסמכויות אותן ניתן יהיה להעביר לביצועה של החטיבה להתיישבות, יש מקום להחיל על החטיבה </w:t>
      </w:r>
      <w:r w:rsidR="00A970C3" w:rsidRPr="001C40BB">
        <w:rPr>
          <w:rFonts w:cs="David" w:hint="cs"/>
          <w:rtl/>
        </w:rPr>
        <w:t xml:space="preserve">ועובדיה </w:t>
      </w:r>
      <w:r w:rsidRPr="001C40BB">
        <w:rPr>
          <w:rFonts w:cs="David" w:hint="cs"/>
          <w:rtl/>
        </w:rPr>
        <w:t>את כללי המשפט המנהלי החלים על כל גוף ממשלתי</w:t>
      </w:r>
      <w:r w:rsidR="00A970C3" w:rsidRPr="001C40BB">
        <w:rPr>
          <w:rFonts w:cs="David" w:hint="cs"/>
          <w:rtl/>
        </w:rPr>
        <w:t xml:space="preserve"> ועובדיו</w:t>
      </w:r>
      <w:r w:rsidRPr="001C40BB">
        <w:rPr>
          <w:rFonts w:cs="David" w:hint="cs"/>
          <w:rtl/>
        </w:rPr>
        <w:t>.</w:t>
      </w:r>
    </w:p>
    <w:p w:rsidR="00A06674" w:rsidRPr="001C40BB" w:rsidRDefault="00A06674" w:rsidP="0057590D">
      <w:pPr>
        <w:rPr>
          <w:rFonts w:cs="David"/>
          <w:rtl/>
        </w:rPr>
      </w:pPr>
    </w:p>
    <w:p w:rsidR="000A44B2" w:rsidRDefault="000A44B2" w:rsidP="0057590D">
      <w:pPr>
        <w:spacing w:after="120" w:line="240" w:lineRule="auto"/>
        <w:rPr>
          <w:rFonts w:cs="David"/>
          <w:b/>
          <w:bCs/>
          <w:u w:val="single"/>
          <w:rtl/>
        </w:rPr>
      </w:pPr>
    </w:p>
    <w:p w:rsidR="00A970C3" w:rsidRPr="001C40BB" w:rsidRDefault="00A970C3" w:rsidP="0057590D">
      <w:pPr>
        <w:spacing w:after="120" w:line="240" w:lineRule="auto"/>
        <w:rPr>
          <w:rFonts w:cs="David"/>
          <w:b/>
          <w:bCs/>
          <w:u w:val="single"/>
          <w:rtl/>
        </w:rPr>
      </w:pPr>
      <w:r w:rsidRPr="001C40BB">
        <w:rPr>
          <w:rFonts w:cs="David" w:hint="cs"/>
          <w:b/>
          <w:bCs/>
          <w:u w:val="single"/>
          <w:rtl/>
        </w:rPr>
        <w:t xml:space="preserve">הצעת החוק </w:t>
      </w:r>
      <w:r w:rsidRPr="001C40BB">
        <w:rPr>
          <w:rFonts w:cs="David"/>
          <w:b/>
          <w:bCs/>
          <w:u w:val="single"/>
          <w:rtl/>
        </w:rPr>
        <w:t>–</w:t>
      </w:r>
      <w:r w:rsidRPr="001C40BB">
        <w:rPr>
          <w:rFonts w:cs="David" w:hint="cs"/>
          <w:b/>
          <w:bCs/>
          <w:u w:val="single"/>
          <w:rtl/>
        </w:rPr>
        <w:t xml:space="preserve"> הנוסח המוצע לקריאה שניה ושלישית</w:t>
      </w:r>
    </w:p>
    <w:p w:rsidR="009372C8" w:rsidRPr="001C40BB" w:rsidRDefault="0081532F" w:rsidP="0057590D">
      <w:pPr>
        <w:rPr>
          <w:rFonts w:cs="David"/>
          <w:rtl/>
        </w:rPr>
      </w:pPr>
      <w:r w:rsidRPr="001C40BB">
        <w:rPr>
          <w:rFonts w:cs="David" w:hint="cs"/>
          <w:rtl/>
        </w:rPr>
        <w:t xml:space="preserve">הנוסח </w:t>
      </w:r>
      <w:r w:rsidR="00191D3A" w:rsidRPr="001C40BB">
        <w:rPr>
          <w:rFonts w:cs="David" w:hint="cs"/>
          <w:rtl/>
        </w:rPr>
        <w:t xml:space="preserve">המעודכן שהונח </w:t>
      </w:r>
      <w:r w:rsidRPr="001C40BB">
        <w:rPr>
          <w:rFonts w:cs="David" w:hint="cs"/>
          <w:rtl/>
        </w:rPr>
        <w:t xml:space="preserve">בפני הוועדה </w:t>
      </w:r>
      <w:r w:rsidR="009372C8" w:rsidRPr="001C40BB">
        <w:rPr>
          <w:rFonts w:cs="David" w:hint="cs"/>
          <w:rtl/>
        </w:rPr>
        <w:t>במסגרת ה</w:t>
      </w:r>
      <w:r w:rsidRPr="001C40BB">
        <w:rPr>
          <w:rFonts w:cs="David" w:hint="cs"/>
          <w:rtl/>
        </w:rPr>
        <w:t>הכנה לקריאה השניה והשלישית</w:t>
      </w:r>
      <w:r w:rsidR="003D2FA6" w:rsidRPr="001C40BB">
        <w:rPr>
          <w:rFonts w:cs="David" w:hint="cs"/>
          <w:rtl/>
        </w:rPr>
        <w:t xml:space="preserve"> (להלן </w:t>
      </w:r>
      <w:r w:rsidR="003D2FA6" w:rsidRPr="001C40BB">
        <w:rPr>
          <w:rFonts w:cs="David"/>
          <w:rtl/>
        </w:rPr>
        <w:t>–</w:t>
      </w:r>
      <w:r w:rsidR="003D2FA6" w:rsidRPr="001C40BB">
        <w:rPr>
          <w:rFonts w:cs="David" w:hint="cs"/>
          <w:rtl/>
        </w:rPr>
        <w:t xml:space="preserve"> הנוסח המוצע)</w:t>
      </w:r>
      <w:r w:rsidR="00191D3A" w:rsidRPr="001C40BB">
        <w:rPr>
          <w:rFonts w:cs="David" w:hint="cs"/>
          <w:rtl/>
        </w:rPr>
        <w:t>,</w:t>
      </w:r>
      <w:r w:rsidRPr="001C40BB">
        <w:rPr>
          <w:rFonts w:cs="David" w:hint="cs"/>
          <w:rtl/>
        </w:rPr>
        <w:t xml:space="preserve"> </w:t>
      </w:r>
      <w:r w:rsidR="00FB440E" w:rsidRPr="001C40BB">
        <w:rPr>
          <w:rFonts w:cs="David" w:hint="cs"/>
          <w:rtl/>
        </w:rPr>
        <w:t xml:space="preserve">שונה באופן משמעותי </w:t>
      </w:r>
      <w:r w:rsidR="009372C8" w:rsidRPr="001C40BB">
        <w:rPr>
          <w:rFonts w:cs="David" w:hint="cs"/>
          <w:rtl/>
        </w:rPr>
        <w:t xml:space="preserve">מנוסח הקריאה הראשונה, </w:t>
      </w:r>
      <w:r w:rsidR="00FB440E" w:rsidRPr="001C40BB">
        <w:rPr>
          <w:rFonts w:cs="David" w:hint="cs"/>
          <w:rtl/>
        </w:rPr>
        <w:t>ביחס לנקודות הבאות</w:t>
      </w:r>
      <w:r w:rsidR="009372C8" w:rsidRPr="001C40BB">
        <w:rPr>
          <w:rFonts w:cs="David" w:hint="cs"/>
          <w:rtl/>
        </w:rPr>
        <w:t xml:space="preserve">: </w:t>
      </w:r>
    </w:p>
    <w:p w:rsidR="0071247B" w:rsidRPr="001C40BB" w:rsidRDefault="0065395E" w:rsidP="0057590D">
      <w:pPr>
        <w:pStyle w:val="a6"/>
        <w:numPr>
          <w:ilvl w:val="0"/>
          <w:numId w:val="13"/>
        </w:numPr>
        <w:rPr>
          <w:rFonts w:cs="David"/>
        </w:rPr>
      </w:pPr>
      <w:r w:rsidRPr="001C40BB">
        <w:rPr>
          <w:rFonts w:cs="David" w:hint="cs"/>
          <w:rtl/>
        </w:rPr>
        <w:t xml:space="preserve">בנוסח </w:t>
      </w:r>
      <w:r w:rsidR="009372C8" w:rsidRPr="001C40BB">
        <w:rPr>
          <w:rFonts w:cs="David" w:hint="cs"/>
          <w:rtl/>
        </w:rPr>
        <w:t xml:space="preserve">הקריאה </w:t>
      </w:r>
      <w:r w:rsidRPr="001C40BB">
        <w:rPr>
          <w:rFonts w:cs="David" w:hint="cs"/>
          <w:rtl/>
        </w:rPr>
        <w:t xml:space="preserve">הראשונה דובר על כך </w:t>
      </w:r>
      <w:r w:rsidR="003D2FA6" w:rsidRPr="001C40BB">
        <w:rPr>
          <w:rFonts w:cs="David" w:hint="cs"/>
          <w:rtl/>
        </w:rPr>
        <w:t xml:space="preserve">שהממשלה </w:t>
      </w:r>
      <w:r w:rsidR="003D2FA6" w:rsidRPr="00A5119E">
        <w:rPr>
          <w:rFonts w:cs="David" w:hint="cs"/>
          <w:u w:val="single"/>
          <w:rtl/>
        </w:rPr>
        <w:t>תטיל משימות ביצוע על החטיבה והחטיבה תשמש כ"קבלן ביצוע" של מדיניות הממשלה</w:t>
      </w:r>
      <w:r w:rsidR="003D2FA6" w:rsidRPr="001C40BB">
        <w:rPr>
          <w:rFonts w:cs="David" w:hint="cs"/>
          <w:rtl/>
        </w:rPr>
        <w:t>, בעוד ש</w:t>
      </w:r>
      <w:r w:rsidRPr="001C40BB">
        <w:rPr>
          <w:rFonts w:cs="David" w:hint="cs"/>
          <w:rtl/>
        </w:rPr>
        <w:t xml:space="preserve">בנוסח </w:t>
      </w:r>
      <w:r w:rsidR="003D2FA6" w:rsidRPr="001C40BB">
        <w:rPr>
          <w:rFonts w:cs="David" w:hint="cs"/>
          <w:rtl/>
        </w:rPr>
        <w:t xml:space="preserve">המוצע </w:t>
      </w:r>
      <w:r w:rsidRPr="001C40BB">
        <w:rPr>
          <w:rFonts w:cs="David" w:hint="cs"/>
          <w:rtl/>
        </w:rPr>
        <w:t xml:space="preserve">מדובר על </w:t>
      </w:r>
      <w:r w:rsidRPr="00A5119E">
        <w:rPr>
          <w:rFonts w:cs="David" w:hint="cs"/>
          <w:u w:val="single"/>
          <w:rtl/>
        </w:rPr>
        <w:t>אצילה מפורשת של סמכויות</w:t>
      </w:r>
      <w:r w:rsidR="003D2FA6" w:rsidRPr="00A5119E">
        <w:rPr>
          <w:rFonts w:cs="David" w:hint="cs"/>
          <w:u w:val="single"/>
          <w:rtl/>
        </w:rPr>
        <w:t xml:space="preserve"> שלטוניות</w:t>
      </w:r>
      <w:r w:rsidRPr="001C40BB">
        <w:rPr>
          <w:rFonts w:cs="David" w:hint="cs"/>
          <w:rtl/>
        </w:rPr>
        <w:t>.</w:t>
      </w:r>
    </w:p>
    <w:p w:rsidR="0071247B" w:rsidRPr="001C40BB" w:rsidRDefault="003D2FA6" w:rsidP="0057590D">
      <w:pPr>
        <w:pStyle w:val="a6"/>
        <w:numPr>
          <w:ilvl w:val="0"/>
          <w:numId w:val="13"/>
        </w:numPr>
        <w:rPr>
          <w:rFonts w:cs="David"/>
        </w:rPr>
      </w:pPr>
      <w:r w:rsidRPr="001C40BB">
        <w:rPr>
          <w:rFonts w:cs="David" w:hint="cs"/>
          <w:rtl/>
        </w:rPr>
        <w:t xml:space="preserve">בנוסח </w:t>
      </w:r>
      <w:r w:rsidR="009372C8" w:rsidRPr="001C40BB">
        <w:rPr>
          <w:rFonts w:cs="David" w:hint="cs"/>
          <w:rtl/>
        </w:rPr>
        <w:t xml:space="preserve">הקריאה </w:t>
      </w:r>
      <w:r w:rsidRPr="001C40BB">
        <w:rPr>
          <w:rFonts w:cs="David" w:hint="cs"/>
          <w:rtl/>
        </w:rPr>
        <w:t xml:space="preserve">הראשונה </w:t>
      </w:r>
      <w:r w:rsidR="0037209F" w:rsidRPr="001C40BB">
        <w:rPr>
          <w:rFonts w:cs="David" w:hint="cs"/>
          <w:rtl/>
        </w:rPr>
        <w:t xml:space="preserve">אין התייחסות </w:t>
      </w:r>
      <w:r w:rsidRPr="001C40BB">
        <w:rPr>
          <w:rFonts w:cs="David" w:hint="cs"/>
          <w:rtl/>
        </w:rPr>
        <w:t xml:space="preserve">לתקצובה של החטיבה, בעוד שבנוסח המוצע מדובר על </w:t>
      </w:r>
      <w:r w:rsidRPr="00A5119E">
        <w:rPr>
          <w:rFonts w:cs="David" w:hint="cs"/>
          <w:u w:val="single"/>
          <w:rtl/>
        </w:rPr>
        <w:t>תקצוב ישיר של החטיבה בתקציב המדינה</w:t>
      </w:r>
      <w:r w:rsidRPr="001C40BB">
        <w:rPr>
          <w:rFonts w:cs="David" w:hint="cs"/>
          <w:rtl/>
        </w:rPr>
        <w:t>.</w:t>
      </w:r>
    </w:p>
    <w:p w:rsidR="0024003B" w:rsidRPr="001C40BB" w:rsidRDefault="003D2FA6" w:rsidP="00A5119E">
      <w:pPr>
        <w:pStyle w:val="a6"/>
        <w:numPr>
          <w:ilvl w:val="0"/>
          <w:numId w:val="13"/>
        </w:numPr>
        <w:rPr>
          <w:rFonts w:cs="David"/>
        </w:rPr>
      </w:pPr>
      <w:r w:rsidRPr="001C40BB">
        <w:rPr>
          <w:rFonts w:cs="David" w:hint="cs"/>
          <w:rtl/>
        </w:rPr>
        <w:t xml:space="preserve">בנוסח </w:t>
      </w:r>
      <w:r w:rsidR="009372C8" w:rsidRPr="001C40BB">
        <w:rPr>
          <w:rFonts w:cs="David" w:hint="cs"/>
          <w:rtl/>
        </w:rPr>
        <w:t xml:space="preserve">הקריאה </w:t>
      </w:r>
      <w:r w:rsidRPr="001C40BB">
        <w:rPr>
          <w:rFonts w:cs="David" w:hint="cs"/>
          <w:rtl/>
        </w:rPr>
        <w:t xml:space="preserve">הראשונה דובר על הטלת משימות </w:t>
      </w:r>
      <w:r w:rsidRPr="00A5119E">
        <w:rPr>
          <w:rFonts w:cs="David" w:hint="cs"/>
          <w:u w:val="single"/>
          <w:rtl/>
        </w:rPr>
        <w:t>"בתחום ההתיישבות"</w:t>
      </w:r>
      <w:r w:rsidRPr="001C40BB">
        <w:rPr>
          <w:rFonts w:cs="David" w:hint="cs"/>
          <w:rtl/>
        </w:rPr>
        <w:t xml:space="preserve">, בעוד שבנוסח המוצע מדובר על האצלת סמכויות </w:t>
      </w:r>
      <w:r w:rsidRPr="00A5119E">
        <w:rPr>
          <w:rFonts w:cs="David" w:hint="cs"/>
          <w:u w:val="single"/>
          <w:rtl/>
        </w:rPr>
        <w:t xml:space="preserve">בכל </w:t>
      </w:r>
      <w:r w:rsidR="0037209F" w:rsidRPr="00A5119E">
        <w:rPr>
          <w:rFonts w:cs="David" w:hint="cs"/>
          <w:u w:val="single"/>
          <w:rtl/>
        </w:rPr>
        <w:t xml:space="preserve">תחומי הפעילות </w:t>
      </w:r>
      <w:r w:rsidR="00A5119E">
        <w:rPr>
          <w:rFonts w:cs="David" w:hint="cs"/>
          <w:u w:val="single"/>
          <w:rtl/>
        </w:rPr>
        <w:t xml:space="preserve">של </w:t>
      </w:r>
      <w:r w:rsidR="0037209F" w:rsidRPr="00A5119E">
        <w:rPr>
          <w:rFonts w:cs="David" w:hint="cs"/>
          <w:u w:val="single"/>
          <w:rtl/>
        </w:rPr>
        <w:t>ההסתדרות הציונית העולמית</w:t>
      </w:r>
      <w:r w:rsidR="0037209F" w:rsidRPr="001C40BB">
        <w:rPr>
          <w:rFonts w:cs="David" w:hint="cs"/>
          <w:rtl/>
        </w:rPr>
        <w:t>.</w:t>
      </w:r>
    </w:p>
    <w:p w:rsidR="0065395E" w:rsidRPr="001C40BB" w:rsidRDefault="0071247B" w:rsidP="00F275EC">
      <w:pPr>
        <w:pStyle w:val="a6"/>
        <w:numPr>
          <w:ilvl w:val="0"/>
          <w:numId w:val="13"/>
        </w:numPr>
        <w:spacing w:after="60"/>
        <w:rPr>
          <w:rFonts w:cs="David"/>
          <w:rtl/>
        </w:rPr>
      </w:pPr>
      <w:r w:rsidRPr="001C40BB">
        <w:rPr>
          <w:rFonts w:cs="David" w:hint="cs"/>
          <w:rtl/>
        </w:rPr>
        <w:t xml:space="preserve">הנוסח </w:t>
      </w:r>
      <w:r w:rsidR="003D2FA6" w:rsidRPr="001C40BB">
        <w:rPr>
          <w:rFonts w:cs="David" w:hint="cs"/>
          <w:rtl/>
        </w:rPr>
        <w:t xml:space="preserve">המוצע </w:t>
      </w:r>
      <w:r w:rsidRPr="001C40BB">
        <w:rPr>
          <w:rFonts w:cs="David" w:hint="cs"/>
          <w:rtl/>
        </w:rPr>
        <w:t xml:space="preserve">כולל את הקביעה </w:t>
      </w:r>
      <w:r w:rsidR="009372C8" w:rsidRPr="001C40BB">
        <w:rPr>
          <w:rFonts w:cs="David"/>
          <w:rtl/>
        </w:rPr>
        <w:t>–</w:t>
      </w:r>
      <w:r w:rsidR="009372C8" w:rsidRPr="001C40BB">
        <w:rPr>
          <w:rFonts w:cs="David" w:hint="cs"/>
          <w:rtl/>
        </w:rPr>
        <w:t xml:space="preserve"> </w:t>
      </w:r>
      <w:r w:rsidRPr="001C40BB">
        <w:rPr>
          <w:rFonts w:cs="David" w:hint="cs"/>
          <w:rtl/>
        </w:rPr>
        <w:t xml:space="preserve">שלא הופיעה בנוסח </w:t>
      </w:r>
      <w:r w:rsidR="009372C8" w:rsidRPr="001C40BB">
        <w:rPr>
          <w:rFonts w:cs="David" w:hint="cs"/>
          <w:rtl/>
        </w:rPr>
        <w:t xml:space="preserve">הקריאה </w:t>
      </w:r>
      <w:r w:rsidRPr="001C40BB">
        <w:rPr>
          <w:rFonts w:cs="David" w:hint="cs"/>
          <w:rtl/>
        </w:rPr>
        <w:t>הראשונה</w:t>
      </w:r>
      <w:r w:rsidR="009372C8" w:rsidRPr="001C40BB">
        <w:rPr>
          <w:rFonts w:cs="David" w:hint="cs"/>
          <w:rtl/>
        </w:rPr>
        <w:t xml:space="preserve"> </w:t>
      </w:r>
      <w:r w:rsidR="009372C8" w:rsidRPr="001C40BB">
        <w:rPr>
          <w:rFonts w:cs="David"/>
          <w:rtl/>
        </w:rPr>
        <w:t>–</w:t>
      </w:r>
      <w:r w:rsidRPr="001C40BB">
        <w:rPr>
          <w:rFonts w:cs="David" w:hint="cs"/>
          <w:rtl/>
        </w:rPr>
        <w:t xml:space="preserve"> </w:t>
      </w:r>
      <w:r w:rsidR="009372C8" w:rsidRPr="00A5119E">
        <w:rPr>
          <w:rFonts w:cs="David" w:hint="cs"/>
          <w:u w:val="single"/>
          <w:rtl/>
        </w:rPr>
        <w:t>ש</w:t>
      </w:r>
      <w:r w:rsidRPr="00A5119E">
        <w:rPr>
          <w:rFonts w:cs="David" w:hint="cs"/>
          <w:u w:val="single"/>
          <w:rtl/>
        </w:rPr>
        <w:t xml:space="preserve">אין </w:t>
      </w:r>
      <w:r w:rsidR="001C40BB" w:rsidRPr="00A5119E">
        <w:rPr>
          <w:rFonts w:cs="David" w:hint="cs"/>
          <w:u w:val="single"/>
          <w:rtl/>
        </w:rPr>
        <w:t>ב</w:t>
      </w:r>
      <w:r w:rsidRPr="00A5119E">
        <w:rPr>
          <w:rFonts w:cs="David" w:hint="cs"/>
          <w:u w:val="single"/>
          <w:rtl/>
        </w:rPr>
        <w:t>אצילת הסמכות לחטיבה כדי להפוך אותה לרשות מרשויות המדינה</w:t>
      </w:r>
      <w:r w:rsidR="001C40BB" w:rsidRPr="00A5119E">
        <w:rPr>
          <w:rFonts w:cs="David" w:hint="cs"/>
          <w:u w:val="single"/>
          <w:rtl/>
        </w:rPr>
        <w:t>,</w:t>
      </w:r>
      <w:r w:rsidR="00FB440E" w:rsidRPr="00A5119E">
        <w:rPr>
          <w:rFonts w:cs="David" w:hint="cs"/>
          <w:u w:val="single"/>
          <w:rtl/>
        </w:rPr>
        <w:t xml:space="preserve"> או </w:t>
      </w:r>
      <w:r w:rsidR="001C40BB" w:rsidRPr="00A5119E">
        <w:rPr>
          <w:rFonts w:cs="David" w:hint="cs"/>
          <w:u w:val="single"/>
          <w:rtl/>
        </w:rPr>
        <w:t xml:space="preserve">כדי </w:t>
      </w:r>
      <w:r w:rsidR="00FB440E" w:rsidRPr="00A5119E">
        <w:rPr>
          <w:rFonts w:cs="David" w:hint="cs"/>
          <w:u w:val="single"/>
          <w:rtl/>
        </w:rPr>
        <w:t>לשנות את היקף החובות מתחום המשפט הציבורי החלות על</w:t>
      </w:r>
      <w:r w:rsidR="001C40BB" w:rsidRPr="00A5119E">
        <w:rPr>
          <w:rFonts w:cs="David" w:hint="cs"/>
          <w:u w:val="single"/>
          <w:rtl/>
        </w:rPr>
        <w:t>י</w:t>
      </w:r>
      <w:r w:rsidR="00FB440E" w:rsidRPr="00A5119E">
        <w:rPr>
          <w:rFonts w:cs="David" w:hint="cs"/>
          <w:u w:val="single"/>
          <w:rtl/>
        </w:rPr>
        <w:t>ה ועל עובדיה</w:t>
      </w:r>
      <w:r w:rsidRPr="001C40BB">
        <w:rPr>
          <w:rFonts w:cs="David" w:hint="cs"/>
          <w:rtl/>
        </w:rPr>
        <w:t xml:space="preserve">. הכוונה העומדת ביסוד הוראה </w:t>
      </w:r>
      <w:r w:rsidR="003D2FA6" w:rsidRPr="001C40BB">
        <w:rPr>
          <w:rFonts w:cs="David" w:hint="cs"/>
          <w:rtl/>
        </w:rPr>
        <w:t xml:space="preserve">חדשה </w:t>
      </w:r>
      <w:r w:rsidRPr="001C40BB">
        <w:rPr>
          <w:rFonts w:cs="David" w:hint="cs"/>
          <w:rtl/>
        </w:rPr>
        <w:t>זו</w:t>
      </w:r>
      <w:r w:rsidR="003D2FA6" w:rsidRPr="001C40BB">
        <w:rPr>
          <w:rFonts w:cs="David" w:hint="cs"/>
          <w:rtl/>
        </w:rPr>
        <w:t>,</w:t>
      </w:r>
      <w:r w:rsidRPr="001C40BB">
        <w:rPr>
          <w:rFonts w:cs="David" w:hint="cs"/>
          <w:rtl/>
        </w:rPr>
        <w:t xml:space="preserve"> היא הרצון להותיר את החטיבה כגוף </w:t>
      </w:r>
      <w:r w:rsidR="001C40BB" w:rsidRPr="001C40BB">
        <w:rPr>
          <w:rFonts w:cs="David" w:hint="cs"/>
          <w:rtl/>
        </w:rPr>
        <w:t xml:space="preserve">פרטי </w:t>
      </w:r>
      <w:r w:rsidRPr="001C40BB">
        <w:rPr>
          <w:rFonts w:cs="David" w:hint="cs"/>
          <w:rtl/>
        </w:rPr>
        <w:t>דו</w:t>
      </w:r>
      <w:r w:rsidR="001C40BB" w:rsidRPr="001C40BB">
        <w:rPr>
          <w:rFonts w:cs="David" w:hint="cs"/>
          <w:rtl/>
        </w:rPr>
        <w:t>-</w:t>
      </w:r>
      <w:r w:rsidRPr="001C40BB">
        <w:rPr>
          <w:rFonts w:cs="David" w:hint="cs"/>
          <w:rtl/>
        </w:rPr>
        <w:t>מהותי, כפי שהיא היום, כדי להימנע מתחול</w:t>
      </w:r>
      <w:r w:rsidR="009372C8" w:rsidRPr="001C40BB">
        <w:rPr>
          <w:rFonts w:cs="David" w:hint="cs"/>
          <w:rtl/>
        </w:rPr>
        <w:t>ה</w:t>
      </w:r>
      <w:r w:rsidRPr="001C40BB">
        <w:rPr>
          <w:rFonts w:cs="David" w:hint="cs"/>
          <w:rtl/>
        </w:rPr>
        <w:t xml:space="preserve"> </w:t>
      </w:r>
      <w:r w:rsidR="00846334" w:rsidRPr="001C40BB">
        <w:rPr>
          <w:rFonts w:cs="David" w:hint="cs"/>
          <w:rtl/>
        </w:rPr>
        <w:t xml:space="preserve">סטטוטורית </w:t>
      </w:r>
      <w:r w:rsidR="001C40BB" w:rsidRPr="001C40BB">
        <w:rPr>
          <w:rFonts w:cs="David" w:hint="cs"/>
          <w:rtl/>
        </w:rPr>
        <w:t xml:space="preserve">רחבה </w:t>
      </w:r>
      <w:r w:rsidR="00846334" w:rsidRPr="001C40BB">
        <w:rPr>
          <w:rFonts w:cs="David" w:hint="cs"/>
          <w:rtl/>
        </w:rPr>
        <w:t xml:space="preserve">של </w:t>
      </w:r>
      <w:r w:rsidRPr="001C40BB">
        <w:rPr>
          <w:rFonts w:cs="David" w:hint="cs"/>
          <w:rtl/>
        </w:rPr>
        <w:t xml:space="preserve">מכלול החובות החלות על רשות ממשלתית ועל עובדיה. </w:t>
      </w:r>
    </w:p>
    <w:p w:rsidR="0071247B" w:rsidRPr="001C40BB" w:rsidRDefault="009372C8" w:rsidP="0057590D">
      <w:pPr>
        <w:rPr>
          <w:rFonts w:cs="David"/>
          <w:rtl/>
        </w:rPr>
      </w:pPr>
      <w:r w:rsidRPr="001C40BB">
        <w:rPr>
          <w:rFonts w:cs="David" w:hint="cs"/>
          <w:rtl/>
        </w:rPr>
        <w:t xml:space="preserve">הנה כי כן, הנוסח המוצע רחב באופן משמעותי מנוסח הקריאה הראשונה, </w:t>
      </w:r>
      <w:r w:rsidR="001A7A7C" w:rsidRPr="001C40BB">
        <w:rPr>
          <w:rFonts w:cs="David" w:hint="cs"/>
          <w:rtl/>
        </w:rPr>
        <w:t xml:space="preserve">ומכאן מתחייבת </w:t>
      </w:r>
      <w:r w:rsidRPr="001C40BB">
        <w:rPr>
          <w:rFonts w:cs="David" w:hint="cs"/>
          <w:rtl/>
        </w:rPr>
        <w:t xml:space="preserve">בחינה מדוקדקת יותר של ההיבטים השונים </w:t>
      </w:r>
      <w:r w:rsidR="001A7A7C" w:rsidRPr="001C40BB">
        <w:rPr>
          <w:rFonts w:cs="David" w:hint="cs"/>
          <w:rtl/>
        </w:rPr>
        <w:t>שיש ל</w:t>
      </w:r>
      <w:r w:rsidRPr="001C40BB">
        <w:rPr>
          <w:rFonts w:cs="David" w:hint="cs"/>
          <w:rtl/>
        </w:rPr>
        <w:t>האצלת הסמכויות מהממשלה לחטיבה.</w:t>
      </w:r>
    </w:p>
    <w:p w:rsidR="009372C8" w:rsidRPr="001C40BB" w:rsidRDefault="009372C8" w:rsidP="0057590D">
      <w:pPr>
        <w:rPr>
          <w:rFonts w:cs="David"/>
          <w:rtl/>
        </w:rPr>
      </w:pPr>
    </w:p>
    <w:p w:rsidR="009852D8" w:rsidRPr="0057590D" w:rsidRDefault="00C96DF7" w:rsidP="0057590D">
      <w:pPr>
        <w:spacing w:after="120" w:line="240" w:lineRule="auto"/>
        <w:rPr>
          <w:rFonts w:cs="David"/>
          <w:u w:val="single"/>
          <w:rtl/>
        </w:rPr>
      </w:pPr>
      <w:r w:rsidRPr="0057590D">
        <w:rPr>
          <w:rFonts w:cs="David" w:hint="cs"/>
          <w:b/>
          <w:bCs/>
          <w:u w:val="single"/>
          <w:rtl/>
        </w:rPr>
        <w:t>היקף החובות שאמור לחול על החטיבה להתיישבות</w:t>
      </w:r>
      <w:r w:rsidRPr="0057590D">
        <w:rPr>
          <w:rFonts w:cs="David" w:hint="cs"/>
          <w:u w:val="single"/>
          <w:rtl/>
        </w:rPr>
        <w:t xml:space="preserve"> </w:t>
      </w:r>
    </w:p>
    <w:p w:rsidR="00946EA1" w:rsidRPr="0057590D" w:rsidRDefault="00E66C4E" w:rsidP="00F84ED3">
      <w:pPr>
        <w:spacing w:after="60"/>
        <w:rPr>
          <w:rFonts w:cs="David"/>
          <w:rtl/>
        </w:rPr>
      </w:pPr>
      <w:r w:rsidRPr="0057590D">
        <w:rPr>
          <w:rFonts w:cs="David" w:hint="cs"/>
          <w:rtl/>
        </w:rPr>
        <w:t xml:space="preserve">על כל </w:t>
      </w:r>
      <w:r w:rsidR="00946EA1" w:rsidRPr="0057590D">
        <w:rPr>
          <w:rFonts w:cs="David" w:hint="cs"/>
          <w:rtl/>
        </w:rPr>
        <w:t>רשות מרשויות המדינה שמפעילה סמכויות שלטוניות חלות חובות שונים מתחומי המשפט הציבורי</w:t>
      </w:r>
      <w:r w:rsidR="00F84ED3">
        <w:rPr>
          <w:rFonts w:cs="David" w:hint="cs"/>
          <w:rtl/>
        </w:rPr>
        <w:t>:</w:t>
      </w:r>
      <w:r w:rsidR="00CE1378" w:rsidRPr="0057590D">
        <w:rPr>
          <w:rFonts w:cs="David" w:hint="cs"/>
          <w:rtl/>
        </w:rPr>
        <w:t xml:space="preserve"> </w:t>
      </w:r>
      <w:r w:rsidR="00946EA1" w:rsidRPr="0057590D">
        <w:rPr>
          <w:rFonts w:cs="David" w:hint="cs"/>
          <w:rtl/>
        </w:rPr>
        <w:t>חלק</w:t>
      </w:r>
      <w:r w:rsidR="00CE1378" w:rsidRPr="0057590D">
        <w:rPr>
          <w:rFonts w:cs="David" w:hint="cs"/>
          <w:rtl/>
        </w:rPr>
        <w:t>ן</w:t>
      </w:r>
      <w:r w:rsidR="00946EA1" w:rsidRPr="0057590D">
        <w:rPr>
          <w:rFonts w:cs="David" w:hint="cs"/>
          <w:rtl/>
        </w:rPr>
        <w:t xml:space="preserve"> </w:t>
      </w:r>
      <w:r w:rsidR="00053283" w:rsidRPr="0057590D">
        <w:rPr>
          <w:rFonts w:cs="David" w:hint="cs"/>
          <w:rtl/>
        </w:rPr>
        <w:t>מכוח חקיקה מפורשת</w:t>
      </w:r>
      <w:r w:rsidR="00946EA1" w:rsidRPr="0057590D">
        <w:rPr>
          <w:rFonts w:cs="David" w:hint="cs"/>
          <w:rtl/>
        </w:rPr>
        <w:t>, כגון: החובה לקיים הליך של מכרז</w:t>
      </w:r>
      <w:r w:rsidR="00053283" w:rsidRPr="0057590D">
        <w:rPr>
          <w:rStyle w:val="a5"/>
          <w:rFonts w:cs="David"/>
          <w:rtl/>
        </w:rPr>
        <w:footnoteReference w:id="1"/>
      </w:r>
      <w:r w:rsidR="00946EA1" w:rsidRPr="0057590D">
        <w:rPr>
          <w:rFonts w:cs="David" w:hint="cs"/>
          <w:rtl/>
        </w:rPr>
        <w:t>, חובת שקיפות</w:t>
      </w:r>
      <w:r w:rsidR="00053283" w:rsidRPr="0057590D">
        <w:rPr>
          <w:rStyle w:val="a5"/>
          <w:rFonts w:cs="David"/>
          <w:rtl/>
        </w:rPr>
        <w:footnoteReference w:id="2"/>
      </w:r>
      <w:r w:rsidR="00946EA1" w:rsidRPr="0057590D">
        <w:rPr>
          <w:rFonts w:cs="David" w:hint="cs"/>
          <w:rtl/>
        </w:rPr>
        <w:t xml:space="preserve">, החובה לנהל עסקאות רק עם גורמים </w:t>
      </w:r>
      <w:r w:rsidR="00F84ED3">
        <w:rPr>
          <w:rFonts w:cs="David" w:hint="cs"/>
          <w:rtl/>
        </w:rPr>
        <w:t xml:space="preserve">שפועל כדין בתחום המס </w:t>
      </w:r>
      <w:r w:rsidR="00946EA1" w:rsidRPr="0057590D">
        <w:rPr>
          <w:rFonts w:cs="David" w:hint="cs"/>
          <w:rtl/>
        </w:rPr>
        <w:t>ואינם מפרים זכויות עובדים</w:t>
      </w:r>
      <w:r w:rsidR="00053283" w:rsidRPr="0057590D">
        <w:rPr>
          <w:rStyle w:val="a5"/>
          <w:rFonts w:cs="David"/>
          <w:rtl/>
        </w:rPr>
        <w:footnoteReference w:id="3"/>
      </w:r>
      <w:r w:rsidR="00946EA1" w:rsidRPr="0057590D">
        <w:rPr>
          <w:rFonts w:cs="David" w:hint="cs"/>
          <w:rtl/>
        </w:rPr>
        <w:t>, ועוד</w:t>
      </w:r>
      <w:r w:rsidR="00053283" w:rsidRPr="0057590D">
        <w:rPr>
          <w:rFonts w:cs="David" w:hint="cs"/>
          <w:rtl/>
        </w:rPr>
        <w:t>;</w:t>
      </w:r>
      <w:r w:rsidR="00946EA1" w:rsidRPr="0057590D">
        <w:rPr>
          <w:rFonts w:cs="David" w:hint="cs"/>
          <w:rtl/>
        </w:rPr>
        <w:t xml:space="preserve"> </w:t>
      </w:r>
      <w:r w:rsidR="00053283" w:rsidRPr="0057590D">
        <w:rPr>
          <w:rFonts w:cs="David" w:hint="cs"/>
          <w:rtl/>
        </w:rPr>
        <w:t>ו</w:t>
      </w:r>
      <w:r w:rsidR="00946EA1" w:rsidRPr="0057590D">
        <w:rPr>
          <w:rFonts w:cs="David" w:hint="cs"/>
          <w:rtl/>
        </w:rPr>
        <w:t>חלק</w:t>
      </w:r>
      <w:r w:rsidR="00CE1378" w:rsidRPr="0057590D">
        <w:rPr>
          <w:rFonts w:cs="David" w:hint="cs"/>
          <w:rtl/>
        </w:rPr>
        <w:t xml:space="preserve">ן </w:t>
      </w:r>
      <w:r w:rsidR="00946EA1" w:rsidRPr="0057590D">
        <w:rPr>
          <w:rFonts w:cs="David" w:hint="cs"/>
          <w:rtl/>
        </w:rPr>
        <w:t>מכוח העקרונות הכללי</w:t>
      </w:r>
      <w:r w:rsidR="00EA3AC5">
        <w:rPr>
          <w:rFonts w:cs="David" w:hint="cs"/>
          <w:rtl/>
        </w:rPr>
        <w:t>י</w:t>
      </w:r>
      <w:r w:rsidR="00946EA1" w:rsidRPr="0057590D">
        <w:rPr>
          <w:rFonts w:cs="David" w:hint="cs"/>
          <w:rtl/>
        </w:rPr>
        <w:t>ם של המשפט הציבורי בישראל</w:t>
      </w:r>
      <w:r w:rsidR="001C40BB" w:rsidRPr="0057590D">
        <w:rPr>
          <w:rFonts w:cs="David" w:hint="cs"/>
          <w:rtl/>
        </w:rPr>
        <w:t>, כגון</w:t>
      </w:r>
      <w:r w:rsidR="00946EA1" w:rsidRPr="0057590D">
        <w:rPr>
          <w:rFonts w:cs="David" w:hint="cs"/>
          <w:rtl/>
        </w:rPr>
        <w:t>: החובה לנהוג בהגינות, בשוויון, לפי כללי הצדק הטבעי ועוד.</w:t>
      </w:r>
      <w:r w:rsidR="00053283" w:rsidRPr="0057590D">
        <w:rPr>
          <w:rFonts w:cs="David" w:hint="cs"/>
          <w:rtl/>
        </w:rPr>
        <w:t xml:space="preserve"> </w:t>
      </w:r>
      <w:r w:rsidR="00946EA1" w:rsidRPr="0057590D">
        <w:rPr>
          <w:rFonts w:cs="David" w:hint="cs"/>
          <w:rtl/>
        </w:rPr>
        <w:t xml:space="preserve">כמו כן, על עובדי הרשות הציבורית חלים כללי אתיקה ומשמעת </w:t>
      </w:r>
      <w:r w:rsidR="00053283" w:rsidRPr="0057590D">
        <w:rPr>
          <w:rFonts w:cs="David" w:hint="cs"/>
          <w:rtl/>
        </w:rPr>
        <w:t>שונים</w:t>
      </w:r>
      <w:r w:rsidR="002B58E9" w:rsidRPr="0057590D">
        <w:rPr>
          <w:rStyle w:val="a5"/>
          <w:rFonts w:cs="David"/>
          <w:rtl/>
        </w:rPr>
        <w:footnoteReference w:id="4"/>
      </w:r>
      <w:r w:rsidR="002B58E9" w:rsidRPr="0057590D">
        <w:rPr>
          <w:rFonts w:cs="David" w:hint="cs"/>
          <w:rtl/>
        </w:rPr>
        <w:t>,</w:t>
      </w:r>
      <w:r w:rsidR="00053283" w:rsidRPr="0057590D">
        <w:rPr>
          <w:rFonts w:cs="David" w:hint="cs"/>
          <w:rtl/>
        </w:rPr>
        <w:t xml:space="preserve"> שנועדו להבטיח כי הפעלת הסמכות השלטונית תיעשה תוך הקפדה על מנהל תקין וטוהר מידות.</w:t>
      </w:r>
      <w:r w:rsidR="00946EA1" w:rsidRPr="0057590D">
        <w:rPr>
          <w:rFonts w:cs="David" w:hint="cs"/>
          <w:rtl/>
        </w:rPr>
        <w:t xml:space="preserve"> </w:t>
      </w:r>
    </w:p>
    <w:p w:rsidR="00B26223" w:rsidRPr="0057590D" w:rsidRDefault="0063688F" w:rsidP="00710464">
      <w:pPr>
        <w:spacing w:after="60"/>
        <w:rPr>
          <w:rFonts w:cs="David"/>
          <w:rtl/>
        </w:rPr>
      </w:pPr>
      <w:r w:rsidRPr="0057590D">
        <w:rPr>
          <w:rFonts w:cs="David" w:hint="cs"/>
          <w:rtl/>
        </w:rPr>
        <w:t xml:space="preserve">כל אימת שהמחוקק מחליט </w:t>
      </w:r>
      <w:r w:rsidR="001C40BB" w:rsidRPr="0057590D">
        <w:rPr>
          <w:rFonts w:cs="David" w:hint="cs"/>
          <w:rtl/>
        </w:rPr>
        <w:t xml:space="preserve">להעביר </w:t>
      </w:r>
      <w:r w:rsidRPr="0057590D">
        <w:rPr>
          <w:rFonts w:cs="David" w:hint="cs"/>
          <w:rtl/>
        </w:rPr>
        <w:t xml:space="preserve">סמכויות שלטוניות לגוף חוץ-ממשלתי, הרי שגם </w:t>
      </w:r>
      <w:r w:rsidR="001C40BB" w:rsidRPr="0057590D">
        <w:rPr>
          <w:rFonts w:cs="David" w:hint="cs"/>
          <w:rtl/>
        </w:rPr>
        <w:t xml:space="preserve">אם קיימת </w:t>
      </w:r>
      <w:r w:rsidR="00F84ED3">
        <w:rPr>
          <w:rFonts w:cs="David" w:hint="cs"/>
          <w:rtl/>
        </w:rPr>
        <w:t>ה</w:t>
      </w:r>
      <w:r w:rsidR="00B26223" w:rsidRPr="0057590D">
        <w:rPr>
          <w:rFonts w:cs="David" w:hint="cs"/>
          <w:u w:val="single"/>
          <w:rtl/>
        </w:rPr>
        <w:t>הצדקה</w:t>
      </w:r>
      <w:r w:rsidR="00B26223" w:rsidRPr="0057590D">
        <w:rPr>
          <w:rFonts w:cs="David" w:hint="cs"/>
          <w:rtl/>
        </w:rPr>
        <w:t xml:space="preserve"> להעברת הסמכות, ברור כי ל</w:t>
      </w:r>
      <w:r w:rsidR="00B26223" w:rsidRPr="0057590D">
        <w:rPr>
          <w:rFonts w:cs="David" w:hint="cs"/>
          <w:u w:val="single"/>
          <w:rtl/>
        </w:rPr>
        <w:t xml:space="preserve">היקף הסמכויות </w:t>
      </w:r>
      <w:r w:rsidR="002B58E9" w:rsidRPr="0057590D">
        <w:rPr>
          <w:rFonts w:cs="David" w:hint="cs"/>
          <w:u w:val="single"/>
          <w:rtl/>
        </w:rPr>
        <w:t>המועברות</w:t>
      </w:r>
      <w:r w:rsidR="002B58E9" w:rsidRPr="0057590D">
        <w:rPr>
          <w:rFonts w:cs="David" w:hint="cs"/>
          <w:rtl/>
        </w:rPr>
        <w:t xml:space="preserve"> </w:t>
      </w:r>
      <w:r w:rsidR="00B26223" w:rsidRPr="0057590D">
        <w:rPr>
          <w:rFonts w:cs="David" w:hint="cs"/>
          <w:rtl/>
        </w:rPr>
        <w:t xml:space="preserve">לגוף החוץ-ממשלתי צריכה להיות השפעה על </w:t>
      </w:r>
      <w:r w:rsidR="00B26223" w:rsidRPr="0057590D">
        <w:rPr>
          <w:rFonts w:cs="David" w:hint="cs"/>
          <w:u w:val="single"/>
          <w:rtl/>
        </w:rPr>
        <w:t xml:space="preserve">מאפייני הגוף והיקף החובות המנהליות </w:t>
      </w:r>
      <w:r w:rsidR="001C40BB" w:rsidRPr="0057590D">
        <w:rPr>
          <w:rFonts w:cs="David" w:hint="cs"/>
          <w:u w:val="single"/>
          <w:rtl/>
        </w:rPr>
        <w:t>שיחולו עליו</w:t>
      </w:r>
      <w:r w:rsidR="00B26223" w:rsidRPr="0057590D">
        <w:rPr>
          <w:rFonts w:cs="David" w:hint="cs"/>
          <w:rtl/>
        </w:rPr>
        <w:t xml:space="preserve">. אך טבעי הוא, כי </w:t>
      </w:r>
      <w:r w:rsidR="00B26223" w:rsidRPr="0057590D">
        <w:rPr>
          <w:rFonts w:cs="David" w:hint="cs"/>
          <w:b/>
          <w:bCs/>
          <w:rtl/>
        </w:rPr>
        <w:t>ככל ש</w:t>
      </w:r>
      <w:r w:rsidR="002B58E9" w:rsidRPr="0057590D">
        <w:rPr>
          <w:rFonts w:cs="David" w:hint="cs"/>
          <w:b/>
          <w:bCs/>
          <w:rtl/>
        </w:rPr>
        <w:t xml:space="preserve">היקף </w:t>
      </w:r>
      <w:r w:rsidR="00B26223" w:rsidRPr="0057590D">
        <w:rPr>
          <w:rFonts w:cs="David" w:hint="cs"/>
          <w:b/>
          <w:bCs/>
          <w:rtl/>
        </w:rPr>
        <w:t xml:space="preserve">הסמכויות </w:t>
      </w:r>
      <w:r w:rsidR="002B58E9" w:rsidRPr="0057590D">
        <w:rPr>
          <w:rFonts w:cs="David" w:hint="cs"/>
          <w:b/>
          <w:bCs/>
          <w:rtl/>
        </w:rPr>
        <w:t xml:space="preserve">שהמחוקק בוחר להעביר לגוף </w:t>
      </w:r>
      <w:r w:rsidR="004471DA" w:rsidRPr="0057590D">
        <w:rPr>
          <w:rFonts w:cs="David" w:hint="cs"/>
          <w:b/>
          <w:bCs/>
          <w:rtl/>
        </w:rPr>
        <w:t xml:space="preserve">החוץ-ממשלתי </w:t>
      </w:r>
      <w:r w:rsidR="002B58E9" w:rsidRPr="0057590D">
        <w:rPr>
          <w:rFonts w:cs="David" w:hint="cs"/>
          <w:b/>
          <w:bCs/>
          <w:rtl/>
        </w:rPr>
        <w:t>הוא רחב יותר</w:t>
      </w:r>
      <w:r w:rsidR="00B26223" w:rsidRPr="0057590D">
        <w:rPr>
          <w:rFonts w:cs="David" w:hint="cs"/>
          <w:b/>
          <w:bCs/>
          <w:rtl/>
        </w:rPr>
        <w:t xml:space="preserve">, גם החובות שצריכות לחול עליו תהיינה רחבות יותר, </w:t>
      </w:r>
      <w:r w:rsidR="004471DA" w:rsidRPr="0057590D">
        <w:rPr>
          <w:rFonts w:cs="David" w:hint="cs"/>
          <w:b/>
          <w:bCs/>
          <w:rtl/>
        </w:rPr>
        <w:t xml:space="preserve">שכן </w:t>
      </w:r>
      <w:r w:rsidR="00B26223" w:rsidRPr="0057590D">
        <w:rPr>
          <w:rFonts w:cs="David" w:hint="cs"/>
          <w:b/>
          <w:bCs/>
          <w:rtl/>
        </w:rPr>
        <w:t>עם הסמכות צריכה לבוא גם האחריו</w:t>
      </w:r>
      <w:r w:rsidR="002B58E9" w:rsidRPr="0057590D">
        <w:rPr>
          <w:rFonts w:cs="David" w:hint="cs"/>
          <w:b/>
          <w:bCs/>
          <w:rtl/>
        </w:rPr>
        <w:t>ת והחובות הנובעות מ</w:t>
      </w:r>
      <w:r w:rsidR="004471DA" w:rsidRPr="0057590D">
        <w:rPr>
          <w:rFonts w:cs="David" w:hint="cs"/>
          <w:b/>
          <w:bCs/>
          <w:rtl/>
        </w:rPr>
        <w:t>מנה</w:t>
      </w:r>
      <w:r w:rsidR="00B26223" w:rsidRPr="0057590D">
        <w:rPr>
          <w:rFonts w:cs="David" w:hint="cs"/>
          <w:rtl/>
        </w:rPr>
        <w:t xml:space="preserve">. </w:t>
      </w:r>
    </w:p>
    <w:p w:rsidR="0063688F" w:rsidRPr="0057590D" w:rsidRDefault="0063688F" w:rsidP="00C8334C">
      <w:pPr>
        <w:spacing w:after="60"/>
        <w:rPr>
          <w:rFonts w:cs="David"/>
          <w:rtl/>
        </w:rPr>
      </w:pPr>
      <w:r w:rsidRPr="0057590D">
        <w:rPr>
          <w:rFonts w:cs="David" w:hint="cs"/>
          <w:rtl/>
        </w:rPr>
        <w:t>ואולם, הצעת החוק, בנ</w:t>
      </w:r>
      <w:r w:rsidR="00B21283" w:rsidRPr="0057590D">
        <w:rPr>
          <w:rFonts w:cs="David" w:hint="cs"/>
          <w:rtl/>
        </w:rPr>
        <w:t>ו</w:t>
      </w:r>
      <w:r w:rsidRPr="0057590D">
        <w:rPr>
          <w:rFonts w:cs="David" w:hint="cs"/>
          <w:rtl/>
        </w:rPr>
        <w:t xml:space="preserve">סח המוצע, יוצרת </w:t>
      </w:r>
      <w:r w:rsidR="00720B37">
        <w:rPr>
          <w:rFonts w:cs="David" w:hint="cs"/>
          <w:rtl/>
        </w:rPr>
        <w:t>חוסר הלימה</w:t>
      </w:r>
      <w:r w:rsidRPr="0057590D">
        <w:rPr>
          <w:rFonts w:cs="David" w:hint="cs"/>
          <w:rtl/>
        </w:rPr>
        <w:t xml:space="preserve"> בין היקף הסמכויות המועברות לחטיבה לבין החובות </w:t>
      </w:r>
      <w:r w:rsidR="00F84ED3">
        <w:rPr>
          <w:rFonts w:cs="David" w:hint="cs"/>
          <w:rtl/>
        </w:rPr>
        <w:t xml:space="preserve">שיחולו </w:t>
      </w:r>
      <w:r w:rsidRPr="0057590D">
        <w:rPr>
          <w:rFonts w:cs="David" w:hint="cs"/>
          <w:rtl/>
        </w:rPr>
        <w:t>על החטיבה</w:t>
      </w:r>
      <w:r w:rsidR="009F2121">
        <w:rPr>
          <w:rFonts w:cs="David" w:hint="cs"/>
          <w:rtl/>
        </w:rPr>
        <w:t>,</w:t>
      </w:r>
      <w:r w:rsidR="00720B37">
        <w:rPr>
          <w:rFonts w:cs="David" w:hint="cs"/>
          <w:rtl/>
        </w:rPr>
        <w:t xml:space="preserve"> שמוביל לאנומליה</w:t>
      </w:r>
      <w:r w:rsidRPr="0057590D">
        <w:rPr>
          <w:rFonts w:cs="David" w:hint="cs"/>
          <w:rtl/>
        </w:rPr>
        <w:t xml:space="preserve">. מצד אחד, בכל הנוגע להיקף הסמכויות של החטיבה, </w:t>
      </w:r>
      <w:r w:rsidRPr="00F84ED3">
        <w:rPr>
          <w:rFonts w:cs="David" w:hint="cs"/>
          <w:b/>
          <w:bCs/>
          <w:rtl/>
        </w:rPr>
        <w:t>המכלול המצטבר של התכנים המהותיים שבהצעת החוק מוביל לכך שהחטיבה תתפקד, למעשה, כגוף ממשלתי</w:t>
      </w:r>
      <w:r w:rsidRPr="0057590D">
        <w:rPr>
          <w:rFonts w:cs="David" w:hint="cs"/>
          <w:rtl/>
        </w:rPr>
        <w:t xml:space="preserve">. זאת, ניתן ללמוד הן </w:t>
      </w:r>
      <w:r w:rsidRPr="0057590D">
        <w:rPr>
          <w:rFonts w:cs="David" w:hint="cs"/>
          <w:b/>
          <w:bCs/>
          <w:rtl/>
        </w:rPr>
        <w:t>מהיקף תחומי הפעילות</w:t>
      </w:r>
      <w:r w:rsidRPr="0057590D">
        <w:rPr>
          <w:rFonts w:cs="David" w:hint="cs"/>
          <w:rtl/>
        </w:rPr>
        <w:t xml:space="preserve"> שניתן להעביר לחטיבה (=כל התחומים שההסתדרות הציונית העולמית מתעסקת בהם</w:t>
      </w:r>
      <w:r w:rsidRPr="0057590D">
        <w:rPr>
          <w:rStyle w:val="a5"/>
          <w:rFonts w:cs="David"/>
          <w:rtl/>
        </w:rPr>
        <w:footnoteReference w:id="5"/>
      </w:r>
      <w:r w:rsidRPr="0057590D">
        <w:rPr>
          <w:rFonts w:cs="David" w:hint="cs"/>
          <w:rtl/>
        </w:rPr>
        <w:t xml:space="preserve">), </w:t>
      </w:r>
      <w:r w:rsidRPr="0057590D">
        <w:rPr>
          <w:rFonts w:cs="David" w:hint="cs"/>
          <w:b/>
          <w:bCs/>
          <w:rtl/>
        </w:rPr>
        <w:t>אופן תקצוב</w:t>
      </w:r>
      <w:r w:rsidR="00F84ED3">
        <w:rPr>
          <w:rFonts w:cs="David" w:hint="cs"/>
          <w:b/>
          <w:bCs/>
          <w:rtl/>
        </w:rPr>
        <w:t>ה</w:t>
      </w:r>
      <w:r w:rsidRPr="0057590D">
        <w:rPr>
          <w:rFonts w:cs="David" w:hint="cs"/>
          <w:b/>
          <w:bCs/>
          <w:rtl/>
        </w:rPr>
        <w:t xml:space="preserve"> </w:t>
      </w:r>
      <w:r w:rsidR="00C022F7" w:rsidRPr="0057590D">
        <w:rPr>
          <w:rFonts w:cs="David" w:hint="cs"/>
          <w:b/>
          <w:bCs/>
          <w:rtl/>
        </w:rPr>
        <w:t>של החטיבה</w:t>
      </w:r>
      <w:r w:rsidR="00C022F7" w:rsidRPr="0057590D">
        <w:rPr>
          <w:rFonts w:cs="David" w:hint="cs"/>
          <w:rtl/>
        </w:rPr>
        <w:t xml:space="preserve"> </w:t>
      </w:r>
      <w:r w:rsidRPr="0057590D">
        <w:rPr>
          <w:rFonts w:cs="David" w:hint="cs"/>
          <w:rtl/>
        </w:rPr>
        <w:t>(=תקצוב ישיר בתקציב המדינה בדומה לגופים ממשלתיים), ו</w:t>
      </w:r>
      <w:r w:rsidR="00C022F7" w:rsidRPr="0057590D">
        <w:rPr>
          <w:rFonts w:cs="David" w:hint="cs"/>
          <w:b/>
          <w:bCs/>
          <w:rtl/>
        </w:rPr>
        <w:t xml:space="preserve">ממשק </w:t>
      </w:r>
      <w:r w:rsidRPr="0057590D">
        <w:rPr>
          <w:rFonts w:cs="David" w:hint="cs"/>
          <w:b/>
          <w:bCs/>
          <w:rtl/>
        </w:rPr>
        <w:t>היחסים בין הממשלה לחטיבה</w:t>
      </w:r>
      <w:r w:rsidRPr="0057590D">
        <w:rPr>
          <w:rFonts w:cs="David" w:hint="cs"/>
          <w:rtl/>
        </w:rPr>
        <w:t xml:space="preserve"> (=האצלת סמכויות ולא הסתייעות והטלת משימות על קבלן ביצוע). מצד שני, בכל הנוגע להיקף החובות החלות על החטיבה, הניסוח המוצע מבקש לשוות לחטיבה מעטפת משפטית חיצונית של גוף פרטי דו-מהותי שכללי המשפט הציבורי אינם חלים עליו במלואם.</w:t>
      </w:r>
      <w:r w:rsidR="00804895" w:rsidRPr="0057590D">
        <w:rPr>
          <w:rFonts w:cs="David" w:hint="cs"/>
          <w:rtl/>
        </w:rPr>
        <w:t xml:space="preserve"> </w:t>
      </w:r>
      <w:r w:rsidRPr="0057590D">
        <w:rPr>
          <w:rFonts w:cs="David" w:hint="cs"/>
          <w:rtl/>
        </w:rPr>
        <w:t xml:space="preserve">כך, יוצר ההסדר גוף </w:t>
      </w:r>
      <w:r w:rsidR="00800C73" w:rsidRPr="0057590D">
        <w:rPr>
          <w:rFonts w:cs="David" w:hint="cs"/>
          <w:rtl/>
        </w:rPr>
        <w:t xml:space="preserve">אנומלי, </w:t>
      </w:r>
      <w:r w:rsidRPr="0057590D">
        <w:rPr>
          <w:rFonts w:cs="David" w:hint="cs"/>
          <w:b/>
          <w:bCs/>
          <w:rtl/>
        </w:rPr>
        <w:t>ש</w:t>
      </w:r>
      <w:r w:rsidRPr="00F84ED3">
        <w:rPr>
          <w:rFonts w:cs="David" w:hint="cs"/>
          <w:b/>
          <w:bCs/>
          <w:u w:val="single"/>
          <w:rtl/>
        </w:rPr>
        <w:t>להלכה</w:t>
      </w:r>
      <w:r w:rsidRPr="0057590D">
        <w:rPr>
          <w:rFonts w:cs="David" w:hint="cs"/>
          <w:b/>
          <w:bCs/>
          <w:rtl/>
        </w:rPr>
        <w:t xml:space="preserve"> הוא גוף פרטי </w:t>
      </w:r>
      <w:r w:rsidR="009457FE">
        <w:rPr>
          <w:rFonts w:cs="David" w:hint="cs"/>
          <w:b/>
          <w:bCs/>
          <w:rtl/>
        </w:rPr>
        <w:t xml:space="preserve">     </w:t>
      </w:r>
      <w:r w:rsidRPr="0057590D">
        <w:rPr>
          <w:rFonts w:cs="David" w:hint="cs"/>
          <w:b/>
          <w:bCs/>
          <w:rtl/>
        </w:rPr>
        <w:t xml:space="preserve">דו-מהותי אך </w:t>
      </w:r>
      <w:r w:rsidRPr="00F84ED3">
        <w:rPr>
          <w:rFonts w:cs="David" w:hint="cs"/>
          <w:b/>
          <w:bCs/>
          <w:u w:val="single"/>
          <w:rtl/>
        </w:rPr>
        <w:t>למעשה</w:t>
      </w:r>
      <w:r w:rsidRPr="0057590D">
        <w:rPr>
          <w:rFonts w:cs="David" w:hint="cs"/>
          <w:b/>
          <w:bCs/>
          <w:rtl/>
        </w:rPr>
        <w:t xml:space="preserve"> מתפקד כגוף ממשלתי</w:t>
      </w:r>
      <w:r w:rsidRPr="0057590D">
        <w:rPr>
          <w:rFonts w:cs="David" w:hint="cs"/>
          <w:rtl/>
        </w:rPr>
        <w:t xml:space="preserve">. </w:t>
      </w:r>
    </w:p>
    <w:p w:rsidR="00804895" w:rsidRPr="0057590D" w:rsidRDefault="00804895" w:rsidP="00710464">
      <w:pPr>
        <w:spacing w:after="60"/>
        <w:rPr>
          <w:rFonts w:cs="David"/>
          <w:rtl/>
        </w:rPr>
      </w:pPr>
      <w:r w:rsidRPr="0057590D">
        <w:rPr>
          <w:rFonts w:cs="David" w:hint="cs"/>
          <w:rtl/>
        </w:rPr>
        <w:t>ההצדקה למבנה משפטי חריג מעין זה מעוררת שאלות</w:t>
      </w:r>
      <w:r w:rsidR="00E04852">
        <w:rPr>
          <w:rFonts w:cs="David" w:hint="cs"/>
          <w:rtl/>
        </w:rPr>
        <w:t xml:space="preserve"> שונות</w:t>
      </w:r>
      <w:r w:rsidRPr="0057590D">
        <w:rPr>
          <w:rFonts w:cs="David" w:hint="cs"/>
          <w:rtl/>
        </w:rPr>
        <w:t>:</w:t>
      </w:r>
    </w:p>
    <w:p w:rsidR="00804895" w:rsidRPr="0057590D" w:rsidRDefault="00804895" w:rsidP="00BE54CE">
      <w:pPr>
        <w:spacing w:after="60"/>
        <w:rPr>
          <w:rFonts w:cs="David"/>
          <w:rtl/>
        </w:rPr>
      </w:pPr>
      <w:r w:rsidRPr="0057590D">
        <w:rPr>
          <w:rFonts w:cs="David" w:hint="cs"/>
          <w:u w:val="single"/>
          <w:rtl/>
        </w:rPr>
        <w:t>ראשית</w:t>
      </w:r>
      <w:r w:rsidRPr="0057590D">
        <w:rPr>
          <w:rFonts w:cs="David" w:hint="cs"/>
          <w:rtl/>
        </w:rPr>
        <w:t xml:space="preserve">, </w:t>
      </w:r>
      <w:r w:rsidR="00D12DA4" w:rsidRPr="0057590D">
        <w:rPr>
          <w:rFonts w:cs="David" w:hint="cs"/>
          <w:rtl/>
        </w:rPr>
        <w:t>לא ברור מה שונה החטיבה להתיישבות ועובדיה מכל יתר הגופים שהמחוקק בחר להעניק להם סמכויות שלטוניות</w:t>
      </w:r>
      <w:r w:rsidR="00B21283" w:rsidRPr="0057590D">
        <w:rPr>
          <w:rFonts w:cs="David" w:hint="cs"/>
          <w:rtl/>
        </w:rPr>
        <w:t xml:space="preserve"> והחיל עליהם את חובות המשפט הציבורי</w:t>
      </w:r>
      <w:r w:rsidR="00D12DA4" w:rsidRPr="0057590D">
        <w:rPr>
          <w:rFonts w:cs="David" w:hint="cs"/>
          <w:rtl/>
        </w:rPr>
        <w:t xml:space="preserve">? מדוע על עובד של הרשות למלחמה בסמים </w:t>
      </w:r>
      <w:r w:rsidR="00C022F7" w:rsidRPr="0057590D">
        <w:rPr>
          <w:rFonts w:cs="David" w:hint="cs"/>
          <w:rtl/>
        </w:rPr>
        <w:t xml:space="preserve">מחיל המחוקק במפורש </w:t>
      </w:r>
      <w:r w:rsidR="00D12DA4" w:rsidRPr="0057590D">
        <w:rPr>
          <w:rFonts w:cs="David" w:hint="cs"/>
          <w:rtl/>
        </w:rPr>
        <w:t xml:space="preserve">הגבלות לאחר פרישתו שנועדו למנוע </w:t>
      </w:r>
      <w:r w:rsidR="00D12DA4" w:rsidRPr="0057590D">
        <w:rPr>
          <w:rFonts w:cs="David" w:hint="cs"/>
          <w:b/>
          <w:bCs/>
          <w:rtl/>
        </w:rPr>
        <w:t>ניגוד עניינים</w:t>
      </w:r>
      <w:r w:rsidR="00D12DA4" w:rsidRPr="0057590D">
        <w:rPr>
          <w:rFonts w:cs="David" w:hint="cs"/>
          <w:rtl/>
        </w:rPr>
        <w:t xml:space="preserve"> בעבודתו</w:t>
      </w:r>
      <w:r w:rsidR="00D12DA4" w:rsidRPr="0057590D">
        <w:rPr>
          <w:rStyle w:val="a5"/>
          <w:rFonts w:cs="David"/>
          <w:rtl/>
        </w:rPr>
        <w:footnoteReference w:id="6"/>
      </w:r>
      <w:r w:rsidR="00D12DA4" w:rsidRPr="0057590D">
        <w:rPr>
          <w:rFonts w:cs="David" w:hint="cs"/>
          <w:rtl/>
        </w:rPr>
        <w:t xml:space="preserve">, אך על עובד החטיבה </w:t>
      </w:r>
      <w:r w:rsidR="00B21283" w:rsidRPr="0057590D">
        <w:rPr>
          <w:rFonts w:cs="David" w:hint="cs"/>
          <w:rtl/>
        </w:rPr>
        <w:t xml:space="preserve">החוק </w:t>
      </w:r>
      <w:r w:rsidR="00C022F7" w:rsidRPr="0057590D">
        <w:rPr>
          <w:rFonts w:cs="David" w:hint="cs"/>
          <w:rtl/>
        </w:rPr>
        <w:t>לא יח</w:t>
      </w:r>
      <w:r w:rsidR="00B21283" w:rsidRPr="0057590D">
        <w:rPr>
          <w:rFonts w:cs="David" w:hint="cs"/>
          <w:rtl/>
        </w:rPr>
        <w:t>י</w:t>
      </w:r>
      <w:r w:rsidR="00C022F7" w:rsidRPr="0057590D">
        <w:rPr>
          <w:rFonts w:cs="David" w:hint="cs"/>
          <w:rtl/>
        </w:rPr>
        <w:t xml:space="preserve">ל </w:t>
      </w:r>
      <w:r w:rsidR="00D12DA4" w:rsidRPr="0057590D">
        <w:rPr>
          <w:rFonts w:cs="David" w:hint="cs"/>
          <w:rtl/>
        </w:rPr>
        <w:t xml:space="preserve">הגבלות אלה? </w:t>
      </w:r>
      <w:r w:rsidR="00734FF3" w:rsidRPr="0057590D">
        <w:rPr>
          <w:rFonts w:cs="David" w:hint="cs"/>
          <w:rtl/>
        </w:rPr>
        <w:t xml:space="preserve">מדוע על עובד של הרשות לפיקוח חקלאי </w:t>
      </w:r>
      <w:r w:rsidR="00C022F7" w:rsidRPr="0057590D">
        <w:rPr>
          <w:rFonts w:cs="David" w:hint="cs"/>
          <w:rtl/>
        </w:rPr>
        <w:t xml:space="preserve">מחיל המחוקק במפורש </w:t>
      </w:r>
      <w:r w:rsidR="00734FF3" w:rsidRPr="0057590D">
        <w:rPr>
          <w:rFonts w:cs="David" w:hint="cs"/>
          <w:rtl/>
        </w:rPr>
        <w:t xml:space="preserve">מגבלות באשר לקבלת מתנות </w:t>
      </w:r>
      <w:r w:rsidR="00E04852">
        <w:rPr>
          <w:rFonts w:cs="David" w:hint="cs"/>
          <w:rtl/>
        </w:rPr>
        <w:t>מטעמי</w:t>
      </w:r>
      <w:r w:rsidR="00734FF3" w:rsidRPr="0057590D">
        <w:rPr>
          <w:rFonts w:cs="David" w:hint="cs"/>
          <w:rtl/>
        </w:rPr>
        <w:t xml:space="preserve"> </w:t>
      </w:r>
      <w:r w:rsidR="00734FF3" w:rsidRPr="0057590D">
        <w:rPr>
          <w:rFonts w:cs="David" w:hint="cs"/>
          <w:b/>
          <w:bCs/>
          <w:rtl/>
        </w:rPr>
        <w:t>טוהר מידות</w:t>
      </w:r>
      <w:r w:rsidR="00734FF3" w:rsidRPr="0057590D">
        <w:rPr>
          <w:rStyle w:val="a5"/>
          <w:rFonts w:cs="David"/>
          <w:rtl/>
        </w:rPr>
        <w:footnoteReference w:id="7"/>
      </w:r>
      <w:r w:rsidR="00734FF3" w:rsidRPr="0057590D">
        <w:rPr>
          <w:rFonts w:cs="David" w:hint="cs"/>
          <w:rtl/>
        </w:rPr>
        <w:t xml:space="preserve">, אך על עובד החטיבה </w:t>
      </w:r>
      <w:r w:rsidR="00B21283" w:rsidRPr="0057590D">
        <w:rPr>
          <w:rFonts w:cs="David" w:hint="cs"/>
          <w:rtl/>
        </w:rPr>
        <w:t xml:space="preserve">החוק לא יחיל </w:t>
      </w:r>
      <w:r w:rsidR="00734FF3" w:rsidRPr="0057590D">
        <w:rPr>
          <w:rFonts w:cs="David" w:hint="cs"/>
          <w:rtl/>
        </w:rPr>
        <w:t>הגבלות אלה?</w:t>
      </w:r>
      <w:r w:rsidR="00B13C03" w:rsidRPr="0057590D">
        <w:rPr>
          <w:rFonts w:cs="David" w:hint="cs"/>
          <w:rtl/>
        </w:rPr>
        <w:t xml:space="preserve"> </w:t>
      </w:r>
      <w:r w:rsidR="000A44B2">
        <w:rPr>
          <w:rFonts w:cs="David" w:hint="cs"/>
          <w:rtl/>
        </w:rPr>
        <w:t xml:space="preserve">הדברים </w:t>
      </w:r>
      <w:r w:rsidR="003D63C0">
        <w:rPr>
          <w:rFonts w:cs="David" w:hint="cs"/>
          <w:rtl/>
        </w:rPr>
        <w:t xml:space="preserve">הם </w:t>
      </w:r>
      <w:r w:rsidR="000A44B2">
        <w:rPr>
          <w:rFonts w:cs="David" w:hint="cs"/>
          <w:rtl/>
        </w:rPr>
        <w:t xml:space="preserve">ביתר שאת בהתחשב בכך </w:t>
      </w:r>
      <w:r w:rsidR="00B13C03" w:rsidRPr="0057590D">
        <w:rPr>
          <w:rFonts w:cs="David" w:hint="cs"/>
          <w:rtl/>
        </w:rPr>
        <w:t xml:space="preserve">שהסמכויות </w:t>
      </w:r>
      <w:r w:rsidR="000A44B2">
        <w:rPr>
          <w:rFonts w:cs="David" w:hint="cs"/>
          <w:rtl/>
        </w:rPr>
        <w:t xml:space="preserve">שמוקנות לחטיבה ולעובדיה </w:t>
      </w:r>
      <w:r w:rsidR="00B13C03" w:rsidRPr="0057590D">
        <w:rPr>
          <w:rFonts w:cs="David" w:hint="cs"/>
          <w:rtl/>
        </w:rPr>
        <w:t>ה</w:t>
      </w:r>
      <w:r w:rsidR="000A44B2">
        <w:rPr>
          <w:rFonts w:cs="David" w:hint="cs"/>
          <w:rtl/>
        </w:rPr>
        <w:t>ן</w:t>
      </w:r>
      <w:r w:rsidR="00B13C03" w:rsidRPr="0057590D">
        <w:rPr>
          <w:rFonts w:cs="David" w:hint="cs"/>
          <w:rtl/>
        </w:rPr>
        <w:t xml:space="preserve"> נרחבות ומשמעותיות הרבה יותר מאלו המופעלות על ידי עובדי הרשויות האמורות</w:t>
      </w:r>
      <w:r w:rsidR="00BE54CE">
        <w:rPr>
          <w:rFonts w:cs="David" w:hint="cs"/>
          <w:rtl/>
        </w:rPr>
        <w:t>.</w:t>
      </w:r>
    </w:p>
    <w:p w:rsidR="00CE0BD9" w:rsidRPr="0057590D" w:rsidRDefault="00734FF3" w:rsidP="000A44B2">
      <w:pPr>
        <w:spacing w:after="60"/>
        <w:rPr>
          <w:rFonts w:cs="David"/>
          <w:rtl/>
        </w:rPr>
      </w:pPr>
      <w:r w:rsidRPr="0057590D">
        <w:rPr>
          <w:rFonts w:cs="David" w:hint="cs"/>
          <w:u w:val="single"/>
          <w:rtl/>
        </w:rPr>
        <w:t>שנית</w:t>
      </w:r>
      <w:r w:rsidRPr="0057590D">
        <w:rPr>
          <w:rFonts w:cs="David" w:hint="cs"/>
          <w:rtl/>
        </w:rPr>
        <w:t xml:space="preserve">, </w:t>
      </w:r>
      <w:r w:rsidR="00670AC8" w:rsidRPr="0057590D">
        <w:rPr>
          <w:rFonts w:cs="David" w:hint="cs"/>
          <w:b/>
          <w:bCs/>
          <w:rtl/>
        </w:rPr>
        <w:t xml:space="preserve">כבר כיום </w:t>
      </w:r>
      <w:r w:rsidR="000A44B2">
        <w:rPr>
          <w:rFonts w:cs="David" w:hint="cs"/>
          <w:b/>
          <w:bCs/>
          <w:rtl/>
        </w:rPr>
        <w:t>ה</w:t>
      </w:r>
      <w:r w:rsidR="00670AC8" w:rsidRPr="0057590D">
        <w:rPr>
          <w:rFonts w:cs="David" w:hint="cs"/>
          <w:b/>
          <w:bCs/>
          <w:rtl/>
        </w:rPr>
        <w:t>הנחה</w:t>
      </w:r>
      <w:r w:rsidR="000A44B2">
        <w:rPr>
          <w:rFonts w:cs="David" w:hint="cs"/>
          <w:b/>
          <w:bCs/>
          <w:rtl/>
        </w:rPr>
        <w:t xml:space="preserve"> הרווחת</w:t>
      </w:r>
      <w:r w:rsidR="00C022F7" w:rsidRPr="0057590D">
        <w:rPr>
          <w:rFonts w:cs="David" w:hint="cs"/>
          <w:b/>
          <w:bCs/>
          <w:rtl/>
        </w:rPr>
        <w:t>,</w:t>
      </w:r>
      <w:r w:rsidR="00670AC8" w:rsidRPr="0057590D">
        <w:rPr>
          <w:rFonts w:cs="David" w:hint="cs"/>
          <w:b/>
          <w:bCs/>
          <w:rtl/>
        </w:rPr>
        <w:t xml:space="preserve"> הן מצד הממשלה והן מצד החטיבה להתיישבות, </w:t>
      </w:r>
      <w:r w:rsidR="000A44B2">
        <w:rPr>
          <w:rFonts w:cs="David" w:hint="cs"/>
          <w:b/>
          <w:bCs/>
          <w:rtl/>
        </w:rPr>
        <w:t xml:space="preserve">היא כי </w:t>
      </w:r>
      <w:r w:rsidR="00670AC8" w:rsidRPr="0057590D">
        <w:rPr>
          <w:rFonts w:cs="David" w:hint="cs"/>
          <w:b/>
          <w:bCs/>
          <w:rtl/>
        </w:rPr>
        <w:t>החטיבה להתיישבות נדרשת לפעול לפי כללי המשפט המנהלי בדומה לכל גוף שלטוני אחר</w:t>
      </w:r>
      <w:r w:rsidR="00670AC8" w:rsidRPr="0057590D">
        <w:rPr>
          <w:rFonts w:cs="David" w:hint="cs"/>
          <w:rtl/>
        </w:rPr>
        <w:t>. הנחה זו באה לידי</w:t>
      </w:r>
      <w:r w:rsidR="006E6BB2" w:rsidRPr="0057590D">
        <w:rPr>
          <w:rFonts w:cs="David" w:hint="cs"/>
          <w:rtl/>
        </w:rPr>
        <w:t xml:space="preserve"> </w:t>
      </w:r>
      <w:r w:rsidR="00670AC8" w:rsidRPr="0057590D">
        <w:rPr>
          <w:rFonts w:cs="David" w:hint="cs"/>
          <w:rtl/>
        </w:rPr>
        <w:t xml:space="preserve">ביטוי </w:t>
      </w:r>
      <w:r w:rsidR="00161995" w:rsidRPr="0057590D">
        <w:rPr>
          <w:rFonts w:cs="David" w:hint="cs"/>
          <w:rtl/>
        </w:rPr>
        <w:t>הן באמנה שנכרתה בין הממשלה וההסתדרות הציונית העולמית מכוח החוק</w:t>
      </w:r>
      <w:r w:rsidR="00161995" w:rsidRPr="0057590D">
        <w:rPr>
          <w:rStyle w:val="a5"/>
          <w:rFonts w:cs="David"/>
          <w:rtl/>
        </w:rPr>
        <w:footnoteReference w:id="8"/>
      </w:r>
      <w:r w:rsidR="00161995" w:rsidRPr="0057590D">
        <w:rPr>
          <w:rFonts w:cs="David" w:hint="cs"/>
          <w:rtl/>
        </w:rPr>
        <w:t xml:space="preserve">, </w:t>
      </w:r>
      <w:r w:rsidR="00670AC8" w:rsidRPr="0057590D">
        <w:rPr>
          <w:rFonts w:cs="David" w:hint="cs"/>
          <w:rtl/>
        </w:rPr>
        <w:t>הן בהסכם שנחתם בין הממשלה והחטיבה</w:t>
      </w:r>
      <w:r w:rsidR="00161995" w:rsidRPr="0057590D">
        <w:rPr>
          <w:rStyle w:val="a5"/>
          <w:rFonts w:cs="David"/>
          <w:rtl/>
        </w:rPr>
        <w:footnoteReference w:id="9"/>
      </w:r>
      <w:r w:rsidR="00161995" w:rsidRPr="0057590D">
        <w:rPr>
          <w:rFonts w:cs="David" w:hint="cs"/>
          <w:rtl/>
        </w:rPr>
        <w:t xml:space="preserve">, </w:t>
      </w:r>
      <w:r w:rsidR="00670AC8" w:rsidRPr="0057590D">
        <w:rPr>
          <w:rFonts w:cs="David" w:hint="cs"/>
          <w:rtl/>
        </w:rPr>
        <w:t>והן בהחלטות הממשלה לאורך השנים</w:t>
      </w:r>
      <w:r w:rsidR="00161995" w:rsidRPr="0057590D">
        <w:rPr>
          <w:rStyle w:val="a5"/>
          <w:rFonts w:cs="David"/>
          <w:rtl/>
        </w:rPr>
        <w:footnoteReference w:id="10"/>
      </w:r>
      <w:r w:rsidR="00670AC8" w:rsidRPr="0057590D">
        <w:rPr>
          <w:rFonts w:cs="David" w:hint="cs"/>
          <w:rtl/>
        </w:rPr>
        <w:t xml:space="preserve">. </w:t>
      </w:r>
      <w:r w:rsidR="00161995" w:rsidRPr="0057590D">
        <w:rPr>
          <w:rFonts w:cs="David" w:hint="cs"/>
          <w:rtl/>
        </w:rPr>
        <w:t xml:space="preserve">לפיכך, לא ברור מה </w:t>
      </w:r>
      <w:r w:rsidR="00F84ED3">
        <w:rPr>
          <w:rFonts w:cs="David" w:hint="cs"/>
          <w:rtl/>
        </w:rPr>
        <w:t xml:space="preserve">ההצדקה שהמחוקק לא יחיל במפורש את </w:t>
      </w:r>
      <w:r w:rsidR="00CE0BD9" w:rsidRPr="0057590D">
        <w:rPr>
          <w:rFonts w:cs="David" w:hint="cs"/>
          <w:rtl/>
        </w:rPr>
        <w:t xml:space="preserve">חובות המשפט הציבורי על החטיבה? אם ממשק היחסים שבין הממשלה </w:t>
      </w:r>
      <w:r w:rsidR="00670AC8" w:rsidRPr="0057590D">
        <w:rPr>
          <w:rFonts w:cs="David" w:hint="cs"/>
          <w:rtl/>
        </w:rPr>
        <w:t xml:space="preserve">והחטיבה עובר מהמישור המנהלי למישור החקיקתי, </w:t>
      </w:r>
      <w:r w:rsidR="00C022F7" w:rsidRPr="0057590D">
        <w:rPr>
          <w:rFonts w:cs="David" w:hint="cs"/>
          <w:rtl/>
        </w:rPr>
        <w:t xml:space="preserve">מדוע שהחובות מתחום המשפט הציבורי </w:t>
      </w:r>
      <w:r w:rsidR="00CE0BD9" w:rsidRPr="0057590D">
        <w:rPr>
          <w:rFonts w:cs="David" w:hint="cs"/>
          <w:rtl/>
        </w:rPr>
        <w:t xml:space="preserve">החלות על החטיבה </w:t>
      </w:r>
      <w:r w:rsidR="00C022F7" w:rsidRPr="0057590D">
        <w:rPr>
          <w:rFonts w:cs="David" w:hint="cs"/>
          <w:rtl/>
        </w:rPr>
        <w:t xml:space="preserve">לא יעברו </w:t>
      </w:r>
      <w:r w:rsidR="00CE0BD9" w:rsidRPr="0057590D">
        <w:rPr>
          <w:rFonts w:cs="David" w:hint="cs"/>
          <w:rtl/>
        </w:rPr>
        <w:t>מהמישור המנהלי למישור החקיקתי</w:t>
      </w:r>
      <w:r w:rsidR="00C022F7" w:rsidRPr="0057590D">
        <w:rPr>
          <w:rFonts w:cs="David" w:hint="cs"/>
          <w:rtl/>
        </w:rPr>
        <w:t>?</w:t>
      </w:r>
    </w:p>
    <w:p w:rsidR="00E66C4E" w:rsidRPr="0057590D" w:rsidRDefault="00C022F7" w:rsidP="000A44B2">
      <w:pPr>
        <w:spacing w:after="60"/>
        <w:rPr>
          <w:rFonts w:cs="David"/>
          <w:rtl/>
        </w:rPr>
      </w:pPr>
      <w:r w:rsidRPr="0057590D">
        <w:rPr>
          <w:rFonts w:cs="David" w:hint="cs"/>
          <w:u w:val="single"/>
          <w:rtl/>
        </w:rPr>
        <w:t>שלישית</w:t>
      </w:r>
      <w:r w:rsidRPr="0057590D">
        <w:rPr>
          <w:rFonts w:cs="David" w:hint="cs"/>
          <w:rtl/>
        </w:rPr>
        <w:t xml:space="preserve">, </w:t>
      </w:r>
      <w:r w:rsidR="001D6E30" w:rsidRPr="0057590D">
        <w:rPr>
          <w:rFonts w:cs="David" w:hint="cs"/>
          <w:rtl/>
        </w:rPr>
        <w:t xml:space="preserve">נוסף על בחינת ההסדר הקונקרטי בנוגע לחטיבה להתיישבות, </w:t>
      </w:r>
      <w:r w:rsidR="00E66C4E" w:rsidRPr="0057590D">
        <w:rPr>
          <w:rFonts w:cs="David" w:hint="cs"/>
          <w:rtl/>
        </w:rPr>
        <w:t xml:space="preserve">יש מקום לשקול </w:t>
      </w:r>
      <w:r w:rsidR="00F84ED3">
        <w:rPr>
          <w:rFonts w:cs="David" w:hint="cs"/>
          <w:rtl/>
        </w:rPr>
        <w:t xml:space="preserve">גם את </w:t>
      </w:r>
      <w:r w:rsidR="00E66C4E" w:rsidRPr="0057590D">
        <w:rPr>
          <w:rFonts w:cs="David" w:hint="cs"/>
          <w:rtl/>
        </w:rPr>
        <w:t xml:space="preserve">השלכות </w:t>
      </w:r>
      <w:r w:rsidR="001D6E30" w:rsidRPr="0057590D">
        <w:rPr>
          <w:rFonts w:cs="David" w:hint="cs"/>
          <w:rtl/>
        </w:rPr>
        <w:t xml:space="preserve">הרוחב </w:t>
      </w:r>
      <w:r w:rsidR="00E66C4E" w:rsidRPr="0057590D">
        <w:rPr>
          <w:rFonts w:cs="David" w:hint="cs"/>
          <w:rtl/>
        </w:rPr>
        <w:t xml:space="preserve">האפשריות </w:t>
      </w:r>
      <w:r w:rsidR="001D6E30" w:rsidRPr="0057590D">
        <w:rPr>
          <w:rFonts w:cs="David" w:hint="cs"/>
          <w:rtl/>
        </w:rPr>
        <w:t xml:space="preserve">של ההסדר המוצע, </w:t>
      </w:r>
      <w:r w:rsidR="00F84ED3">
        <w:rPr>
          <w:rFonts w:cs="David" w:hint="cs"/>
          <w:rtl/>
        </w:rPr>
        <w:t>ואת ה</w:t>
      </w:r>
      <w:r w:rsidR="001D6E30" w:rsidRPr="0057590D">
        <w:rPr>
          <w:rFonts w:cs="David" w:hint="cs"/>
          <w:rtl/>
        </w:rPr>
        <w:t xml:space="preserve">אפשרות שמודל </w:t>
      </w:r>
      <w:r w:rsidR="0019417D" w:rsidRPr="0057590D">
        <w:rPr>
          <w:rFonts w:cs="David" w:hint="cs"/>
          <w:rtl/>
        </w:rPr>
        <w:t xml:space="preserve">זה </w:t>
      </w:r>
      <w:r w:rsidR="001D6E30" w:rsidRPr="0057590D">
        <w:rPr>
          <w:rFonts w:cs="David" w:hint="cs"/>
          <w:rtl/>
        </w:rPr>
        <w:t>יועתק בעתיד גם ל</w:t>
      </w:r>
      <w:r w:rsidR="00E66C4E" w:rsidRPr="0057590D">
        <w:rPr>
          <w:rFonts w:cs="David" w:hint="cs"/>
          <w:rtl/>
        </w:rPr>
        <w:t xml:space="preserve">תחומי פעילות </w:t>
      </w:r>
      <w:r w:rsidR="00F84ED3">
        <w:rPr>
          <w:rFonts w:cs="David" w:hint="cs"/>
          <w:rtl/>
        </w:rPr>
        <w:t xml:space="preserve">אחרים </w:t>
      </w:r>
      <w:r w:rsidR="00E66C4E" w:rsidRPr="0057590D">
        <w:rPr>
          <w:rFonts w:cs="David" w:hint="cs"/>
          <w:rtl/>
        </w:rPr>
        <w:t>של הממשלה</w:t>
      </w:r>
      <w:r w:rsidR="001D6E30" w:rsidRPr="0057590D">
        <w:rPr>
          <w:rFonts w:cs="David" w:hint="cs"/>
          <w:rtl/>
        </w:rPr>
        <w:t xml:space="preserve">, </w:t>
      </w:r>
      <w:r w:rsidR="000A44B2">
        <w:rPr>
          <w:rFonts w:cs="David" w:hint="cs"/>
          <w:rtl/>
        </w:rPr>
        <w:t>וייעשה בו שימוש רחב יותר של העברת סמכויות שלטוניות לגופים חיצוניים תוך החרגתם מתחולת החובות המנהליות</w:t>
      </w:r>
      <w:r w:rsidR="00E66C4E" w:rsidRPr="0057590D">
        <w:rPr>
          <w:rFonts w:cs="David" w:hint="cs"/>
          <w:rtl/>
        </w:rPr>
        <w:t>.</w:t>
      </w:r>
    </w:p>
    <w:p w:rsidR="00EE3DD2" w:rsidRPr="0057590D" w:rsidRDefault="00E96579" w:rsidP="00F84ED3">
      <w:pPr>
        <w:rPr>
          <w:rFonts w:cs="David"/>
          <w:rtl/>
        </w:rPr>
      </w:pPr>
      <w:r w:rsidRPr="0057590D">
        <w:rPr>
          <w:rFonts w:cs="David" w:hint="cs"/>
          <w:rtl/>
        </w:rPr>
        <w:t xml:space="preserve">נוכח האמור, </w:t>
      </w:r>
      <w:r w:rsidRPr="0057590D">
        <w:rPr>
          <w:rFonts w:cs="David" w:hint="cs"/>
          <w:u w:val="single"/>
          <w:rtl/>
        </w:rPr>
        <w:t xml:space="preserve">אנו סבורים כי יש להשמיט את הקביעה שבנוסח המוצע ולפיה אצילת סמכויות לחטיבה אין בה כדי להפוך את החטיבה לרשות מרשויות המדינה או לשנות את היקף החובות מתחומי המשפט הציבורי החלות עליה ועל עובדיה, ותחת זאת </w:t>
      </w:r>
      <w:r w:rsidRPr="0057590D">
        <w:rPr>
          <w:rFonts w:cs="David" w:hint="cs"/>
          <w:b/>
          <w:bCs/>
          <w:u w:val="single"/>
          <w:rtl/>
        </w:rPr>
        <w:t>לכתוב במפורש כי על החטיבה ועובדיה יחולו כל החובות החלים על גוף ממשלתי שהיה מפעיל את אותן הסמכויות</w:t>
      </w:r>
      <w:r w:rsidRPr="0057590D">
        <w:rPr>
          <w:rFonts w:cs="David" w:hint="cs"/>
          <w:rtl/>
        </w:rPr>
        <w:t>.</w:t>
      </w:r>
    </w:p>
    <w:p w:rsidR="00C96DF7" w:rsidRPr="0057590D" w:rsidRDefault="00C96DF7" w:rsidP="00C96DF7">
      <w:pPr>
        <w:spacing w:line="240" w:lineRule="auto"/>
        <w:rPr>
          <w:rFonts w:cs="David"/>
          <w:rtl/>
        </w:rPr>
      </w:pPr>
    </w:p>
    <w:p w:rsidR="00D54BEC" w:rsidRPr="0057590D" w:rsidRDefault="00D54BEC" w:rsidP="001272A7">
      <w:pPr>
        <w:spacing w:line="240" w:lineRule="auto"/>
        <w:rPr>
          <w:rFonts w:cs="David"/>
          <w:sz w:val="20"/>
          <w:szCs w:val="22"/>
          <w:rtl/>
        </w:rPr>
      </w:pPr>
    </w:p>
    <w:sectPr w:rsidR="00D54BEC" w:rsidRPr="0057590D" w:rsidSect="006E6BB2">
      <w:footerReference w:type="default" r:id="rId8"/>
      <w:pgSz w:w="11906" w:h="16838"/>
      <w:pgMar w:top="1247" w:right="1701" w:bottom="1247"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337" w:rsidRDefault="00796337" w:rsidP="00EE2FDA">
      <w:pPr>
        <w:spacing w:line="240" w:lineRule="auto"/>
      </w:pPr>
      <w:r>
        <w:separator/>
      </w:r>
    </w:p>
  </w:endnote>
  <w:endnote w:type="continuationSeparator" w:id="0">
    <w:p w:rsidR="00796337" w:rsidRDefault="00796337" w:rsidP="00EE2F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0000000000000000000"/>
    <w:charset w:val="B1"/>
    <w:family w:val="swiss"/>
    <w:pitch w:val="variable"/>
    <w:sig w:usb0="00000801" w:usb1="00000000" w:usb2="00000000" w:usb3="00000000" w:csb0="00000020" w:csb1="00000000"/>
  </w:font>
  <w:font w:name="Arial TUR">
    <w:altName w:val="Arial"/>
    <w:charset w:val="00"/>
    <w:family w:val="swiss"/>
    <w:pitch w:val="variable"/>
    <w:sig w:usb0="00000000" w:usb1="C0007843" w:usb2="00000009" w:usb3="00000000" w:csb0="000001FF" w:csb1="00000000"/>
  </w:font>
  <w:font w:name="Miriam">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986137650"/>
      <w:docPartObj>
        <w:docPartGallery w:val="Page Numbers (Bottom of Page)"/>
        <w:docPartUnique/>
      </w:docPartObj>
    </w:sdtPr>
    <w:sdtEndPr>
      <w:rPr>
        <w:cs/>
      </w:rPr>
    </w:sdtEndPr>
    <w:sdtContent>
      <w:p w:rsidR="0057590D" w:rsidRDefault="0057590D">
        <w:pPr>
          <w:pStyle w:val="ae"/>
          <w:jc w:val="center"/>
          <w:rPr>
            <w:rtl/>
            <w:cs/>
          </w:rPr>
        </w:pPr>
        <w:r w:rsidRPr="0057590D">
          <w:rPr>
            <w:sz w:val="16"/>
            <w:szCs w:val="16"/>
          </w:rPr>
          <w:fldChar w:fldCharType="begin"/>
        </w:r>
        <w:r w:rsidRPr="0057590D">
          <w:rPr>
            <w:sz w:val="16"/>
            <w:szCs w:val="16"/>
            <w:rtl/>
            <w:cs/>
          </w:rPr>
          <w:instrText>PAGE   \* MERGEFORMAT</w:instrText>
        </w:r>
        <w:r w:rsidRPr="0057590D">
          <w:rPr>
            <w:sz w:val="16"/>
            <w:szCs w:val="16"/>
          </w:rPr>
          <w:fldChar w:fldCharType="separate"/>
        </w:r>
        <w:r w:rsidR="00796337" w:rsidRPr="00796337">
          <w:rPr>
            <w:noProof/>
            <w:sz w:val="16"/>
            <w:szCs w:val="16"/>
            <w:rtl/>
            <w:lang w:val="he-IL"/>
          </w:rPr>
          <w:t>1</w:t>
        </w:r>
        <w:r w:rsidRPr="0057590D">
          <w:rPr>
            <w:sz w:val="16"/>
            <w:szCs w:val="16"/>
          </w:rPr>
          <w:fldChar w:fldCharType="end"/>
        </w:r>
      </w:p>
    </w:sdtContent>
  </w:sdt>
  <w:p w:rsidR="0057590D" w:rsidRDefault="0057590D">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337" w:rsidRDefault="00796337" w:rsidP="00EE2FDA">
      <w:pPr>
        <w:spacing w:line="240" w:lineRule="auto"/>
      </w:pPr>
      <w:r>
        <w:separator/>
      </w:r>
    </w:p>
  </w:footnote>
  <w:footnote w:type="continuationSeparator" w:id="0">
    <w:p w:rsidR="00796337" w:rsidRDefault="00796337" w:rsidP="00EE2FDA">
      <w:pPr>
        <w:spacing w:line="240" w:lineRule="auto"/>
      </w:pPr>
      <w:r>
        <w:continuationSeparator/>
      </w:r>
    </w:p>
  </w:footnote>
  <w:footnote w:id="1">
    <w:p w:rsidR="00053283" w:rsidRPr="00BE54CE" w:rsidRDefault="00053283" w:rsidP="0057590D">
      <w:pPr>
        <w:pStyle w:val="a3"/>
      </w:pPr>
      <w:r w:rsidRPr="00BE54CE">
        <w:rPr>
          <w:rStyle w:val="a5"/>
        </w:rPr>
        <w:footnoteRef/>
      </w:r>
      <w:r w:rsidRPr="00BE54CE">
        <w:rPr>
          <w:rtl/>
        </w:rPr>
        <w:t xml:space="preserve"> </w:t>
      </w:r>
      <w:r w:rsidRPr="00BE54CE">
        <w:rPr>
          <w:rFonts w:hint="cs"/>
          <w:rtl/>
        </w:rPr>
        <w:t>מכוח חוק חובת המכרזים, התשנ"ב-1992.</w:t>
      </w:r>
    </w:p>
  </w:footnote>
  <w:footnote w:id="2">
    <w:p w:rsidR="00053283" w:rsidRPr="00BE54CE" w:rsidRDefault="00053283" w:rsidP="0057590D">
      <w:pPr>
        <w:pStyle w:val="a3"/>
        <w:rPr>
          <w:rtl/>
        </w:rPr>
      </w:pPr>
      <w:r w:rsidRPr="00BE54CE">
        <w:rPr>
          <w:rStyle w:val="a5"/>
        </w:rPr>
        <w:footnoteRef/>
      </w:r>
      <w:r w:rsidRPr="00BE54CE">
        <w:rPr>
          <w:rtl/>
        </w:rPr>
        <w:t xml:space="preserve"> </w:t>
      </w:r>
      <w:r w:rsidRPr="00BE54CE">
        <w:rPr>
          <w:rFonts w:hint="cs"/>
          <w:rtl/>
        </w:rPr>
        <w:t>מכוח חוק חופש המידע, התשנ"ח-1998.</w:t>
      </w:r>
    </w:p>
  </w:footnote>
  <w:footnote w:id="3">
    <w:p w:rsidR="00053283" w:rsidRPr="00BE54CE" w:rsidRDefault="00053283" w:rsidP="0057590D">
      <w:pPr>
        <w:pStyle w:val="a3"/>
        <w:rPr>
          <w:rtl/>
        </w:rPr>
      </w:pPr>
      <w:r w:rsidRPr="00BE54CE">
        <w:rPr>
          <w:rStyle w:val="a5"/>
        </w:rPr>
        <w:footnoteRef/>
      </w:r>
      <w:r w:rsidRPr="00BE54CE">
        <w:rPr>
          <w:rtl/>
        </w:rPr>
        <w:t xml:space="preserve"> </w:t>
      </w:r>
      <w:r w:rsidRPr="00BE54CE">
        <w:rPr>
          <w:rFonts w:hint="cs"/>
          <w:rtl/>
        </w:rPr>
        <w:t>מכוח חוק עסקאות גופים ציבוריים, התשל"ו-1976.</w:t>
      </w:r>
    </w:p>
  </w:footnote>
  <w:footnote w:id="4">
    <w:p w:rsidR="002B58E9" w:rsidRPr="00BE54CE" w:rsidRDefault="002B58E9" w:rsidP="0057590D">
      <w:pPr>
        <w:pStyle w:val="a3"/>
        <w:rPr>
          <w:rtl/>
        </w:rPr>
      </w:pPr>
      <w:r w:rsidRPr="00BE54CE">
        <w:rPr>
          <w:rStyle w:val="a5"/>
        </w:rPr>
        <w:footnoteRef/>
      </w:r>
      <w:r w:rsidRPr="00BE54CE">
        <w:rPr>
          <w:rtl/>
        </w:rPr>
        <w:t xml:space="preserve"> </w:t>
      </w:r>
      <w:r w:rsidRPr="00BE54CE">
        <w:rPr>
          <w:rFonts w:hint="cs"/>
          <w:rtl/>
        </w:rPr>
        <w:t>כגון: חוק שירות המדינה (משמעת), התשכ"ג-1963; חוק שירות הציבור (מתנות), התש"ם-1980; חוק שירות הציבור (הגבלות לאחר פרישה), התשכ"ט-1969; חוק שירות המדינה (סיוג פעילות מפלגתית ומגבית כספים), התשי"ט-1959, ועוד.</w:t>
      </w:r>
    </w:p>
  </w:footnote>
  <w:footnote w:id="5">
    <w:p w:rsidR="0063688F" w:rsidRPr="00BE54CE" w:rsidRDefault="0063688F" w:rsidP="0057590D">
      <w:pPr>
        <w:pStyle w:val="a3"/>
      </w:pPr>
      <w:r w:rsidRPr="00BE54CE">
        <w:rPr>
          <w:rStyle w:val="a5"/>
        </w:rPr>
        <w:footnoteRef/>
      </w:r>
      <w:r w:rsidRPr="00BE54CE">
        <w:rPr>
          <w:rtl/>
        </w:rPr>
        <w:t xml:space="preserve"> </w:t>
      </w:r>
      <w:r w:rsidR="00C022F7" w:rsidRPr="00BE54CE">
        <w:rPr>
          <w:rFonts w:hint="cs"/>
          <w:sz w:val="20"/>
          <w:rtl/>
        </w:rPr>
        <w:t xml:space="preserve">לפי סעיף 1 לאמנה שנכרתה בין ממשלת ישראל וההסתדרות הציונית העולמית, אלה תפקידי ההסתדרות הציונית: </w:t>
      </w:r>
      <w:r w:rsidR="00C022F7" w:rsidRPr="00BE54CE">
        <w:rPr>
          <w:rStyle w:val="default"/>
          <w:sz w:val="20"/>
          <w:rtl/>
        </w:rPr>
        <w:t>(א</w:t>
      </w:r>
      <w:r w:rsidR="00C022F7" w:rsidRPr="00BE54CE">
        <w:rPr>
          <w:rStyle w:val="default"/>
          <w:rFonts w:hint="cs"/>
          <w:sz w:val="20"/>
          <w:rtl/>
        </w:rPr>
        <w:t xml:space="preserve">) </w:t>
      </w:r>
      <w:r w:rsidR="00C022F7" w:rsidRPr="00BE54CE">
        <w:rPr>
          <w:rStyle w:val="default"/>
          <w:sz w:val="20"/>
          <w:rtl/>
        </w:rPr>
        <w:t>א</w:t>
      </w:r>
      <w:r w:rsidR="00C022F7" w:rsidRPr="00BE54CE">
        <w:rPr>
          <w:rStyle w:val="default"/>
          <w:rFonts w:hint="cs"/>
          <w:sz w:val="20"/>
          <w:rtl/>
        </w:rPr>
        <w:t>רגון פעולות העליה בתפוצות והעברת העולים ורכושם לישראל; (</w:t>
      </w:r>
      <w:r w:rsidR="00C022F7" w:rsidRPr="00BE54CE">
        <w:rPr>
          <w:rStyle w:val="default"/>
          <w:sz w:val="20"/>
          <w:rtl/>
        </w:rPr>
        <w:t>ב</w:t>
      </w:r>
      <w:r w:rsidR="00C022F7" w:rsidRPr="00BE54CE">
        <w:rPr>
          <w:rStyle w:val="default"/>
          <w:rFonts w:hint="cs"/>
          <w:sz w:val="20"/>
          <w:rtl/>
        </w:rPr>
        <w:t xml:space="preserve">) </w:t>
      </w:r>
      <w:r w:rsidR="00C022F7" w:rsidRPr="00BE54CE">
        <w:rPr>
          <w:rStyle w:val="default"/>
          <w:sz w:val="20"/>
          <w:rtl/>
        </w:rPr>
        <w:t>ה</w:t>
      </w:r>
      <w:r w:rsidR="00C022F7" w:rsidRPr="00BE54CE">
        <w:rPr>
          <w:rStyle w:val="default"/>
          <w:rFonts w:hint="cs"/>
          <w:sz w:val="20"/>
          <w:rtl/>
        </w:rPr>
        <w:t>שתתפות בשיכונם של העולים ובקליטתם; (</w:t>
      </w:r>
      <w:r w:rsidR="00C022F7" w:rsidRPr="00BE54CE">
        <w:rPr>
          <w:rStyle w:val="default"/>
          <w:sz w:val="20"/>
          <w:rtl/>
        </w:rPr>
        <w:t>ג</w:t>
      </w:r>
      <w:r w:rsidR="00C022F7" w:rsidRPr="00BE54CE">
        <w:rPr>
          <w:rStyle w:val="default"/>
          <w:rFonts w:hint="cs"/>
          <w:sz w:val="20"/>
          <w:rtl/>
        </w:rPr>
        <w:t xml:space="preserve">) </w:t>
      </w:r>
      <w:r w:rsidR="00C022F7" w:rsidRPr="00BE54CE">
        <w:rPr>
          <w:rStyle w:val="default"/>
          <w:sz w:val="20"/>
          <w:rtl/>
        </w:rPr>
        <w:t>מ</w:t>
      </w:r>
      <w:r w:rsidR="00C022F7" w:rsidRPr="00BE54CE">
        <w:rPr>
          <w:rStyle w:val="default"/>
          <w:rFonts w:hint="cs"/>
          <w:sz w:val="20"/>
          <w:rtl/>
        </w:rPr>
        <w:t>תן שירותי בריאות לעולים, אגב עלייתם וקליטתם; (</w:t>
      </w:r>
      <w:r w:rsidR="00C022F7" w:rsidRPr="00BE54CE">
        <w:rPr>
          <w:rStyle w:val="default"/>
          <w:sz w:val="20"/>
          <w:rtl/>
        </w:rPr>
        <w:t>ד</w:t>
      </w:r>
      <w:r w:rsidR="00C022F7" w:rsidRPr="00BE54CE">
        <w:rPr>
          <w:rStyle w:val="default"/>
          <w:rFonts w:hint="cs"/>
          <w:sz w:val="20"/>
          <w:rtl/>
        </w:rPr>
        <w:t xml:space="preserve">) </w:t>
      </w:r>
      <w:r w:rsidR="00C022F7" w:rsidRPr="00BE54CE">
        <w:rPr>
          <w:rStyle w:val="default"/>
          <w:sz w:val="20"/>
          <w:rtl/>
        </w:rPr>
        <w:t>ע</w:t>
      </w:r>
      <w:r w:rsidR="00C022F7" w:rsidRPr="00BE54CE">
        <w:rPr>
          <w:rStyle w:val="default"/>
          <w:rFonts w:hint="cs"/>
          <w:sz w:val="20"/>
          <w:rtl/>
        </w:rPr>
        <w:t>ליית נוער, טיפול בנוער והכשרתו; (</w:t>
      </w:r>
      <w:r w:rsidR="00C022F7" w:rsidRPr="00BE54CE">
        <w:rPr>
          <w:rStyle w:val="default"/>
          <w:sz w:val="20"/>
          <w:rtl/>
        </w:rPr>
        <w:t>ה</w:t>
      </w:r>
      <w:r w:rsidR="00C022F7" w:rsidRPr="00BE54CE">
        <w:rPr>
          <w:rStyle w:val="default"/>
          <w:rFonts w:hint="cs"/>
          <w:sz w:val="20"/>
          <w:rtl/>
        </w:rPr>
        <w:t xml:space="preserve">) </w:t>
      </w:r>
      <w:r w:rsidR="00C022F7" w:rsidRPr="00BE54CE">
        <w:rPr>
          <w:rStyle w:val="default"/>
          <w:sz w:val="20"/>
          <w:rtl/>
        </w:rPr>
        <w:t>א</w:t>
      </w:r>
      <w:r w:rsidR="00C022F7" w:rsidRPr="00BE54CE">
        <w:rPr>
          <w:rStyle w:val="default"/>
          <w:rFonts w:hint="cs"/>
          <w:sz w:val="20"/>
          <w:rtl/>
        </w:rPr>
        <w:t>חזקה ותמיכה בישראל ומחוץ לישראל, של מוסדות תרבות, חינוך, מדע, דת, ספורט ומוסדות למתן שירותים חברתיים; (</w:t>
      </w:r>
      <w:r w:rsidR="00C022F7" w:rsidRPr="00BE54CE">
        <w:rPr>
          <w:rStyle w:val="default"/>
          <w:sz w:val="20"/>
          <w:rtl/>
        </w:rPr>
        <w:t>ו</w:t>
      </w:r>
      <w:r w:rsidR="00C022F7" w:rsidRPr="00BE54CE">
        <w:rPr>
          <w:rStyle w:val="default"/>
          <w:rFonts w:hint="cs"/>
          <w:sz w:val="20"/>
          <w:rtl/>
        </w:rPr>
        <w:t xml:space="preserve">) </w:t>
      </w:r>
      <w:r w:rsidR="00C022F7" w:rsidRPr="00BE54CE">
        <w:rPr>
          <w:rStyle w:val="default"/>
          <w:sz w:val="20"/>
          <w:rtl/>
        </w:rPr>
        <w:t>ה</w:t>
      </w:r>
      <w:r w:rsidR="00C022F7" w:rsidRPr="00BE54CE">
        <w:rPr>
          <w:rStyle w:val="default"/>
          <w:rFonts w:hint="cs"/>
          <w:sz w:val="20"/>
          <w:rtl/>
        </w:rPr>
        <w:t>תיישבות חקלאית ורכישת קרקע והכשרתה על-ידי מוסדות ההסתדרות הציונית וקרנותיה; (</w:t>
      </w:r>
      <w:r w:rsidR="00C022F7" w:rsidRPr="00BE54CE">
        <w:rPr>
          <w:rStyle w:val="default"/>
          <w:sz w:val="20"/>
          <w:rtl/>
        </w:rPr>
        <w:t>ז</w:t>
      </w:r>
      <w:r w:rsidR="00C022F7" w:rsidRPr="00BE54CE">
        <w:rPr>
          <w:rStyle w:val="default"/>
          <w:rFonts w:hint="cs"/>
          <w:sz w:val="20"/>
          <w:rtl/>
        </w:rPr>
        <w:t xml:space="preserve">) </w:t>
      </w:r>
      <w:r w:rsidR="00C022F7" w:rsidRPr="00BE54CE">
        <w:rPr>
          <w:rStyle w:val="default"/>
          <w:sz w:val="20"/>
          <w:rtl/>
        </w:rPr>
        <w:t>ה</w:t>
      </w:r>
      <w:r w:rsidR="00C022F7" w:rsidRPr="00BE54CE">
        <w:rPr>
          <w:rStyle w:val="default"/>
          <w:rFonts w:hint="cs"/>
          <w:sz w:val="20"/>
          <w:rtl/>
        </w:rPr>
        <w:t>שתתפות ביסודם והרחבתם של מפעלי פיתוח בארץ; (</w:t>
      </w:r>
      <w:r w:rsidR="00C022F7" w:rsidRPr="00BE54CE">
        <w:rPr>
          <w:rStyle w:val="default"/>
          <w:sz w:val="20"/>
          <w:rtl/>
        </w:rPr>
        <w:t>ח</w:t>
      </w:r>
      <w:r w:rsidR="00C022F7" w:rsidRPr="00BE54CE">
        <w:rPr>
          <w:rStyle w:val="default"/>
          <w:rFonts w:hint="cs"/>
          <w:sz w:val="20"/>
          <w:rtl/>
        </w:rPr>
        <w:t xml:space="preserve">) </w:t>
      </w:r>
      <w:r w:rsidR="00C022F7" w:rsidRPr="00BE54CE">
        <w:rPr>
          <w:rStyle w:val="default"/>
          <w:sz w:val="20"/>
          <w:rtl/>
        </w:rPr>
        <w:t>ע</w:t>
      </w:r>
      <w:r w:rsidR="00C022F7" w:rsidRPr="00BE54CE">
        <w:rPr>
          <w:rStyle w:val="default"/>
          <w:rFonts w:hint="cs"/>
          <w:sz w:val="20"/>
          <w:rtl/>
        </w:rPr>
        <w:t>ידוד השקעות הון</w:t>
      </w:r>
      <w:r w:rsidR="00C022F7" w:rsidRPr="00BE54CE">
        <w:rPr>
          <w:rStyle w:val="default"/>
          <w:sz w:val="20"/>
          <w:rtl/>
        </w:rPr>
        <w:t xml:space="preserve"> פ</w:t>
      </w:r>
      <w:r w:rsidR="00C022F7" w:rsidRPr="00BE54CE">
        <w:rPr>
          <w:rStyle w:val="default"/>
          <w:rFonts w:hint="cs"/>
          <w:sz w:val="20"/>
          <w:rtl/>
        </w:rPr>
        <w:t>רטי בארץ; (</w:t>
      </w:r>
      <w:r w:rsidR="00C022F7" w:rsidRPr="00BE54CE">
        <w:rPr>
          <w:rStyle w:val="default"/>
          <w:sz w:val="20"/>
          <w:rtl/>
        </w:rPr>
        <w:t>ט</w:t>
      </w:r>
      <w:r w:rsidR="00C022F7" w:rsidRPr="00BE54CE">
        <w:rPr>
          <w:rStyle w:val="default"/>
          <w:rFonts w:hint="cs"/>
          <w:sz w:val="20"/>
          <w:rtl/>
        </w:rPr>
        <w:t xml:space="preserve">) </w:t>
      </w:r>
      <w:r w:rsidR="00C022F7" w:rsidRPr="00BE54CE">
        <w:rPr>
          <w:rStyle w:val="default"/>
          <w:sz w:val="20"/>
          <w:rtl/>
        </w:rPr>
        <w:t>ת</w:t>
      </w:r>
      <w:r w:rsidR="00C022F7" w:rsidRPr="00BE54CE">
        <w:rPr>
          <w:rStyle w:val="default"/>
          <w:rFonts w:hint="cs"/>
          <w:sz w:val="20"/>
          <w:rtl/>
        </w:rPr>
        <w:t>מיכה וסיוע למפעלי תרבות, למוסדות להשכלה גבוהה</w:t>
      </w:r>
      <w:r w:rsidR="00C022F7" w:rsidRPr="00BE54CE">
        <w:rPr>
          <w:rStyle w:val="default"/>
          <w:sz w:val="20"/>
          <w:rtl/>
        </w:rPr>
        <w:t xml:space="preserve"> ו</w:t>
      </w:r>
      <w:r w:rsidR="00C022F7" w:rsidRPr="00BE54CE">
        <w:rPr>
          <w:rStyle w:val="default"/>
          <w:rFonts w:hint="cs"/>
          <w:sz w:val="20"/>
          <w:rtl/>
        </w:rPr>
        <w:t>למכוני מחקר; (</w:t>
      </w:r>
      <w:r w:rsidR="00C022F7" w:rsidRPr="00BE54CE">
        <w:rPr>
          <w:rStyle w:val="default"/>
          <w:sz w:val="20"/>
          <w:rtl/>
        </w:rPr>
        <w:t>י</w:t>
      </w:r>
      <w:r w:rsidR="00C022F7" w:rsidRPr="00BE54CE">
        <w:rPr>
          <w:rStyle w:val="default"/>
          <w:rFonts w:hint="cs"/>
          <w:sz w:val="20"/>
          <w:rtl/>
        </w:rPr>
        <w:t xml:space="preserve">) </w:t>
      </w:r>
      <w:r w:rsidR="00C022F7" w:rsidRPr="00BE54CE">
        <w:rPr>
          <w:rStyle w:val="default"/>
          <w:sz w:val="20"/>
          <w:rtl/>
        </w:rPr>
        <w:t>ט</w:t>
      </w:r>
      <w:r w:rsidR="00C022F7" w:rsidRPr="00BE54CE">
        <w:rPr>
          <w:rStyle w:val="default"/>
          <w:rFonts w:hint="cs"/>
          <w:sz w:val="20"/>
          <w:rtl/>
        </w:rPr>
        <w:t>יפול בזקנים, בבעלי כשירות מוגבלת, בנכים ובנזקקים אחרים לעזרה ולשירותים חברתיים.</w:t>
      </w:r>
    </w:p>
  </w:footnote>
  <w:footnote w:id="6">
    <w:p w:rsidR="00D12DA4" w:rsidRPr="00BE54CE" w:rsidRDefault="00D12DA4" w:rsidP="0057590D">
      <w:pPr>
        <w:pStyle w:val="a3"/>
        <w:rPr>
          <w:rtl/>
        </w:rPr>
      </w:pPr>
      <w:r w:rsidRPr="00BE54CE">
        <w:rPr>
          <w:rStyle w:val="a5"/>
        </w:rPr>
        <w:footnoteRef/>
      </w:r>
      <w:r w:rsidRPr="00BE54CE">
        <w:rPr>
          <w:rtl/>
        </w:rPr>
        <w:t xml:space="preserve"> </w:t>
      </w:r>
      <w:r w:rsidRPr="00BE54CE">
        <w:rPr>
          <w:rFonts w:hint="cs"/>
          <w:rtl/>
        </w:rPr>
        <w:t>סעיף 25 לחוק הרשות הלאומית למלחמה בסמים ובשימוש לרעה באלכוהול, התשמ"ח-1988.</w:t>
      </w:r>
    </w:p>
  </w:footnote>
  <w:footnote w:id="7">
    <w:p w:rsidR="00734FF3" w:rsidRPr="00BE54CE" w:rsidRDefault="00734FF3" w:rsidP="0057590D">
      <w:pPr>
        <w:pStyle w:val="a3"/>
        <w:rPr>
          <w:rtl/>
        </w:rPr>
      </w:pPr>
      <w:r w:rsidRPr="00BE54CE">
        <w:rPr>
          <w:rStyle w:val="a5"/>
        </w:rPr>
        <w:footnoteRef/>
      </w:r>
      <w:r w:rsidRPr="00BE54CE">
        <w:rPr>
          <w:rtl/>
        </w:rPr>
        <w:t xml:space="preserve"> </w:t>
      </w:r>
      <w:r w:rsidRPr="00BE54CE">
        <w:rPr>
          <w:rFonts w:hint="cs"/>
          <w:rtl/>
        </w:rPr>
        <w:t>סעיף 25 לחוק הרשות לפיקוח חקלאי, התשמ"ח-1988.</w:t>
      </w:r>
    </w:p>
  </w:footnote>
  <w:footnote w:id="8">
    <w:p w:rsidR="00161995" w:rsidRPr="00BE54CE" w:rsidRDefault="00161995" w:rsidP="00F84ED3">
      <w:pPr>
        <w:pStyle w:val="a3"/>
        <w:rPr>
          <w:rtl/>
        </w:rPr>
      </w:pPr>
      <w:r w:rsidRPr="00BE54CE">
        <w:rPr>
          <w:rStyle w:val="a5"/>
        </w:rPr>
        <w:footnoteRef/>
      </w:r>
      <w:r w:rsidRPr="00BE54CE">
        <w:rPr>
          <w:rtl/>
        </w:rPr>
        <w:t xml:space="preserve"> </w:t>
      </w:r>
      <w:r w:rsidRPr="00BE54CE">
        <w:rPr>
          <w:rFonts w:hint="cs"/>
          <w:sz w:val="18"/>
          <w:rtl/>
        </w:rPr>
        <w:t>סעיף 2 לאמנה שנכרתה בין ממשלת ישראל וההסתדרות הציונית העולמית.</w:t>
      </w:r>
    </w:p>
  </w:footnote>
  <w:footnote w:id="9">
    <w:p w:rsidR="00161995" w:rsidRPr="00BE54CE" w:rsidRDefault="00161995" w:rsidP="0057590D">
      <w:pPr>
        <w:pStyle w:val="a3"/>
        <w:rPr>
          <w:rtl/>
        </w:rPr>
      </w:pPr>
      <w:r w:rsidRPr="00BE54CE">
        <w:rPr>
          <w:rStyle w:val="a5"/>
        </w:rPr>
        <w:footnoteRef/>
      </w:r>
      <w:r w:rsidRPr="00BE54CE">
        <w:rPr>
          <w:rtl/>
        </w:rPr>
        <w:t xml:space="preserve"> </w:t>
      </w:r>
      <w:r w:rsidRPr="00BE54CE">
        <w:rPr>
          <w:rFonts w:hint="cs"/>
          <w:sz w:val="18"/>
          <w:rtl/>
        </w:rPr>
        <w:t>כך, בהסכם המסגרת משנת 2000 נאמר כי החטיבה תפעל "בהתאם לדין ולכללים החלים על רשויות שלטוניות בישראל".</w:t>
      </w:r>
    </w:p>
  </w:footnote>
  <w:footnote w:id="10">
    <w:p w:rsidR="00161995" w:rsidRPr="00BE54CE" w:rsidRDefault="00161995" w:rsidP="00F84ED3">
      <w:pPr>
        <w:pStyle w:val="a3"/>
        <w:rPr>
          <w:rtl/>
        </w:rPr>
      </w:pPr>
      <w:r w:rsidRPr="00BE54CE">
        <w:rPr>
          <w:rStyle w:val="a5"/>
        </w:rPr>
        <w:footnoteRef/>
      </w:r>
      <w:r w:rsidRPr="00BE54CE">
        <w:rPr>
          <w:rtl/>
        </w:rPr>
        <w:t xml:space="preserve"> </w:t>
      </w:r>
      <w:r w:rsidR="00F84ED3" w:rsidRPr="00BE54CE">
        <w:rPr>
          <w:rFonts w:hint="cs"/>
          <w:sz w:val="18"/>
          <w:rtl/>
        </w:rPr>
        <w:t xml:space="preserve">ראו, למשל, </w:t>
      </w:r>
      <w:r w:rsidRPr="00BE54CE">
        <w:rPr>
          <w:rFonts w:hint="cs"/>
          <w:sz w:val="18"/>
          <w:rtl/>
        </w:rPr>
        <w:t>סעיף 7 להחלטת הממשלה מס' 2069 מיום 22 ביולי 2007</w:t>
      </w:r>
      <w:r w:rsidR="00F84ED3" w:rsidRPr="00BE54CE">
        <w:rPr>
          <w:rFonts w:hint="cs"/>
          <w:sz w:val="18"/>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659B3"/>
    <w:multiLevelType w:val="hybridMultilevel"/>
    <w:tmpl w:val="39FC0B04"/>
    <w:lvl w:ilvl="0" w:tplc="C0E6BE32">
      <w:start w:val="1"/>
      <w:numFmt w:val="hebrew1"/>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98382C"/>
    <w:multiLevelType w:val="hybridMultilevel"/>
    <w:tmpl w:val="5D7CC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9F4856"/>
    <w:multiLevelType w:val="hybridMultilevel"/>
    <w:tmpl w:val="9C7E0D8C"/>
    <w:lvl w:ilvl="0" w:tplc="49F8391E">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3104A5"/>
    <w:multiLevelType w:val="hybridMultilevel"/>
    <w:tmpl w:val="9ADED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F4271E"/>
    <w:multiLevelType w:val="hybridMultilevel"/>
    <w:tmpl w:val="ACB40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2F0F83"/>
    <w:multiLevelType w:val="hybridMultilevel"/>
    <w:tmpl w:val="AD74D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D60DFE"/>
    <w:multiLevelType w:val="hybridMultilevel"/>
    <w:tmpl w:val="67325712"/>
    <w:lvl w:ilvl="0" w:tplc="464E864A">
      <w:start w:val="7"/>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080EA5"/>
    <w:multiLevelType w:val="hybridMultilevel"/>
    <w:tmpl w:val="447A896E"/>
    <w:lvl w:ilvl="0" w:tplc="7ADCC3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E70B62"/>
    <w:multiLevelType w:val="hybridMultilevel"/>
    <w:tmpl w:val="ADA8711E"/>
    <w:lvl w:ilvl="0" w:tplc="DBB0A036">
      <w:start w:val="1"/>
      <w:numFmt w:val="hebrew1"/>
      <w:pStyle w:val="Ruller4"/>
      <w:lvlText w:val="%1."/>
      <w:lvlJc w:val="left"/>
      <w:pPr>
        <w:tabs>
          <w:tab w:val="num" w:pos="907"/>
        </w:tabs>
        <w:ind w:left="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515322AD"/>
    <w:multiLevelType w:val="hybridMultilevel"/>
    <w:tmpl w:val="20467304"/>
    <w:lvl w:ilvl="0" w:tplc="DC9A7A88">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5D358B7"/>
    <w:multiLevelType w:val="hybridMultilevel"/>
    <w:tmpl w:val="38023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AA30DA6"/>
    <w:multiLevelType w:val="hybridMultilevel"/>
    <w:tmpl w:val="0D667C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6E756D"/>
    <w:multiLevelType w:val="multilevel"/>
    <w:tmpl w:val="4B241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1"/>
  </w:num>
  <w:num w:numId="3">
    <w:abstractNumId w:val="9"/>
  </w:num>
  <w:num w:numId="4">
    <w:abstractNumId w:val="13"/>
  </w:num>
  <w:num w:numId="5">
    <w:abstractNumId w:val="10"/>
  </w:num>
  <w:num w:numId="6">
    <w:abstractNumId w:val="12"/>
  </w:num>
  <w:num w:numId="7">
    <w:abstractNumId w:val="5"/>
  </w:num>
  <w:num w:numId="8">
    <w:abstractNumId w:val="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4"/>
  </w:num>
  <w:num w:numId="12">
    <w:abstractNumId w:val="2"/>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5CA"/>
    <w:rsid w:val="00040916"/>
    <w:rsid w:val="00043E44"/>
    <w:rsid w:val="00053283"/>
    <w:rsid w:val="000556B4"/>
    <w:rsid w:val="000705AA"/>
    <w:rsid w:val="00085CCE"/>
    <w:rsid w:val="000908F4"/>
    <w:rsid w:val="000957C0"/>
    <w:rsid w:val="000968A9"/>
    <w:rsid w:val="000A3EB5"/>
    <w:rsid w:val="000A44B2"/>
    <w:rsid w:val="000D1A92"/>
    <w:rsid w:val="000D775F"/>
    <w:rsid w:val="000E350B"/>
    <w:rsid w:val="000F268D"/>
    <w:rsid w:val="000F2D46"/>
    <w:rsid w:val="000F66C3"/>
    <w:rsid w:val="00103999"/>
    <w:rsid w:val="00110B48"/>
    <w:rsid w:val="00117ABA"/>
    <w:rsid w:val="00125C5A"/>
    <w:rsid w:val="001272A7"/>
    <w:rsid w:val="0013201C"/>
    <w:rsid w:val="001345BE"/>
    <w:rsid w:val="0014121C"/>
    <w:rsid w:val="00147853"/>
    <w:rsid w:val="00147873"/>
    <w:rsid w:val="00147DDD"/>
    <w:rsid w:val="00152389"/>
    <w:rsid w:val="00153372"/>
    <w:rsid w:val="00161995"/>
    <w:rsid w:val="00165B77"/>
    <w:rsid w:val="00170D47"/>
    <w:rsid w:val="0018585C"/>
    <w:rsid w:val="00191A71"/>
    <w:rsid w:val="00191D3A"/>
    <w:rsid w:val="0019417D"/>
    <w:rsid w:val="001A2F73"/>
    <w:rsid w:val="001A599D"/>
    <w:rsid w:val="001A7A7C"/>
    <w:rsid w:val="001B08F8"/>
    <w:rsid w:val="001C40BB"/>
    <w:rsid w:val="001C6B0B"/>
    <w:rsid w:val="001D3712"/>
    <w:rsid w:val="001D6E30"/>
    <w:rsid w:val="001F7C8C"/>
    <w:rsid w:val="002109F9"/>
    <w:rsid w:val="0023092B"/>
    <w:rsid w:val="00230E1A"/>
    <w:rsid w:val="00237BEC"/>
    <w:rsid w:val="00237D41"/>
    <w:rsid w:val="0024003B"/>
    <w:rsid w:val="00261A38"/>
    <w:rsid w:val="002874CC"/>
    <w:rsid w:val="002A4338"/>
    <w:rsid w:val="002B4DAB"/>
    <w:rsid w:val="002B58E9"/>
    <w:rsid w:val="002B76E9"/>
    <w:rsid w:val="002E1540"/>
    <w:rsid w:val="0031437E"/>
    <w:rsid w:val="00323D99"/>
    <w:rsid w:val="00336E1D"/>
    <w:rsid w:val="00337F85"/>
    <w:rsid w:val="00344C4C"/>
    <w:rsid w:val="00347511"/>
    <w:rsid w:val="003566F1"/>
    <w:rsid w:val="00361769"/>
    <w:rsid w:val="00365680"/>
    <w:rsid w:val="0037209F"/>
    <w:rsid w:val="00376B57"/>
    <w:rsid w:val="003918CF"/>
    <w:rsid w:val="003A31B0"/>
    <w:rsid w:val="003B3801"/>
    <w:rsid w:val="003B55CA"/>
    <w:rsid w:val="003C67E1"/>
    <w:rsid w:val="003D0CFE"/>
    <w:rsid w:val="003D2FA6"/>
    <w:rsid w:val="003D63C0"/>
    <w:rsid w:val="003F0EC7"/>
    <w:rsid w:val="003F78C4"/>
    <w:rsid w:val="00417E19"/>
    <w:rsid w:val="00421C2A"/>
    <w:rsid w:val="004232CC"/>
    <w:rsid w:val="004449A1"/>
    <w:rsid w:val="004471DA"/>
    <w:rsid w:val="0045039F"/>
    <w:rsid w:val="00460512"/>
    <w:rsid w:val="00466358"/>
    <w:rsid w:val="00470C55"/>
    <w:rsid w:val="00483D8D"/>
    <w:rsid w:val="00487C90"/>
    <w:rsid w:val="004B1C56"/>
    <w:rsid w:val="004B74C5"/>
    <w:rsid w:val="004E4E62"/>
    <w:rsid w:val="004F41D9"/>
    <w:rsid w:val="00525B38"/>
    <w:rsid w:val="005365F3"/>
    <w:rsid w:val="00540A1A"/>
    <w:rsid w:val="00541944"/>
    <w:rsid w:val="005479F2"/>
    <w:rsid w:val="00553A0C"/>
    <w:rsid w:val="00565518"/>
    <w:rsid w:val="00570666"/>
    <w:rsid w:val="0057590D"/>
    <w:rsid w:val="005779C1"/>
    <w:rsid w:val="005816C5"/>
    <w:rsid w:val="00583AA0"/>
    <w:rsid w:val="00595D7E"/>
    <w:rsid w:val="006044BB"/>
    <w:rsid w:val="00612867"/>
    <w:rsid w:val="00612D05"/>
    <w:rsid w:val="0063688F"/>
    <w:rsid w:val="0065395E"/>
    <w:rsid w:val="00666FBC"/>
    <w:rsid w:val="00670AC8"/>
    <w:rsid w:val="006810FE"/>
    <w:rsid w:val="00694B1A"/>
    <w:rsid w:val="006A3E0F"/>
    <w:rsid w:val="006C2F5B"/>
    <w:rsid w:val="006D064A"/>
    <w:rsid w:val="006E4F6F"/>
    <w:rsid w:val="006E559B"/>
    <w:rsid w:val="006E6BB2"/>
    <w:rsid w:val="006F5A49"/>
    <w:rsid w:val="00710464"/>
    <w:rsid w:val="0071247B"/>
    <w:rsid w:val="00720B37"/>
    <w:rsid w:val="00734FF3"/>
    <w:rsid w:val="007430D5"/>
    <w:rsid w:val="00756884"/>
    <w:rsid w:val="00757278"/>
    <w:rsid w:val="00760F9D"/>
    <w:rsid w:val="007663A2"/>
    <w:rsid w:val="00792E1C"/>
    <w:rsid w:val="00794636"/>
    <w:rsid w:val="00796337"/>
    <w:rsid w:val="007A5795"/>
    <w:rsid w:val="007B2580"/>
    <w:rsid w:val="007B33CE"/>
    <w:rsid w:val="007C0AD4"/>
    <w:rsid w:val="007C51A0"/>
    <w:rsid w:val="007D3C5A"/>
    <w:rsid w:val="007D44C5"/>
    <w:rsid w:val="007E46B0"/>
    <w:rsid w:val="007F128E"/>
    <w:rsid w:val="007F5C7C"/>
    <w:rsid w:val="00800C73"/>
    <w:rsid w:val="00804895"/>
    <w:rsid w:val="00807D24"/>
    <w:rsid w:val="008113AA"/>
    <w:rsid w:val="008115DC"/>
    <w:rsid w:val="0081532F"/>
    <w:rsid w:val="008314E9"/>
    <w:rsid w:val="00831876"/>
    <w:rsid w:val="00831B28"/>
    <w:rsid w:val="008329A6"/>
    <w:rsid w:val="00836A8F"/>
    <w:rsid w:val="00840962"/>
    <w:rsid w:val="008425CE"/>
    <w:rsid w:val="0084484D"/>
    <w:rsid w:val="00846334"/>
    <w:rsid w:val="00867FC2"/>
    <w:rsid w:val="008A6D01"/>
    <w:rsid w:val="008C7680"/>
    <w:rsid w:val="0090524C"/>
    <w:rsid w:val="00906712"/>
    <w:rsid w:val="00911CE3"/>
    <w:rsid w:val="0093117D"/>
    <w:rsid w:val="009372C8"/>
    <w:rsid w:val="009439DE"/>
    <w:rsid w:val="009457FE"/>
    <w:rsid w:val="00946EA1"/>
    <w:rsid w:val="00956BFD"/>
    <w:rsid w:val="00982C6A"/>
    <w:rsid w:val="009852D8"/>
    <w:rsid w:val="009A37F4"/>
    <w:rsid w:val="009B33CF"/>
    <w:rsid w:val="009B4427"/>
    <w:rsid w:val="009B6B3C"/>
    <w:rsid w:val="009C28D1"/>
    <w:rsid w:val="009C4C0F"/>
    <w:rsid w:val="009E7D40"/>
    <w:rsid w:val="009F2121"/>
    <w:rsid w:val="009F599B"/>
    <w:rsid w:val="00A06674"/>
    <w:rsid w:val="00A234CA"/>
    <w:rsid w:val="00A37179"/>
    <w:rsid w:val="00A4407C"/>
    <w:rsid w:val="00A500D4"/>
    <w:rsid w:val="00A5119E"/>
    <w:rsid w:val="00A529E7"/>
    <w:rsid w:val="00A5657B"/>
    <w:rsid w:val="00A57238"/>
    <w:rsid w:val="00A64B38"/>
    <w:rsid w:val="00A90F1A"/>
    <w:rsid w:val="00A911A1"/>
    <w:rsid w:val="00A970C3"/>
    <w:rsid w:val="00A975E1"/>
    <w:rsid w:val="00AA435C"/>
    <w:rsid w:val="00AA4E48"/>
    <w:rsid w:val="00AB64D6"/>
    <w:rsid w:val="00AC76FF"/>
    <w:rsid w:val="00B03612"/>
    <w:rsid w:val="00B07BCE"/>
    <w:rsid w:val="00B13C03"/>
    <w:rsid w:val="00B21283"/>
    <w:rsid w:val="00B26223"/>
    <w:rsid w:val="00B3073C"/>
    <w:rsid w:val="00B315AE"/>
    <w:rsid w:val="00B410AF"/>
    <w:rsid w:val="00B4412B"/>
    <w:rsid w:val="00B47ADF"/>
    <w:rsid w:val="00B73CDC"/>
    <w:rsid w:val="00B75950"/>
    <w:rsid w:val="00BA1321"/>
    <w:rsid w:val="00BE24BD"/>
    <w:rsid w:val="00BE2564"/>
    <w:rsid w:val="00BE54CE"/>
    <w:rsid w:val="00BF1070"/>
    <w:rsid w:val="00BF3766"/>
    <w:rsid w:val="00BF602E"/>
    <w:rsid w:val="00C022F7"/>
    <w:rsid w:val="00C2287E"/>
    <w:rsid w:val="00C40B2D"/>
    <w:rsid w:val="00C555FB"/>
    <w:rsid w:val="00C73D4D"/>
    <w:rsid w:val="00C80A2B"/>
    <w:rsid w:val="00C8334C"/>
    <w:rsid w:val="00C879A3"/>
    <w:rsid w:val="00C91D26"/>
    <w:rsid w:val="00C91EA3"/>
    <w:rsid w:val="00C96DF7"/>
    <w:rsid w:val="00CA52E2"/>
    <w:rsid w:val="00CB10F0"/>
    <w:rsid w:val="00CB2AF5"/>
    <w:rsid w:val="00CB5231"/>
    <w:rsid w:val="00CB5E5B"/>
    <w:rsid w:val="00CD2C72"/>
    <w:rsid w:val="00CD60F2"/>
    <w:rsid w:val="00CD6C24"/>
    <w:rsid w:val="00CE0BD9"/>
    <w:rsid w:val="00CE1378"/>
    <w:rsid w:val="00CF6A06"/>
    <w:rsid w:val="00D12DA4"/>
    <w:rsid w:val="00D14568"/>
    <w:rsid w:val="00D14C8B"/>
    <w:rsid w:val="00D276EF"/>
    <w:rsid w:val="00D315E8"/>
    <w:rsid w:val="00D35F6B"/>
    <w:rsid w:val="00D3669D"/>
    <w:rsid w:val="00D378D9"/>
    <w:rsid w:val="00D46340"/>
    <w:rsid w:val="00D54BEC"/>
    <w:rsid w:val="00D56397"/>
    <w:rsid w:val="00D60131"/>
    <w:rsid w:val="00D777AE"/>
    <w:rsid w:val="00D834F1"/>
    <w:rsid w:val="00D942AB"/>
    <w:rsid w:val="00DA732E"/>
    <w:rsid w:val="00DB19AE"/>
    <w:rsid w:val="00DE6AE7"/>
    <w:rsid w:val="00DF04B6"/>
    <w:rsid w:val="00DF5381"/>
    <w:rsid w:val="00E04852"/>
    <w:rsid w:val="00E22AD9"/>
    <w:rsid w:val="00E46187"/>
    <w:rsid w:val="00E47EEC"/>
    <w:rsid w:val="00E6225D"/>
    <w:rsid w:val="00E63016"/>
    <w:rsid w:val="00E66C4E"/>
    <w:rsid w:val="00E71A71"/>
    <w:rsid w:val="00E96579"/>
    <w:rsid w:val="00EA3AC5"/>
    <w:rsid w:val="00ED1C73"/>
    <w:rsid w:val="00EE1ACB"/>
    <w:rsid w:val="00EE2FDA"/>
    <w:rsid w:val="00EE3DD2"/>
    <w:rsid w:val="00EE404B"/>
    <w:rsid w:val="00EF0DC8"/>
    <w:rsid w:val="00EF745E"/>
    <w:rsid w:val="00EF7EAA"/>
    <w:rsid w:val="00F0048F"/>
    <w:rsid w:val="00F066A2"/>
    <w:rsid w:val="00F066C3"/>
    <w:rsid w:val="00F07572"/>
    <w:rsid w:val="00F121C4"/>
    <w:rsid w:val="00F275EC"/>
    <w:rsid w:val="00F33F2E"/>
    <w:rsid w:val="00F4080B"/>
    <w:rsid w:val="00F42E00"/>
    <w:rsid w:val="00F75445"/>
    <w:rsid w:val="00F761BD"/>
    <w:rsid w:val="00F84ED3"/>
    <w:rsid w:val="00F85625"/>
    <w:rsid w:val="00FA415F"/>
    <w:rsid w:val="00FA6FC9"/>
    <w:rsid w:val="00FA6FCA"/>
    <w:rsid w:val="00FB440E"/>
    <w:rsid w:val="00FC2122"/>
    <w:rsid w:val="00FD26C1"/>
    <w:rsid w:val="00FD78BE"/>
    <w:rsid w:val="00FE79A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2FDA"/>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E2FDA"/>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TableText">
    <w:name w:val="Table Text"/>
    <w:basedOn w:val="a"/>
    <w:link w:val="TableText0"/>
    <w:rsid w:val="00EE2FDA"/>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EE2FDA"/>
  </w:style>
  <w:style w:type="paragraph" w:customStyle="1" w:styleId="TableBlock">
    <w:name w:val="Table Block"/>
    <w:basedOn w:val="TableText"/>
    <w:link w:val="TableBlock0"/>
    <w:rsid w:val="00EE2FDA"/>
    <w:pPr>
      <w:ind w:right="0"/>
      <w:jc w:val="both"/>
    </w:pPr>
  </w:style>
  <w:style w:type="paragraph" w:customStyle="1" w:styleId="TableInnerSideHeading">
    <w:name w:val="Table InnerSideHeading"/>
    <w:basedOn w:val="TableSideHeading"/>
    <w:rsid w:val="00EE2FDA"/>
  </w:style>
  <w:style w:type="paragraph" w:customStyle="1" w:styleId="Hesber">
    <w:name w:val="Hesber"/>
    <w:basedOn w:val="a"/>
    <w:rsid w:val="00EE2FDA"/>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 w:type="paragraph" w:styleId="a3">
    <w:name w:val="footnote text"/>
    <w:basedOn w:val="a"/>
    <w:link w:val="a4"/>
    <w:autoRedefine/>
    <w:rsid w:val="002B58E9"/>
    <w:pPr>
      <w:widowControl w:val="0"/>
      <w:adjustRightInd w:val="0"/>
      <w:snapToGrid w:val="0"/>
      <w:spacing w:line="240" w:lineRule="auto"/>
      <w:ind w:left="227" w:hanging="227"/>
      <w:textAlignment w:val="center"/>
    </w:pPr>
    <w:rPr>
      <w:rFonts w:ascii="Arial" w:eastAsia="Arial Unicode MS" w:hAnsi="Arial" w:cs="David"/>
      <w:snapToGrid w:val="0"/>
      <w:sz w:val="14"/>
      <w:szCs w:val="20"/>
      <w:lang w:eastAsia="ja-JP"/>
    </w:rPr>
  </w:style>
  <w:style w:type="character" w:customStyle="1" w:styleId="a4">
    <w:name w:val="טקסט הערת שוליים תו"/>
    <w:basedOn w:val="a0"/>
    <w:link w:val="a3"/>
    <w:rsid w:val="002B58E9"/>
    <w:rPr>
      <w:rFonts w:ascii="Arial" w:eastAsia="Arial Unicode MS" w:hAnsi="Arial" w:cs="David"/>
      <w:snapToGrid w:val="0"/>
      <w:sz w:val="14"/>
      <w:szCs w:val="20"/>
      <w:lang w:eastAsia="ja-JP"/>
    </w:rPr>
  </w:style>
  <w:style w:type="character" w:styleId="a5">
    <w:name w:val="footnote reference"/>
    <w:aliases w:val="Footnote Reference"/>
    <w:basedOn w:val="a0"/>
    <w:rsid w:val="00EE2FDA"/>
    <w:rPr>
      <w:vertAlign w:val="superscript"/>
    </w:rPr>
  </w:style>
  <w:style w:type="paragraph" w:customStyle="1" w:styleId="HeadDivreiHesber">
    <w:name w:val="Head DivreiHesber"/>
    <w:basedOn w:val="a"/>
    <w:rsid w:val="00EE2FDA"/>
    <w:pPr>
      <w:widowControl w:val="0"/>
      <w:adjustRightInd w:val="0"/>
      <w:snapToGrid w:val="0"/>
      <w:spacing w:before="360" w:after="120"/>
      <w:jc w:val="center"/>
      <w:textAlignment w:val="center"/>
    </w:pPr>
    <w:rPr>
      <w:rFonts w:ascii="Arial" w:eastAsia="Arial Unicode MS" w:hAnsi="Arial" w:cs="David"/>
      <w:b/>
      <w:snapToGrid w:val="0"/>
      <w:color w:val="000000"/>
      <w:spacing w:val="40"/>
      <w:sz w:val="20"/>
      <w:szCs w:val="26"/>
      <w:lang w:eastAsia="ja-JP"/>
    </w:rPr>
  </w:style>
  <w:style w:type="character" w:customStyle="1" w:styleId="default">
    <w:name w:val="default"/>
    <w:rsid w:val="00EE2FDA"/>
    <w:rPr>
      <w:rFonts w:ascii="Times New Roman" w:hAnsi="Times New Roman"/>
      <w:sz w:val="26"/>
    </w:rPr>
  </w:style>
  <w:style w:type="character" w:customStyle="1" w:styleId="TableText0">
    <w:name w:val="Table Text תו"/>
    <w:link w:val="TableText"/>
    <w:locked/>
    <w:rsid w:val="00EE2FDA"/>
    <w:rPr>
      <w:rFonts w:ascii="Arial" w:eastAsia="Arial Unicode MS" w:hAnsi="Arial" w:cs="David"/>
      <w:snapToGrid w:val="0"/>
      <w:color w:val="000000"/>
      <w:sz w:val="20"/>
      <w:szCs w:val="26"/>
      <w:lang w:eastAsia="ja-JP"/>
    </w:rPr>
  </w:style>
  <w:style w:type="character" w:customStyle="1" w:styleId="TableBlock0">
    <w:name w:val="Table Block תו"/>
    <w:link w:val="TableBlock"/>
    <w:locked/>
    <w:rsid w:val="00EE2FDA"/>
    <w:rPr>
      <w:rFonts w:ascii="Arial" w:eastAsia="Arial Unicode MS" w:hAnsi="Arial" w:cs="David"/>
      <w:snapToGrid w:val="0"/>
      <w:color w:val="000000"/>
      <w:sz w:val="20"/>
      <w:szCs w:val="26"/>
      <w:lang w:eastAsia="ja-JP"/>
    </w:rPr>
  </w:style>
  <w:style w:type="paragraph" w:styleId="a6">
    <w:name w:val="List Paragraph"/>
    <w:basedOn w:val="a"/>
    <w:uiPriority w:val="34"/>
    <w:qFormat/>
    <w:rsid w:val="00323D99"/>
    <w:pPr>
      <w:ind w:left="720"/>
      <w:contextualSpacing/>
    </w:pPr>
  </w:style>
  <w:style w:type="character" w:styleId="a7">
    <w:name w:val="annotation reference"/>
    <w:basedOn w:val="a0"/>
    <w:semiHidden/>
    <w:rsid w:val="0013201C"/>
    <w:rPr>
      <w:rFonts w:cs="FrankRuehl"/>
      <w:sz w:val="16"/>
      <w:szCs w:val="20"/>
    </w:rPr>
  </w:style>
  <w:style w:type="character" w:customStyle="1" w:styleId="apple-converted-space">
    <w:name w:val="apple-converted-space"/>
    <w:basedOn w:val="a0"/>
    <w:rsid w:val="00A57238"/>
  </w:style>
  <w:style w:type="character" w:styleId="a8">
    <w:name w:val="Strong"/>
    <w:basedOn w:val="a0"/>
    <w:uiPriority w:val="22"/>
    <w:qFormat/>
    <w:rsid w:val="00A57238"/>
    <w:rPr>
      <w:b/>
      <w:bCs/>
    </w:rPr>
  </w:style>
  <w:style w:type="character" w:styleId="Hyperlink">
    <w:name w:val="Hyperlink"/>
    <w:basedOn w:val="a0"/>
    <w:uiPriority w:val="99"/>
    <w:unhideWhenUsed/>
    <w:rsid w:val="00A57238"/>
    <w:rPr>
      <w:color w:val="0563C1" w:themeColor="hyperlink"/>
      <w:u w:val="single"/>
    </w:rPr>
  </w:style>
  <w:style w:type="paragraph" w:customStyle="1" w:styleId="P00">
    <w:name w:val="P00"/>
    <w:link w:val="P000"/>
    <w:rsid w:val="009C28D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P000">
    <w:name w:val="P00 תו"/>
    <w:link w:val="P00"/>
    <w:rsid w:val="009C28D1"/>
    <w:rPr>
      <w:rFonts w:ascii="Times New Roman" w:eastAsia="Times New Roman" w:hAnsi="Times New Roman" w:cs="Times New Roman"/>
      <w:noProof/>
      <w:sz w:val="20"/>
      <w:szCs w:val="26"/>
      <w:lang w:eastAsia="he-IL"/>
    </w:rPr>
  </w:style>
  <w:style w:type="table" w:styleId="a9">
    <w:name w:val="Table Grid"/>
    <w:basedOn w:val="a1"/>
    <w:uiPriority w:val="39"/>
    <w:rsid w:val="00F761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rsid w:val="00C91EA3"/>
    <w:pPr>
      <w:tabs>
        <w:tab w:val="center" w:pos="4153"/>
        <w:tab w:val="right" w:pos="8306"/>
      </w:tabs>
      <w:overflowPunct w:val="0"/>
      <w:adjustRightInd w:val="0"/>
      <w:spacing w:line="240" w:lineRule="auto"/>
      <w:jc w:val="left"/>
    </w:pPr>
    <w:rPr>
      <w:rFonts w:cs="David"/>
      <w:sz w:val="20"/>
      <w:lang w:eastAsia="en-US"/>
    </w:rPr>
  </w:style>
  <w:style w:type="character" w:customStyle="1" w:styleId="ab">
    <w:name w:val="כותרת עליונה תו"/>
    <w:basedOn w:val="a0"/>
    <w:link w:val="aa"/>
    <w:rsid w:val="00C91EA3"/>
    <w:rPr>
      <w:rFonts w:ascii="Times New Roman" w:eastAsia="Times New Roman" w:hAnsi="Times New Roman" w:cs="David"/>
      <w:sz w:val="20"/>
      <w:szCs w:val="24"/>
    </w:rPr>
  </w:style>
  <w:style w:type="paragraph" w:customStyle="1" w:styleId="Ruller5">
    <w:name w:val="Ruller5"/>
    <w:basedOn w:val="a"/>
    <w:rsid w:val="00C91EA3"/>
    <w:pPr>
      <w:overflowPunct w:val="0"/>
      <w:adjustRightInd w:val="0"/>
      <w:spacing w:line="240" w:lineRule="auto"/>
      <w:ind w:left="1642" w:right="1282"/>
    </w:pPr>
    <w:rPr>
      <w:rFonts w:ascii="Arial TUR" w:hAnsi="Arial TUR" w:cs="FrankRuehl"/>
      <w:spacing w:val="10"/>
      <w:szCs w:val="28"/>
      <w:lang w:eastAsia="en-US"/>
    </w:rPr>
  </w:style>
  <w:style w:type="paragraph" w:customStyle="1" w:styleId="Ruller4">
    <w:name w:val="Ruller4 אלפביתי"/>
    <w:basedOn w:val="a"/>
    <w:next w:val="a"/>
    <w:rsid w:val="009F599B"/>
    <w:pPr>
      <w:numPr>
        <w:numId w:val="9"/>
      </w:numPr>
      <w:tabs>
        <w:tab w:val="left" w:pos="800"/>
      </w:tabs>
      <w:overflowPunct w:val="0"/>
      <w:adjustRightInd w:val="0"/>
    </w:pPr>
    <w:rPr>
      <w:rFonts w:ascii="Arial TUR" w:hAnsi="Arial TUR" w:cs="FrankRuehl"/>
      <w:spacing w:val="10"/>
      <w:szCs w:val="28"/>
      <w:lang w:eastAsia="en-US"/>
    </w:rPr>
  </w:style>
  <w:style w:type="character" w:customStyle="1" w:styleId="big-number">
    <w:name w:val="big-number"/>
    <w:rsid w:val="00A500D4"/>
    <w:rPr>
      <w:rFonts w:ascii="Times New Roman" w:hAnsi="Times New Roman" w:cs="Times New Roman"/>
      <w:sz w:val="32"/>
      <w:szCs w:val="32"/>
    </w:rPr>
  </w:style>
  <w:style w:type="paragraph" w:customStyle="1" w:styleId="P33">
    <w:name w:val="P33"/>
    <w:basedOn w:val="P00"/>
    <w:rsid w:val="0045039F"/>
    <w:pPr>
      <w:tabs>
        <w:tab w:val="clear" w:pos="624"/>
        <w:tab w:val="clear" w:pos="1021"/>
        <w:tab w:val="clear" w:pos="1474"/>
      </w:tabs>
      <w:ind w:right="1474"/>
    </w:pPr>
  </w:style>
  <w:style w:type="paragraph" w:customStyle="1" w:styleId="P03">
    <w:name w:val="P03"/>
    <w:basedOn w:val="P00"/>
    <w:rsid w:val="0045039F"/>
    <w:pPr>
      <w:ind w:right="1474" w:hanging="1474"/>
    </w:pPr>
  </w:style>
  <w:style w:type="paragraph" w:styleId="ac">
    <w:name w:val="Body Text"/>
    <w:basedOn w:val="a"/>
    <w:link w:val="ad"/>
    <w:rsid w:val="001272A7"/>
    <w:pPr>
      <w:autoSpaceDE/>
      <w:autoSpaceDN/>
      <w:spacing w:line="240" w:lineRule="auto"/>
      <w:jc w:val="left"/>
    </w:pPr>
    <w:rPr>
      <w:rFonts w:cs="Miriam"/>
      <w:sz w:val="18"/>
      <w:szCs w:val="18"/>
    </w:rPr>
  </w:style>
  <w:style w:type="character" w:customStyle="1" w:styleId="ad">
    <w:name w:val="גוף טקסט תו"/>
    <w:basedOn w:val="a0"/>
    <w:link w:val="ac"/>
    <w:rsid w:val="001272A7"/>
    <w:rPr>
      <w:rFonts w:ascii="Times New Roman" w:eastAsia="Times New Roman" w:hAnsi="Times New Roman" w:cs="Miriam"/>
      <w:sz w:val="18"/>
      <w:szCs w:val="18"/>
      <w:lang w:eastAsia="he-IL"/>
    </w:rPr>
  </w:style>
  <w:style w:type="paragraph" w:customStyle="1" w:styleId="big-header">
    <w:name w:val="big-header"/>
    <w:basedOn w:val="a"/>
    <w:rsid w:val="00D12DA4"/>
    <w:pPr>
      <w:keepNext/>
      <w:keepLines/>
      <w:widowControl w:val="0"/>
      <w:tabs>
        <w:tab w:val="left" w:pos="624"/>
        <w:tab w:val="left" w:pos="1021"/>
        <w:tab w:val="left" w:pos="1474"/>
        <w:tab w:val="left" w:pos="1928"/>
        <w:tab w:val="left" w:pos="2381"/>
        <w:tab w:val="left" w:pos="2835"/>
      </w:tabs>
      <w:suppressAutoHyphens/>
      <w:spacing w:before="440" w:after="120" w:line="240" w:lineRule="auto"/>
      <w:ind w:left="2835"/>
      <w:jc w:val="center"/>
    </w:pPr>
    <w:rPr>
      <w:noProof/>
      <w:sz w:val="20"/>
      <w:szCs w:val="32"/>
    </w:rPr>
  </w:style>
  <w:style w:type="paragraph" w:customStyle="1" w:styleId="P11">
    <w:name w:val="P11"/>
    <w:basedOn w:val="P00"/>
    <w:rsid w:val="00C022F7"/>
    <w:pPr>
      <w:tabs>
        <w:tab w:val="clear" w:pos="624"/>
      </w:tabs>
      <w:ind w:right="624"/>
    </w:pPr>
  </w:style>
  <w:style w:type="paragraph" w:styleId="ae">
    <w:name w:val="footer"/>
    <w:basedOn w:val="a"/>
    <w:link w:val="af"/>
    <w:uiPriority w:val="99"/>
    <w:unhideWhenUsed/>
    <w:rsid w:val="0057590D"/>
    <w:pPr>
      <w:tabs>
        <w:tab w:val="center" w:pos="4153"/>
        <w:tab w:val="right" w:pos="8306"/>
      </w:tabs>
      <w:spacing w:line="240" w:lineRule="auto"/>
    </w:pPr>
  </w:style>
  <w:style w:type="character" w:customStyle="1" w:styleId="af">
    <w:name w:val="כותרת תחתונה תו"/>
    <w:basedOn w:val="a0"/>
    <w:link w:val="ae"/>
    <w:uiPriority w:val="99"/>
    <w:rsid w:val="0057590D"/>
    <w:rPr>
      <w:rFonts w:ascii="Times New Roman" w:eastAsia="Times New Roman" w:hAnsi="Times New Roman" w:cs="Times New Roman"/>
      <w:szCs w:val="24"/>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2FDA"/>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E2FDA"/>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TableText">
    <w:name w:val="Table Text"/>
    <w:basedOn w:val="a"/>
    <w:link w:val="TableText0"/>
    <w:rsid w:val="00EE2FDA"/>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EE2FDA"/>
  </w:style>
  <w:style w:type="paragraph" w:customStyle="1" w:styleId="TableBlock">
    <w:name w:val="Table Block"/>
    <w:basedOn w:val="TableText"/>
    <w:link w:val="TableBlock0"/>
    <w:rsid w:val="00EE2FDA"/>
    <w:pPr>
      <w:ind w:right="0"/>
      <w:jc w:val="both"/>
    </w:pPr>
  </w:style>
  <w:style w:type="paragraph" w:customStyle="1" w:styleId="TableInnerSideHeading">
    <w:name w:val="Table InnerSideHeading"/>
    <w:basedOn w:val="TableSideHeading"/>
    <w:rsid w:val="00EE2FDA"/>
  </w:style>
  <w:style w:type="paragraph" w:customStyle="1" w:styleId="Hesber">
    <w:name w:val="Hesber"/>
    <w:basedOn w:val="a"/>
    <w:rsid w:val="00EE2FDA"/>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 w:type="paragraph" w:styleId="a3">
    <w:name w:val="footnote text"/>
    <w:basedOn w:val="a"/>
    <w:link w:val="a4"/>
    <w:autoRedefine/>
    <w:rsid w:val="002B58E9"/>
    <w:pPr>
      <w:widowControl w:val="0"/>
      <w:adjustRightInd w:val="0"/>
      <w:snapToGrid w:val="0"/>
      <w:spacing w:line="240" w:lineRule="auto"/>
      <w:ind w:left="227" w:hanging="227"/>
      <w:textAlignment w:val="center"/>
    </w:pPr>
    <w:rPr>
      <w:rFonts w:ascii="Arial" w:eastAsia="Arial Unicode MS" w:hAnsi="Arial" w:cs="David"/>
      <w:snapToGrid w:val="0"/>
      <w:sz w:val="14"/>
      <w:szCs w:val="20"/>
      <w:lang w:eastAsia="ja-JP"/>
    </w:rPr>
  </w:style>
  <w:style w:type="character" w:customStyle="1" w:styleId="a4">
    <w:name w:val="טקסט הערת שוליים תו"/>
    <w:basedOn w:val="a0"/>
    <w:link w:val="a3"/>
    <w:rsid w:val="002B58E9"/>
    <w:rPr>
      <w:rFonts w:ascii="Arial" w:eastAsia="Arial Unicode MS" w:hAnsi="Arial" w:cs="David"/>
      <w:snapToGrid w:val="0"/>
      <w:sz w:val="14"/>
      <w:szCs w:val="20"/>
      <w:lang w:eastAsia="ja-JP"/>
    </w:rPr>
  </w:style>
  <w:style w:type="character" w:styleId="a5">
    <w:name w:val="footnote reference"/>
    <w:aliases w:val="Footnote Reference"/>
    <w:basedOn w:val="a0"/>
    <w:rsid w:val="00EE2FDA"/>
    <w:rPr>
      <w:vertAlign w:val="superscript"/>
    </w:rPr>
  </w:style>
  <w:style w:type="paragraph" w:customStyle="1" w:styleId="HeadDivreiHesber">
    <w:name w:val="Head DivreiHesber"/>
    <w:basedOn w:val="a"/>
    <w:rsid w:val="00EE2FDA"/>
    <w:pPr>
      <w:widowControl w:val="0"/>
      <w:adjustRightInd w:val="0"/>
      <w:snapToGrid w:val="0"/>
      <w:spacing w:before="360" w:after="120"/>
      <w:jc w:val="center"/>
      <w:textAlignment w:val="center"/>
    </w:pPr>
    <w:rPr>
      <w:rFonts w:ascii="Arial" w:eastAsia="Arial Unicode MS" w:hAnsi="Arial" w:cs="David"/>
      <w:b/>
      <w:snapToGrid w:val="0"/>
      <w:color w:val="000000"/>
      <w:spacing w:val="40"/>
      <w:sz w:val="20"/>
      <w:szCs w:val="26"/>
      <w:lang w:eastAsia="ja-JP"/>
    </w:rPr>
  </w:style>
  <w:style w:type="character" w:customStyle="1" w:styleId="default">
    <w:name w:val="default"/>
    <w:rsid w:val="00EE2FDA"/>
    <w:rPr>
      <w:rFonts w:ascii="Times New Roman" w:hAnsi="Times New Roman"/>
      <w:sz w:val="26"/>
    </w:rPr>
  </w:style>
  <w:style w:type="character" w:customStyle="1" w:styleId="TableText0">
    <w:name w:val="Table Text תו"/>
    <w:link w:val="TableText"/>
    <w:locked/>
    <w:rsid w:val="00EE2FDA"/>
    <w:rPr>
      <w:rFonts w:ascii="Arial" w:eastAsia="Arial Unicode MS" w:hAnsi="Arial" w:cs="David"/>
      <w:snapToGrid w:val="0"/>
      <w:color w:val="000000"/>
      <w:sz w:val="20"/>
      <w:szCs w:val="26"/>
      <w:lang w:eastAsia="ja-JP"/>
    </w:rPr>
  </w:style>
  <w:style w:type="character" w:customStyle="1" w:styleId="TableBlock0">
    <w:name w:val="Table Block תו"/>
    <w:link w:val="TableBlock"/>
    <w:locked/>
    <w:rsid w:val="00EE2FDA"/>
    <w:rPr>
      <w:rFonts w:ascii="Arial" w:eastAsia="Arial Unicode MS" w:hAnsi="Arial" w:cs="David"/>
      <w:snapToGrid w:val="0"/>
      <w:color w:val="000000"/>
      <w:sz w:val="20"/>
      <w:szCs w:val="26"/>
      <w:lang w:eastAsia="ja-JP"/>
    </w:rPr>
  </w:style>
  <w:style w:type="paragraph" w:styleId="a6">
    <w:name w:val="List Paragraph"/>
    <w:basedOn w:val="a"/>
    <w:uiPriority w:val="34"/>
    <w:qFormat/>
    <w:rsid w:val="00323D99"/>
    <w:pPr>
      <w:ind w:left="720"/>
      <w:contextualSpacing/>
    </w:pPr>
  </w:style>
  <w:style w:type="character" w:styleId="a7">
    <w:name w:val="annotation reference"/>
    <w:basedOn w:val="a0"/>
    <w:semiHidden/>
    <w:rsid w:val="0013201C"/>
    <w:rPr>
      <w:rFonts w:cs="FrankRuehl"/>
      <w:sz w:val="16"/>
      <w:szCs w:val="20"/>
    </w:rPr>
  </w:style>
  <w:style w:type="character" w:customStyle="1" w:styleId="apple-converted-space">
    <w:name w:val="apple-converted-space"/>
    <w:basedOn w:val="a0"/>
    <w:rsid w:val="00A57238"/>
  </w:style>
  <w:style w:type="character" w:styleId="a8">
    <w:name w:val="Strong"/>
    <w:basedOn w:val="a0"/>
    <w:uiPriority w:val="22"/>
    <w:qFormat/>
    <w:rsid w:val="00A57238"/>
    <w:rPr>
      <w:b/>
      <w:bCs/>
    </w:rPr>
  </w:style>
  <w:style w:type="character" w:styleId="Hyperlink">
    <w:name w:val="Hyperlink"/>
    <w:basedOn w:val="a0"/>
    <w:uiPriority w:val="99"/>
    <w:unhideWhenUsed/>
    <w:rsid w:val="00A57238"/>
    <w:rPr>
      <w:color w:val="0563C1" w:themeColor="hyperlink"/>
      <w:u w:val="single"/>
    </w:rPr>
  </w:style>
  <w:style w:type="paragraph" w:customStyle="1" w:styleId="P00">
    <w:name w:val="P00"/>
    <w:link w:val="P000"/>
    <w:rsid w:val="009C28D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P000">
    <w:name w:val="P00 תו"/>
    <w:link w:val="P00"/>
    <w:rsid w:val="009C28D1"/>
    <w:rPr>
      <w:rFonts w:ascii="Times New Roman" w:eastAsia="Times New Roman" w:hAnsi="Times New Roman" w:cs="Times New Roman"/>
      <w:noProof/>
      <w:sz w:val="20"/>
      <w:szCs w:val="26"/>
      <w:lang w:eastAsia="he-IL"/>
    </w:rPr>
  </w:style>
  <w:style w:type="table" w:styleId="a9">
    <w:name w:val="Table Grid"/>
    <w:basedOn w:val="a1"/>
    <w:uiPriority w:val="39"/>
    <w:rsid w:val="00F761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rsid w:val="00C91EA3"/>
    <w:pPr>
      <w:tabs>
        <w:tab w:val="center" w:pos="4153"/>
        <w:tab w:val="right" w:pos="8306"/>
      </w:tabs>
      <w:overflowPunct w:val="0"/>
      <w:adjustRightInd w:val="0"/>
      <w:spacing w:line="240" w:lineRule="auto"/>
      <w:jc w:val="left"/>
    </w:pPr>
    <w:rPr>
      <w:rFonts w:cs="David"/>
      <w:sz w:val="20"/>
      <w:lang w:eastAsia="en-US"/>
    </w:rPr>
  </w:style>
  <w:style w:type="character" w:customStyle="1" w:styleId="ab">
    <w:name w:val="כותרת עליונה תו"/>
    <w:basedOn w:val="a0"/>
    <w:link w:val="aa"/>
    <w:rsid w:val="00C91EA3"/>
    <w:rPr>
      <w:rFonts w:ascii="Times New Roman" w:eastAsia="Times New Roman" w:hAnsi="Times New Roman" w:cs="David"/>
      <w:sz w:val="20"/>
      <w:szCs w:val="24"/>
    </w:rPr>
  </w:style>
  <w:style w:type="paragraph" w:customStyle="1" w:styleId="Ruller5">
    <w:name w:val="Ruller5"/>
    <w:basedOn w:val="a"/>
    <w:rsid w:val="00C91EA3"/>
    <w:pPr>
      <w:overflowPunct w:val="0"/>
      <w:adjustRightInd w:val="0"/>
      <w:spacing w:line="240" w:lineRule="auto"/>
      <w:ind w:left="1642" w:right="1282"/>
    </w:pPr>
    <w:rPr>
      <w:rFonts w:ascii="Arial TUR" w:hAnsi="Arial TUR" w:cs="FrankRuehl"/>
      <w:spacing w:val="10"/>
      <w:szCs w:val="28"/>
      <w:lang w:eastAsia="en-US"/>
    </w:rPr>
  </w:style>
  <w:style w:type="paragraph" w:customStyle="1" w:styleId="Ruller4">
    <w:name w:val="Ruller4 אלפביתי"/>
    <w:basedOn w:val="a"/>
    <w:next w:val="a"/>
    <w:rsid w:val="009F599B"/>
    <w:pPr>
      <w:numPr>
        <w:numId w:val="9"/>
      </w:numPr>
      <w:tabs>
        <w:tab w:val="left" w:pos="800"/>
      </w:tabs>
      <w:overflowPunct w:val="0"/>
      <w:adjustRightInd w:val="0"/>
    </w:pPr>
    <w:rPr>
      <w:rFonts w:ascii="Arial TUR" w:hAnsi="Arial TUR" w:cs="FrankRuehl"/>
      <w:spacing w:val="10"/>
      <w:szCs w:val="28"/>
      <w:lang w:eastAsia="en-US"/>
    </w:rPr>
  </w:style>
  <w:style w:type="character" w:customStyle="1" w:styleId="big-number">
    <w:name w:val="big-number"/>
    <w:rsid w:val="00A500D4"/>
    <w:rPr>
      <w:rFonts w:ascii="Times New Roman" w:hAnsi="Times New Roman" w:cs="Times New Roman"/>
      <w:sz w:val="32"/>
      <w:szCs w:val="32"/>
    </w:rPr>
  </w:style>
  <w:style w:type="paragraph" w:customStyle="1" w:styleId="P33">
    <w:name w:val="P33"/>
    <w:basedOn w:val="P00"/>
    <w:rsid w:val="0045039F"/>
    <w:pPr>
      <w:tabs>
        <w:tab w:val="clear" w:pos="624"/>
        <w:tab w:val="clear" w:pos="1021"/>
        <w:tab w:val="clear" w:pos="1474"/>
      </w:tabs>
      <w:ind w:right="1474"/>
    </w:pPr>
  </w:style>
  <w:style w:type="paragraph" w:customStyle="1" w:styleId="P03">
    <w:name w:val="P03"/>
    <w:basedOn w:val="P00"/>
    <w:rsid w:val="0045039F"/>
    <w:pPr>
      <w:ind w:right="1474" w:hanging="1474"/>
    </w:pPr>
  </w:style>
  <w:style w:type="paragraph" w:styleId="ac">
    <w:name w:val="Body Text"/>
    <w:basedOn w:val="a"/>
    <w:link w:val="ad"/>
    <w:rsid w:val="001272A7"/>
    <w:pPr>
      <w:autoSpaceDE/>
      <w:autoSpaceDN/>
      <w:spacing w:line="240" w:lineRule="auto"/>
      <w:jc w:val="left"/>
    </w:pPr>
    <w:rPr>
      <w:rFonts w:cs="Miriam"/>
      <w:sz w:val="18"/>
      <w:szCs w:val="18"/>
    </w:rPr>
  </w:style>
  <w:style w:type="character" w:customStyle="1" w:styleId="ad">
    <w:name w:val="גוף טקסט תו"/>
    <w:basedOn w:val="a0"/>
    <w:link w:val="ac"/>
    <w:rsid w:val="001272A7"/>
    <w:rPr>
      <w:rFonts w:ascii="Times New Roman" w:eastAsia="Times New Roman" w:hAnsi="Times New Roman" w:cs="Miriam"/>
      <w:sz w:val="18"/>
      <w:szCs w:val="18"/>
      <w:lang w:eastAsia="he-IL"/>
    </w:rPr>
  </w:style>
  <w:style w:type="paragraph" w:customStyle="1" w:styleId="big-header">
    <w:name w:val="big-header"/>
    <w:basedOn w:val="a"/>
    <w:rsid w:val="00D12DA4"/>
    <w:pPr>
      <w:keepNext/>
      <w:keepLines/>
      <w:widowControl w:val="0"/>
      <w:tabs>
        <w:tab w:val="left" w:pos="624"/>
        <w:tab w:val="left" w:pos="1021"/>
        <w:tab w:val="left" w:pos="1474"/>
        <w:tab w:val="left" w:pos="1928"/>
        <w:tab w:val="left" w:pos="2381"/>
        <w:tab w:val="left" w:pos="2835"/>
      </w:tabs>
      <w:suppressAutoHyphens/>
      <w:spacing w:before="440" w:after="120" w:line="240" w:lineRule="auto"/>
      <w:ind w:left="2835"/>
      <w:jc w:val="center"/>
    </w:pPr>
    <w:rPr>
      <w:noProof/>
      <w:sz w:val="20"/>
      <w:szCs w:val="32"/>
    </w:rPr>
  </w:style>
  <w:style w:type="paragraph" w:customStyle="1" w:styleId="P11">
    <w:name w:val="P11"/>
    <w:basedOn w:val="P00"/>
    <w:rsid w:val="00C022F7"/>
    <w:pPr>
      <w:tabs>
        <w:tab w:val="clear" w:pos="624"/>
      </w:tabs>
      <w:ind w:right="624"/>
    </w:pPr>
  </w:style>
  <w:style w:type="paragraph" w:styleId="ae">
    <w:name w:val="footer"/>
    <w:basedOn w:val="a"/>
    <w:link w:val="af"/>
    <w:uiPriority w:val="99"/>
    <w:unhideWhenUsed/>
    <w:rsid w:val="0057590D"/>
    <w:pPr>
      <w:tabs>
        <w:tab w:val="center" w:pos="4153"/>
        <w:tab w:val="right" w:pos="8306"/>
      </w:tabs>
      <w:spacing w:line="240" w:lineRule="auto"/>
    </w:pPr>
  </w:style>
  <w:style w:type="character" w:customStyle="1" w:styleId="af">
    <w:name w:val="כותרת תחתונה תו"/>
    <w:basedOn w:val="a0"/>
    <w:link w:val="ae"/>
    <w:uiPriority w:val="99"/>
    <w:rsid w:val="0057590D"/>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942632">
      <w:bodyDiv w:val="1"/>
      <w:marLeft w:val="0"/>
      <w:marRight w:val="0"/>
      <w:marTop w:val="0"/>
      <w:marBottom w:val="0"/>
      <w:divBdr>
        <w:top w:val="none" w:sz="0" w:space="0" w:color="auto"/>
        <w:left w:val="none" w:sz="0" w:space="0" w:color="auto"/>
        <w:bottom w:val="none" w:sz="0" w:space="0" w:color="auto"/>
        <w:right w:val="none" w:sz="0" w:space="0" w:color="auto"/>
      </w:divBdr>
    </w:div>
    <w:div w:id="1373728855">
      <w:bodyDiv w:val="1"/>
      <w:marLeft w:val="0"/>
      <w:marRight w:val="0"/>
      <w:marTop w:val="0"/>
      <w:marBottom w:val="0"/>
      <w:divBdr>
        <w:top w:val="none" w:sz="0" w:space="0" w:color="auto"/>
        <w:left w:val="none" w:sz="0" w:space="0" w:color="auto"/>
        <w:bottom w:val="none" w:sz="0" w:space="0" w:color="auto"/>
        <w:right w:val="none" w:sz="0" w:space="0" w:color="auto"/>
      </w:divBdr>
      <w:divsChild>
        <w:div w:id="94908409">
          <w:marLeft w:val="0"/>
          <w:marRight w:val="0"/>
          <w:marTop w:val="0"/>
          <w:marBottom w:val="0"/>
          <w:divBdr>
            <w:top w:val="none" w:sz="0" w:space="0" w:color="auto"/>
            <w:left w:val="none" w:sz="0" w:space="0" w:color="auto"/>
            <w:bottom w:val="none" w:sz="0" w:space="0" w:color="auto"/>
            <w:right w:val="none" w:sz="0" w:space="0" w:color="auto"/>
          </w:divBdr>
          <w:divsChild>
            <w:div w:id="1853252648">
              <w:marLeft w:val="0"/>
              <w:marRight w:val="0"/>
              <w:marTop w:val="0"/>
              <w:marBottom w:val="0"/>
              <w:divBdr>
                <w:top w:val="none" w:sz="0" w:space="0" w:color="auto"/>
                <w:left w:val="none" w:sz="0" w:space="0" w:color="auto"/>
                <w:bottom w:val="none" w:sz="0" w:space="0" w:color="auto"/>
                <w:right w:val="none" w:sz="0" w:space="0" w:color="auto"/>
              </w:divBdr>
            </w:div>
          </w:divsChild>
        </w:div>
        <w:div w:id="151217085">
          <w:marLeft w:val="0"/>
          <w:marRight w:val="0"/>
          <w:marTop w:val="0"/>
          <w:marBottom w:val="0"/>
          <w:divBdr>
            <w:top w:val="none" w:sz="0" w:space="0" w:color="auto"/>
            <w:left w:val="none" w:sz="0" w:space="0" w:color="auto"/>
            <w:bottom w:val="none" w:sz="0" w:space="0" w:color="auto"/>
            <w:right w:val="none" w:sz="0" w:space="0" w:color="auto"/>
          </w:divBdr>
        </w:div>
        <w:div w:id="1956446291">
          <w:marLeft w:val="0"/>
          <w:marRight w:val="0"/>
          <w:marTop w:val="0"/>
          <w:marBottom w:val="0"/>
          <w:divBdr>
            <w:top w:val="none" w:sz="0" w:space="0" w:color="auto"/>
            <w:left w:val="none" w:sz="0" w:space="0" w:color="auto"/>
            <w:bottom w:val="none" w:sz="0" w:space="0" w:color="auto"/>
            <w:right w:val="none" w:sz="0" w:space="0" w:color="auto"/>
          </w:divBdr>
        </w:div>
        <w:div w:id="165873747">
          <w:marLeft w:val="0"/>
          <w:marRight w:val="0"/>
          <w:marTop w:val="0"/>
          <w:marBottom w:val="0"/>
          <w:divBdr>
            <w:top w:val="none" w:sz="0" w:space="0" w:color="auto"/>
            <w:left w:val="none" w:sz="0" w:space="0" w:color="auto"/>
            <w:bottom w:val="none" w:sz="0" w:space="0" w:color="auto"/>
            <w:right w:val="none" w:sz="0" w:space="0" w:color="auto"/>
          </w:divBdr>
        </w:div>
        <w:div w:id="1715352561">
          <w:marLeft w:val="0"/>
          <w:marRight w:val="0"/>
          <w:marTop w:val="0"/>
          <w:marBottom w:val="0"/>
          <w:divBdr>
            <w:top w:val="none" w:sz="0" w:space="0" w:color="auto"/>
            <w:left w:val="none" w:sz="0" w:space="0" w:color="auto"/>
            <w:bottom w:val="none" w:sz="0" w:space="0" w:color="auto"/>
            <w:right w:val="none" w:sz="0" w:space="0" w:color="auto"/>
          </w:divBdr>
        </w:div>
        <w:div w:id="1041319801">
          <w:marLeft w:val="0"/>
          <w:marRight w:val="0"/>
          <w:marTop w:val="0"/>
          <w:marBottom w:val="0"/>
          <w:divBdr>
            <w:top w:val="none" w:sz="0" w:space="0" w:color="auto"/>
            <w:left w:val="none" w:sz="0" w:space="0" w:color="auto"/>
            <w:bottom w:val="none" w:sz="0" w:space="0" w:color="auto"/>
            <w:right w:val="none" w:sz="0" w:space="0" w:color="auto"/>
          </w:divBdr>
        </w:div>
        <w:div w:id="374505434">
          <w:marLeft w:val="0"/>
          <w:marRight w:val="0"/>
          <w:marTop w:val="0"/>
          <w:marBottom w:val="0"/>
          <w:divBdr>
            <w:top w:val="none" w:sz="0" w:space="0" w:color="auto"/>
            <w:left w:val="none" w:sz="0" w:space="0" w:color="auto"/>
            <w:bottom w:val="none" w:sz="0" w:space="0" w:color="auto"/>
            <w:right w:val="none" w:sz="0" w:space="0" w:color="auto"/>
          </w:divBdr>
        </w:div>
        <w:div w:id="27410627">
          <w:marLeft w:val="0"/>
          <w:marRight w:val="0"/>
          <w:marTop w:val="0"/>
          <w:marBottom w:val="0"/>
          <w:divBdr>
            <w:top w:val="none" w:sz="0" w:space="0" w:color="auto"/>
            <w:left w:val="none" w:sz="0" w:space="0" w:color="auto"/>
            <w:bottom w:val="none" w:sz="0" w:space="0" w:color="auto"/>
            <w:right w:val="none" w:sz="0" w:space="0" w:color="auto"/>
          </w:divBdr>
        </w:div>
        <w:div w:id="504901637">
          <w:marLeft w:val="0"/>
          <w:marRight w:val="0"/>
          <w:marTop w:val="0"/>
          <w:marBottom w:val="0"/>
          <w:divBdr>
            <w:top w:val="none" w:sz="0" w:space="0" w:color="auto"/>
            <w:left w:val="none" w:sz="0" w:space="0" w:color="auto"/>
            <w:bottom w:val="none" w:sz="0" w:space="0" w:color="auto"/>
            <w:right w:val="none" w:sz="0" w:space="0" w:color="auto"/>
          </w:divBdr>
        </w:div>
        <w:div w:id="1244337416">
          <w:marLeft w:val="0"/>
          <w:marRight w:val="0"/>
          <w:marTop w:val="0"/>
          <w:marBottom w:val="0"/>
          <w:divBdr>
            <w:top w:val="none" w:sz="0" w:space="0" w:color="auto"/>
            <w:left w:val="none" w:sz="0" w:space="0" w:color="auto"/>
            <w:bottom w:val="none" w:sz="0" w:space="0" w:color="auto"/>
            <w:right w:val="none" w:sz="0" w:space="0" w:color="auto"/>
          </w:divBdr>
        </w:div>
        <w:div w:id="1597788765">
          <w:marLeft w:val="0"/>
          <w:marRight w:val="0"/>
          <w:marTop w:val="0"/>
          <w:marBottom w:val="0"/>
          <w:divBdr>
            <w:top w:val="none" w:sz="0" w:space="0" w:color="auto"/>
            <w:left w:val="none" w:sz="0" w:space="0" w:color="auto"/>
            <w:bottom w:val="none" w:sz="0" w:space="0" w:color="auto"/>
            <w:right w:val="none" w:sz="0" w:space="0" w:color="auto"/>
          </w:divBdr>
        </w:div>
        <w:div w:id="1288971916">
          <w:marLeft w:val="0"/>
          <w:marRight w:val="0"/>
          <w:marTop w:val="0"/>
          <w:marBottom w:val="0"/>
          <w:divBdr>
            <w:top w:val="none" w:sz="0" w:space="0" w:color="auto"/>
            <w:left w:val="none" w:sz="0" w:space="0" w:color="auto"/>
            <w:bottom w:val="none" w:sz="0" w:space="0" w:color="auto"/>
            <w:right w:val="none" w:sz="0" w:space="0" w:color="auto"/>
          </w:divBdr>
        </w:div>
        <w:div w:id="1831939397">
          <w:marLeft w:val="0"/>
          <w:marRight w:val="0"/>
          <w:marTop w:val="0"/>
          <w:marBottom w:val="0"/>
          <w:divBdr>
            <w:top w:val="none" w:sz="0" w:space="0" w:color="auto"/>
            <w:left w:val="none" w:sz="0" w:space="0" w:color="auto"/>
            <w:bottom w:val="none" w:sz="0" w:space="0" w:color="auto"/>
            <w:right w:val="none" w:sz="0" w:space="0" w:color="auto"/>
          </w:divBdr>
        </w:div>
        <w:div w:id="1353187904">
          <w:marLeft w:val="0"/>
          <w:marRight w:val="0"/>
          <w:marTop w:val="0"/>
          <w:marBottom w:val="0"/>
          <w:divBdr>
            <w:top w:val="none" w:sz="0" w:space="0" w:color="auto"/>
            <w:left w:val="none" w:sz="0" w:space="0" w:color="auto"/>
            <w:bottom w:val="none" w:sz="0" w:space="0" w:color="auto"/>
            <w:right w:val="none" w:sz="0" w:space="0" w:color="auto"/>
          </w:divBdr>
        </w:div>
        <w:div w:id="1658875498">
          <w:marLeft w:val="0"/>
          <w:marRight w:val="0"/>
          <w:marTop w:val="0"/>
          <w:marBottom w:val="0"/>
          <w:divBdr>
            <w:top w:val="none" w:sz="0" w:space="0" w:color="auto"/>
            <w:left w:val="none" w:sz="0" w:space="0" w:color="auto"/>
            <w:bottom w:val="none" w:sz="0" w:space="0" w:color="auto"/>
            <w:right w:val="none" w:sz="0" w:space="0" w:color="auto"/>
          </w:divBdr>
        </w:div>
        <w:div w:id="1868180988">
          <w:marLeft w:val="0"/>
          <w:marRight w:val="0"/>
          <w:marTop w:val="0"/>
          <w:marBottom w:val="0"/>
          <w:divBdr>
            <w:top w:val="none" w:sz="0" w:space="0" w:color="auto"/>
            <w:left w:val="none" w:sz="0" w:space="0" w:color="auto"/>
            <w:bottom w:val="none" w:sz="0" w:space="0" w:color="auto"/>
            <w:right w:val="none" w:sz="0" w:space="0" w:color="auto"/>
          </w:divBdr>
        </w:div>
        <w:div w:id="1003707670">
          <w:marLeft w:val="0"/>
          <w:marRight w:val="0"/>
          <w:marTop w:val="0"/>
          <w:marBottom w:val="0"/>
          <w:divBdr>
            <w:top w:val="none" w:sz="0" w:space="0" w:color="auto"/>
            <w:left w:val="none" w:sz="0" w:space="0" w:color="auto"/>
            <w:bottom w:val="none" w:sz="0" w:space="0" w:color="auto"/>
            <w:right w:val="none" w:sz="0" w:space="0" w:color="auto"/>
          </w:divBdr>
        </w:div>
        <w:div w:id="631717178">
          <w:marLeft w:val="0"/>
          <w:marRight w:val="0"/>
          <w:marTop w:val="0"/>
          <w:marBottom w:val="0"/>
          <w:divBdr>
            <w:top w:val="none" w:sz="0" w:space="0" w:color="auto"/>
            <w:left w:val="none" w:sz="0" w:space="0" w:color="auto"/>
            <w:bottom w:val="none" w:sz="0" w:space="0" w:color="auto"/>
            <w:right w:val="none" w:sz="0" w:space="0" w:color="auto"/>
          </w:divBdr>
        </w:div>
        <w:div w:id="1706176115">
          <w:marLeft w:val="0"/>
          <w:marRight w:val="0"/>
          <w:marTop w:val="0"/>
          <w:marBottom w:val="0"/>
          <w:divBdr>
            <w:top w:val="none" w:sz="0" w:space="0" w:color="auto"/>
            <w:left w:val="none" w:sz="0" w:space="0" w:color="auto"/>
            <w:bottom w:val="none" w:sz="0" w:space="0" w:color="auto"/>
            <w:right w:val="none" w:sz="0" w:space="0" w:color="auto"/>
          </w:divBdr>
        </w:div>
        <w:div w:id="344479584">
          <w:marLeft w:val="0"/>
          <w:marRight w:val="360"/>
          <w:marTop w:val="0"/>
          <w:marBottom w:val="0"/>
          <w:divBdr>
            <w:top w:val="none" w:sz="0" w:space="0" w:color="auto"/>
            <w:left w:val="none" w:sz="0" w:space="0" w:color="auto"/>
            <w:bottom w:val="none" w:sz="0" w:space="0" w:color="auto"/>
            <w:right w:val="none" w:sz="0" w:space="0" w:color="auto"/>
          </w:divBdr>
        </w:div>
        <w:div w:id="321395645">
          <w:marLeft w:val="0"/>
          <w:marRight w:val="720"/>
          <w:marTop w:val="0"/>
          <w:marBottom w:val="0"/>
          <w:divBdr>
            <w:top w:val="none" w:sz="0" w:space="0" w:color="auto"/>
            <w:left w:val="none" w:sz="0" w:space="0" w:color="auto"/>
            <w:bottom w:val="none" w:sz="0" w:space="0" w:color="auto"/>
            <w:right w:val="none" w:sz="0" w:space="0" w:color="auto"/>
          </w:divBdr>
        </w:div>
        <w:div w:id="736131944">
          <w:marLeft w:val="0"/>
          <w:marRight w:val="360"/>
          <w:marTop w:val="0"/>
          <w:marBottom w:val="0"/>
          <w:divBdr>
            <w:top w:val="none" w:sz="0" w:space="0" w:color="auto"/>
            <w:left w:val="none" w:sz="0" w:space="0" w:color="auto"/>
            <w:bottom w:val="none" w:sz="0" w:space="0" w:color="auto"/>
            <w:right w:val="none" w:sz="0" w:space="0" w:color="auto"/>
          </w:divBdr>
        </w:div>
        <w:div w:id="1684287177">
          <w:marLeft w:val="0"/>
          <w:marRight w:val="360"/>
          <w:marTop w:val="0"/>
          <w:marBottom w:val="0"/>
          <w:divBdr>
            <w:top w:val="none" w:sz="0" w:space="0" w:color="auto"/>
            <w:left w:val="none" w:sz="0" w:space="0" w:color="auto"/>
            <w:bottom w:val="none" w:sz="0" w:space="0" w:color="auto"/>
            <w:right w:val="none" w:sz="0" w:space="0" w:color="auto"/>
          </w:divBdr>
        </w:div>
        <w:div w:id="1699155821">
          <w:marLeft w:val="0"/>
          <w:marRight w:val="360"/>
          <w:marTop w:val="0"/>
          <w:marBottom w:val="0"/>
          <w:divBdr>
            <w:top w:val="none" w:sz="0" w:space="0" w:color="auto"/>
            <w:left w:val="none" w:sz="0" w:space="0" w:color="auto"/>
            <w:bottom w:val="none" w:sz="0" w:space="0" w:color="auto"/>
            <w:right w:val="none" w:sz="0" w:space="0" w:color="auto"/>
          </w:divBdr>
        </w:div>
        <w:div w:id="1183982486">
          <w:marLeft w:val="0"/>
          <w:marRight w:val="360"/>
          <w:marTop w:val="0"/>
          <w:marBottom w:val="0"/>
          <w:divBdr>
            <w:top w:val="none" w:sz="0" w:space="0" w:color="auto"/>
            <w:left w:val="none" w:sz="0" w:space="0" w:color="auto"/>
            <w:bottom w:val="none" w:sz="0" w:space="0" w:color="auto"/>
            <w:right w:val="none" w:sz="0" w:space="0" w:color="auto"/>
          </w:divBdr>
        </w:div>
        <w:div w:id="1419404756">
          <w:marLeft w:val="0"/>
          <w:marRight w:val="360"/>
          <w:marTop w:val="0"/>
          <w:marBottom w:val="0"/>
          <w:divBdr>
            <w:top w:val="none" w:sz="0" w:space="0" w:color="auto"/>
            <w:left w:val="none" w:sz="0" w:space="0" w:color="auto"/>
            <w:bottom w:val="none" w:sz="0" w:space="0" w:color="auto"/>
            <w:right w:val="none" w:sz="0" w:space="0" w:color="auto"/>
          </w:divBdr>
        </w:div>
        <w:div w:id="429546260">
          <w:marLeft w:val="0"/>
          <w:marRight w:val="360"/>
          <w:marTop w:val="0"/>
          <w:marBottom w:val="0"/>
          <w:divBdr>
            <w:top w:val="none" w:sz="0" w:space="0" w:color="auto"/>
            <w:left w:val="none" w:sz="0" w:space="0" w:color="auto"/>
            <w:bottom w:val="none" w:sz="0" w:space="0" w:color="auto"/>
            <w:right w:val="none" w:sz="0" w:space="0" w:color="auto"/>
          </w:divBdr>
        </w:div>
        <w:div w:id="1111168545">
          <w:marLeft w:val="0"/>
          <w:marRight w:val="360"/>
          <w:marTop w:val="0"/>
          <w:marBottom w:val="0"/>
          <w:divBdr>
            <w:top w:val="none" w:sz="0" w:space="0" w:color="auto"/>
            <w:left w:val="none" w:sz="0" w:space="0" w:color="auto"/>
            <w:bottom w:val="none" w:sz="0" w:space="0" w:color="auto"/>
            <w:right w:val="none" w:sz="0" w:space="0" w:color="auto"/>
          </w:divBdr>
        </w:div>
        <w:div w:id="1989086048">
          <w:marLeft w:val="0"/>
          <w:marRight w:val="360"/>
          <w:marTop w:val="0"/>
          <w:marBottom w:val="0"/>
          <w:divBdr>
            <w:top w:val="none" w:sz="0" w:space="0" w:color="auto"/>
            <w:left w:val="none" w:sz="0" w:space="0" w:color="auto"/>
            <w:bottom w:val="none" w:sz="0" w:space="0" w:color="auto"/>
            <w:right w:val="none" w:sz="0" w:space="0" w:color="auto"/>
          </w:divBdr>
        </w:div>
        <w:div w:id="1609852478">
          <w:marLeft w:val="0"/>
          <w:marRight w:val="360"/>
          <w:marTop w:val="0"/>
          <w:marBottom w:val="0"/>
          <w:divBdr>
            <w:top w:val="none" w:sz="0" w:space="0" w:color="auto"/>
            <w:left w:val="none" w:sz="0" w:space="0" w:color="auto"/>
            <w:bottom w:val="none" w:sz="0" w:space="0" w:color="auto"/>
            <w:right w:val="none" w:sz="0" w:space="0" w:color="auto"/>
          </w:divBdr>
        </w:div>
        <w:div w:id="2145391786">
          <w:marLeft w:val="0"/>
          <w:marRight w:val="720"/>
          <w:marTop w:val="0"/>
          <w:marBottom w:val="0"/>
          <w:divBdr>
            <w:top w:val="none" w:sz="0" w:space="0" w:color="auto"/>
            <w:left w:val="none" w:sz="0" w:space="0" w:color="auto"/>
            <w:bottom w:val="none" w:sz="0" w:space="0" w:color="auto"/>
            <w:right w:val="none" w:sz="0" w:space="0" w:color="auto"/>
          </w:divBdr>
        </w:div>
        <w:div w:id="1225140722">
          <w:marLeft w:val="0"/>
          <w:marRight w:val="720"/>
          <w:marTop w:val="0"/>
          <w:marBottom w:val="0"/>
          <w:divBdr>
            <w:top w:val="none" w:sz="0" w:space="0" w:color="auto"/>
            <w:left w:val="none" w:sz="0" w:space="0" w:color="auto"/>
            <w:bottom w:val="none" w:sz="0" w:space="0" w:color="auto"/>
            <w:right w:val="none" w:sz="0" w:space="0" w:color="auto"/>
          </w:divBdr>
        </w:div>
        <w:div w:id="981348587">
          <w:marLeft w:val="0"/>
          <w:marRight w:val="720"/>
          <w:marTop w:val="0"/>
          <w:marBottom w:val="0"/>
          <w:divBdr>
            <w:top w:val="none" w:sz="0" w:space="0" w:color="auto"/>
            <w:left w:val="none" w:sz="0" w:space="0" w:color="auto"/>
            <w:bottom w:val="none" w:sz="0" w:space="0" w:color="auto"/>
            <w:right w:val="none" w:sz="0" w:space="0" w:color="auto"/>
          </w:divBdr>
        </w:div>
        <w:div w:id="1350908571">
          <w:marLeft w:val="0"/>
          <w:marRight w:val="720"/>
          <w:marTop w:val="0"/>
          <w:marBottom w:val="0"/>
          <w:divBdr>
            <w:top w:val="none" w:sz="0" w:space="0" w:color="auto"/>
            <w:left w:val="none" w:sz="0" w:space="0" w:color="auto"/>
            <w:bottom w:val="none" w:sz="0" w:space="0" w:color="auto"/>
            <w:right w:val="none" w:sz="0" w:space="0" w:color="auto"/>
          </w:divBdr>
        </w:div>
        <w:div w:id="1412505928">
          <w:marLeft w:val="0"/>
          <w:marRight w:val="720"/>
          <w:marTop w:val="0"/>
          <w:marBottom w:val="0"/>
          <w:divBdr>
            <w:top w:val="none" w:sz="0" w:space="0" w:color="auto"/>
            <w:left w:val="none" w:sz="0" w:space="0" w:color="auto"/>
            <w:bottom w:val="none" w:sz="0" w:space="0" w:color="auto"/>
            <w:right w:val="none" w:sz="0" w:space="0" w:color="auto"/>
          </w:divBdr>
        </w:div>
        <w:div w:id="1269847647">
          <w:marLeft w:val="0"/>
          <w:marRight w:val="720"/>
          <w:marTop w:val="0"/>
          <w:marBottom w:val="0"/>
          <w:divBdr>
            <w:top w:val="none" w:sz="0" w:space="0" w:color="auto"/>
            <w:left w:val="none" w:sz="0" w:space="0" w:color="auto"/>
            <w:bottom w:val="none" w:sz="0" w:space="0" w:color="auto"/>
            <w:right w:val="none" w:sz="0" w:space="0" w:color="auto"/>
          </w:divBdr>
        </w:div>
        <w:div w:id="167987726">
          <w:marLeft w:val="0"/>
          <w:marRight w:val="720"/>
          <w:marTop w:val="0"/>
          <w:marBottom w:val="0"/>
          <w:divBdr>
            <w:top w:val="none" w:sz="0" w:space="0" w:color="auto"/>
            <w:left w:val="none" w:sz="0" w:space="0" w:color="auto"/>
            <w:bottom w:val="none" w:sz="0" w:space="0" w:color="auto"/>
            <w:right w:val="none" w:sz="0" w:space="0" w:color="auto"/>
          </w:divBdr>
        </w:div>
        <w:div w:id="348917674">
          <w:marLeft w:val="0"/>
          <w:marRight w:val="720"/>
          <w:marTop w:val="0"/>
          <w:marBottom w:val="0"/>
          <w:divBdr>
            <w:top w:val="none" w:sz="0" w:space="0" w:color="auto"/>
            <w:left w:val="none" w:sz="0" w:space="0" w:color="auto"/>
            <w:bottom w:val="none" w:sz="0" w:space="0" w:color="auto"/>
            <w:right w:val="none" w:sz="0" w:space="0" w:color="auto"/>
          </w:divBdr>
        </w:div>
        <w:div w:id="2121953466">
          <w:marLeft w:val="0"/>
          <w:marRight w:val="720"/>
          <w:marTop w:val="0"/>
          <w:marBottom w:val="0"/>
          <w:divBdr>
            <w:top w:val="none" w:sz="0" w:space="0" w:color="auto"/>
            <w:left w:val="none" w:sz="0" w:space="0" w:color="auto"/>
            <w:bottom w:val="none" w:sz="0" w:space="0" w:color="auto"/>
            <w:right w:val="none" w:sz="0" w:space="0" w:color="auto"/>
          </w:divBdr>
        </w:div>
        <w:div w:id="750659704">
          <w:marLeft w:val="0"/>
          <w:marRight w:val="720"/>
          <w:marTop w:val="0"/>
          <w:marBottom w:val="0"/>
          <w:divBdr>
            <w:top w:val="none" w:sz="0" w:space="0" w:color="auto"/>
            <w:left w:val="none" w:sz="0" w:space="0" w:color="auto"/>
            <w:bottom w:val="none" w:sz="0" w:space="0" w:color="auto"/>
            <w:right w:val="none" w:sz="0" w:space="0" w:color="auto"/>
          </w:divBdr>
        </w:div>
        <w:div w:id="707295362">
          <w:marLeft w:val="0"/>
          <w:marRight w:val="72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1BCFC6-3810-4566-B3C8-E2DCF7F262A8}"/>
</file>

<file path=customXml/itemProps2.xml><?xml version="1.0" encoding="utf-8"?>
<ds:datastoreItem xmlns:ds="http://schemas.openxmlformats.org/officeDocument/2006/customXml" ds:itemID="{272889F2-767A-4F2B-9CED-4983B66543A7}"/>
</file>

<file path=customXml/itemProps3.xml><?xml version="1.0" encoding="utf-8"?>
<ds:datastoreItem xmlns:ds="http://schemas.openxmlformats.org/officeDocument/2006/customXml" ds:itemID="{D7CB5459-75C8-42DA-9CC2-DEA0598250F9}"/>
</file>

<file path=docProps/app.xml><?xml version="1.0" encoding="utf-8"?>
<Properties xmlns="http://schemas.openxmlformats.org/officeDocument/2006/extended-properties" xmlns:vt="http://schemas.openxmlformats.org/officeDocument/2006/docPropsVTypes">
  <Template>Normal</Template>
  <TotalTime>0</TotalTime>
  <Pages>4</Pages>
  <Words>1167</Words>
  <Characters>5835</Characters>
  <Application>Microsoft Office Word</Application>
  <DocSecurity>0</DocSecurity>
  <Lines>48</Lines>
  <Paragraphs>13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6989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תמי ברנע</cp:lastModifiedBy>
  <cp:revision>2</cp:revision>
  <dcterms:created xsi:type="dcterms:W3CDTF">2015-12-01T15:08:00Z</dcterms:created>
  <dcterms:modified xsi:type="dcterms:W3CDTF">2015-12-01T15:08:00Z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