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6D527F" w14:textId="77777777" w:rsidR="00E96898" w:rsidRDefault="00E96898" w:rsidP="00086F71">
      <w:pPr>
        <w:pStyle w:val="HeadHatzaotHok"/>
        <w:jc w:val="right"/>
        <w:rPr>
          <w:b w:val="0"/>
          <w:bCs w:val="0"/>
          <w:szCs w:val="20"/>
          <w:rtl/>
        </w:rPr>
      </w:pPr>
    </w:p>
    <w:p w14:paraId="40673197" w14:textId="77777777" w:rsidR="00086F71" w:rsidRDefault="00086F71" w:rsidP="00086F71">
      <w:pPr>
        <w:pStyle w:val="HeadHatzaotHok"/>
        <w:jc w:val="right"/>
        <w:rPr>
          <w:b w:val="0"/>
          <w:bCs w:val="0"/>
          <w:szCs w:val="20"/>
          <w:rtl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574791</w:t>
      </w:r>
      <w:bookmarkEnd w:id="0"/>
    </w:p>
    <w:p w14:paraId="7971419F" w14:textId="6E28D9E2" w:rsidR="00E96898" w:rsidRDefault="00E96898" w:rsidP="00E96898">
      <w:pPr>
        <w:pStyle w:val="HeadHatzaotHok"/>
        <w:rPr>
          <w:sz w:val="28"/>
          <w:szCs w:val="28"/>
          <w:rtl/>
        </w:rPr>
      </w:pPr>
      <w:r w:rsidRPr="00E96898">
        <w:rPr>
          <w:rFonts w:hint="cs"/>
          <w:sz w:val="28"/>
          <w:szCs w:val="28"/>
          <w:rtl/>
        </w:rPr>
        <w:t>הכנסת העשרים</w:t>
      </w:r>
    </w:p>
    <w:p w14:paraId="1D6CB357" w14:textId="77777777" w:rsidR="00E96898" w:rsidRPr="00E96898" w:rsidRDefault="00E96898" w:rsidP="00E96898">
      <w:pPr>
        <w:pStyle w:val="HeadHatzaotHok"/>
        <w:rPr>
          <w:sz w:val="28"/>
          <w:szCs w:val="28"/>
          <w:rtl/>
        </w:rPr>
      </w:pPr>
    </w:p>
    <w:p w14:paraId="28DE7781" w14:textId="33CC8986" w:rsidR="00667660" w:rsidRDefault="00667660" w:rsidP="00E96898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1" w:name="LGS_Initiators_List"/>
      <w:r>
        <w:rPr>
          <w:rFonts w:hint="cs"/>
          <w:b/>
          <w:bCs/>
          <w:rtl/>
        </w:rPr>
        <w:t>יוזמים:      חברי הכנסת</w:t>
      </w:r>
      <w:bookmarkEnd w:id="1"/>
      <w:r>
        <w:rPr>
          <w:b/>
          <w:bCs/>
        </w:rPr>
        <w:tab/>
      </w:r>
      <w:bookmarkStart w:id="2" w:name="LGS_PM_Names"/>
      <w:r>
        <w:rPr>
          <w:rFonts w:hint="cs"/>
          <w:b/>
          <w:bCs/>
          <w:rtl/>
        </w:rPr>
        <w:t>מיכאל אורן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bookmarkStart w:id="3" w:name="LGS_Join_List"/>
      <w:bookmarkEnd w:id="2"/>
      <w:r>
        <w:rPr>
          <w:rFonts w:hint="cs"/>
          <w:rtl/>
        </w:rPr>
        <w:t xml:space="preserve"> </w:t>
      </w:r>
      <w:bookmarkEnd w:id="3"/>
      <w:r>
        <w:rPr>
          <w:rFonts w:hint="cs"/>
          <w:rtl/>
        </w:rPr>
        <w:tab/>
      </w:r>
      <w:bookmarkStart w:id="4" w:name="LGS_PM_NamesJoin"/>
      <w:r>
        <w:rPr>
          <w:rFonts w:hint="cs"/>
          <w:rtl/>
        </w:rPr>
        <w:t xml:space="preserve"> </w:t>
      </w:r>
      <w:bookmarkEnd w:id="4"/>
    </w:p>
    <w:p w14:paraId="799B691A" w14:textId="77777777" w:rsidR="00667660" w:rsidRDefault="00667660" w:rsidP="00667660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t xml:space="preserve">           </w:t>
      </w:r>
    </w:p>
    <w:p w14:paraId="5A1BF119" w14:textId="77777777" w:rsidR="00667660" w:rsidRDefault="00667660" w:rsidP="00667660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5" w:name="Private_Number"/>
      <w:r>
        <w:rPr>
          <w:rFonts w:hint="cs"/>
          <w:rtl/>
        </w:rPr>
        <w:t>פ/2592/20</w:t>
      </w:r>
      <w:bookmarkEnd w:id="5"/>
    </w:p>
    <w:p w14:paraId="48F2790E" w14:textId="77777777" w:rsidR="00086F71" w:rsidRDefault="00086F71" w:rsidP="00086F71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191ADABE" w14:textId="77777777" w:rsidR="00086F71" w:rsidRDefault="00086F71" w:rsidP="00E96898">
      <w:pPr>
        <w:pStyle w:val="HeadHatzaotHok"/>
        <w:spacing w:line="240" w:lineRule="auto"/>
        <w:rPr>
          <w:rtl/>
        </w:rPr>
      </w:pPr>
      <w:bookmarkStart w:id="6" w:name="LGS_Subject"/>
      <w:r>
        <w:rPr>
          <w:rFonts w:hint="cs"/>
          <w:rtl/>
        </w:rPr>
        <w:t>הצעת חוק נכי רדיפות הנאצים (תיקון – הגבלת שכר טרחה של עורכי דין), התשע"ו–2016</w:t>
      </w:r>
      <w:bookmarkEnd w:id="6"/>
      <w:r>
        <w:rPr>
          <w:rtl/>
        </w:rPr>
        <w:br/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086F71" w14:paraId="1027F13F" w14:textId="77777777" w:rsidTr="003E0386">
        <w:trPr>
          <w:cantSplit/>
          <w:trHeight w:val="60"/>
        </w:trPr>
        <w:tc>
          <w:tcPr>
            <w:tcW w:w="1871" w:type="dxa"/>
          </w:tcPr>
          <w:p w14:paraId="36465788" w14:textId="77777777" w:rsidR="00086F71" w:rsidRDefault="00086F71" w:rsidP="003E038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22א</w:t>
            </w:r>
          </w:p>
        </w:tc>
        <w:tc>
          <w:tcPr>
            <w:tcW w:w="624" w:type="dxa"/>
          </w:tcPr>
          <w:p w14:paraId="4398D233" w14:textId="77777777" w:rsidR="00086F71" w:rsidRDefault="00086F71" w:rsidP="003E0386">
            <w:pPr>
              <w:pStyle w:val="TableText"/>
              <w:keepLines w:val="0"/>
            </w:pPr>
            <w:r>
              <w:rPr>
                <w:rFonts w:hint="cs"/>
                <w:rtl/>
              </w:rPr>
              <w:t xml:space="preserve">1. </w:t>
            </w:r>
          </w:p>
        </w:tc>
        <w:tc>
          <w:tcPr>
            <w:tcW w:w="7146" w:type="dxa"/>
          </w:tcPr>
          <w:p w14:paraId="58C4C78A" w14:textId="6402004F" w:rsidR="00086F71" w:rsidRPr="00C34DE2" w:rsidRDefault="00086F71" w:rsidP="003E0386">
            <w:pPr>
              <w:pStyle w:val="TableBlock"/>
              <w:keepLines w:val="0"/>
            </w:pPr>
            <w:r>
              <w:rPr>
                <w:rFonts w:hint="cs"/>
                <w:rtl/>
              </w:rPr>
              <w:t>בחוק נכי רדיפות הנאצים, התשי"ז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1957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</w:t>
            </w:r>
            <w:r w:rsidRPr="00F93CB2">
              <w:rPr>
                <w:rFonts w:hint="cs"/>
                <w:rtl/>
              </w:rPr>
              <w:t xml:space="preserve">בסעיף </w:t>
            </w:r>
            <w:r>
              <w:rPr>
                <w:rFonts w:hint="cs"/>
                <w:rtl/>
              </w:rPr>
              <w:t>22א</w:t>
            </w:r>
            <w:r w:rsidR="00E96898">
              <w:rPr>
                <w:rFonts w:hint="cs"/>
                <w:rtl/>
              </w:rPr>
              <w:t>(ב)</w:t>
            </w:r>
            <w:r w:rsidRPr="00F93CB2">
              <w:rPr>
                <w:rFonts w:hint="cs"/>
                <w:rtl/>
              </w:rPr>
              <w:t xml:space="preserve">(1) </w:t>
            </w:r>
            <w:r w:rsidRPr="00F93CB2">
              <w:rPr>
                <w:rtl/>
              </w:rPr>
              <w:t>–</w:t>
            </w:r>
          </w:p>
        </w:tc>
      </w:tr>
      <w:tr w:rsidR="00086F71" w14:paraId="002D9C10" w14:textId="77777777" w:rsidTr="003E0386">
        <w:trPr>
          <w:cantSplit/>
          <w:trHeight w:val="60"/>
        </w:trPr>
        <w:tc>
          <w:tcPr>
            <w:tcW w:w="1871" w:type="dxa"/>
          </w:tcPr>
          <w:p w14:paraId="675EB7E1" w14:textId="77777777" w:rsidR="00086F71" w:rsidRDefault="00086F71" w:rsidP="003E038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7C12335" w14:textId="77777777" w:rsidR="00086F71" w:rsidRDefault="00086F71" w:rsidP="003E0386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</w:tcPr>
          <w:p w14:paraId="07707463" w14:textId="77B94047" w:rsidR="00086F71" w:rsidRDefault="00086F71" w:rsidP="003E0386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8D31DA">
              <w:rPr>
                <w:rFonts w:hint="cs"/>
                <w:rtl/>
              </w:rPr>
              <w:t>ב</w:t>
            </w:r>
            <w:r w:rsidR="00E96898">
              <w:rPr>
                <w:rFonts w:hint="cs"/>
                <w:rtl/>
              </w:rPr>
              <w:t>פסקת משנה</w:t>
            </w:r>
            <w:r>
              <w:rPr>
                <w:rFonts w:hint="cs"/>
                <w:rtl/>
              </w:rPr>
              <w:t xml:space="preserve"> (א), במקום "473" יבוא "150";</w:t>
            </w:r>
          </w:p>
        </w:tc>
      </w:tr>
      <w:tr w:rsidR="00086F71" w14:paraId="256EF863" w14:textId="77777777" w:rsidTr="003E0386">
        <w:trPr>
          <w:cantSplit/>
          <w:trHeight w:val="60"/>
        </w:trPr>
        <w:tc>
          <w:tcPr>
            <w:tcW w:w="1871" w:type="dxa"/>
          </w:tcPr>
          <w:p w14:paraId="70C8B7B9" w14:textId="77777777" w:rsidR="00086F71" w:rsidRDefault="00086F71" w:rsidP="003E038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F3D30F6" w14:textId="77777777" w:rsidR="00086F71" w:rsidRDefault="00086F71" w:rsidP="003E0386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</w:tcPr>
          <w:p w14:paraId="498C463A" w14:textId="51D117BB" w:rsidR="00086F71" w:rsidRDefault="00086F71" w:rsidP="003E0386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E96898" w:rsidRPr="008D31DA">
              <w:rPr>
                <w:rFonts w:hint="cs"/>
                <w:rtl/>
              </w:rPr>
              <w:t>ב</w:t>
            </w:r>
            <w:r w:rsidR="00E96898">
              <w:rPr>
                <w:rFonts w:hint="cs"/>
                <w:rtl/>
              </w:rPr>
              <w:t xml:space="preserve">פסקת משנה </w:t>
            </w:r>
            <w:r>
              <w:rPr>
                <w:rFonts w:hint="cs"/>
                <w:rtl/>
              </w:rPr>
              <w:t>(ב), במקום "949" יבוא "300";</w:t>
            </w:r>
          </w:p>
        </w:tc>
      </w:tr>
      <w:tr w:rsidR="00086F71" w14:paraId="114D6057" w14:textId="77777777" w:rsidTr="003E0386">
        <w:trPr>
          <w:cantSplit/>
          <w:trHeight w:val="60"/>
        </w:trPr>
        <w:tc>
          <w:tcPr>
            <w:tcW w:w="1871" w:type="dxa"/>
          </w:tcPr>
          <w:p w14:paraId="2D3BB539" w14:textId="77777777" w:rsidR="00086F71" w:rsidRDefault="00086F71" w:rsidP="003E038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6A41B94" w14:textId="77777777" w:rsidR="00086F71" w:rsidRDefault="00086F71" w:rsidP="003E0386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</w:tcPr>
          <w:p w14:paraId="40C2EEBB" w14:textId="005FE420" w:rsidR="00086F71" w:rsidRDefault="00086F71" w:rsidP="003E0386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 w:rsidR="00E96898" w:rsidRPr="008D31DA">
              <w:rPr>
                <w:rFonts w:hint="cs"/>
                <w:rtl/>
              </w:rPr>
              <w:t>ב</w:t>
            </w:r>
            <w:r w:rsidR="00E96898">
              <w:rPr>
                <w:rFonts w:hint="cs"/>
                <w:rtl/>
              </w:rPr>
              <w:t xml:space="preserve">פסקת משנה </w:t>
            </w:r>
            <w:r>
              <w:rPr>
                <w:rFonts w:hint="cs"/>
                <w:rtl/>
              </w:rPr>
              <w:t>(ג), במקום "4,910" יבוא "500";</w:t>
            </w:r>
          </w:p>
        </w:tc>
      </w:tr>
      <w:tr w:rsidR="00086F71" w14:paraId="30509E60" w14:textId="77777777" w:rsidTr="003E0386">
        <w:trPr>
          <w:cantSplit/>
          <w:trHeight w:val="60"/>
        </w:trPr>
        <w:tc>
          <w:tcPr>
            <w:tcW w:w="1871" w:type="dxa"/>
          </w:tcPr>
          <w:p w14:paraId="6075AC5D" w14:textId="77777777" w:rsidR="00086F71" w:rsidRDefault="00086F71" w:rsidP="003E038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D6265EC" w14:textId="77777777" w:rsidR="00086F71" w:rsidRDefault="00086F71" w:rsidP="003E0386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</w:tcPr>
          <w:p w14:paraId="62ECC50E" w14:textId="250A25BF" w:rsidR="00086F71" w:rsidRDefault="00086F71" w:rsidP="003E0386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 w:rsidR="00E96898" w:rsidRPr="008D31DA">
              <w:rPr>
                <w:rFonts w:hint="cs"/>
                <w:rtl/>
              </w:rPr>
              <w:t>ב</w:t>
            </w:r>
            <w:r w:rsidR="00E96898">
              <w:rPr>
                <w:rFonts w:hint="cs"/>
                <w:rtl/>
              </w:rPr>
              <w:t xml:space="preserve">פסקת משנה </w:t>
            </w:r>
            <w:r>
              <w:rPr>
                <w:rFonts w:hint="cs"/>
                <w:rtl/>
              </w:rPr>
              <w:t>(ד), במקום "5,960" יבוא "800".</w:t>
            </w:r>
          </w:p>
        </w:tc>
      </w:tr>
    </w:tbl>
    <w:p w14:paraId="1FD89F1F" w14:textId="77777777" w:rsidR="00086F71" w:rsidRDefault="00086F71" w:rsidP="00086F71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545D1E5C" w14:textId="07F2DB77" w:rsidR="00086F71" w:rsidRPr="00A44BC3" w:rsidRDefault="00086F71" w:rsidP="00086F71">
      <w:pPr>
        <w:pStyle w:val="Hesber"/>
        <w:rPr>
          <w:rtl/>
        </w:rPr>
      </w:pPr>
      <w:r w:rsidRPr="00A44BC3">
        <w:rPr>
          <w:rFonts w:hint="cs"/>
          <w:rtl/>
        </w:rPr>
        <w:t>הצעת חוק זו נוגעת</w:t>
      </w:r>
      <w:r w:rsidRPr="00A44BC3">
        <w:rPr>
          <w:rtl/>
        </w:rPr>
        <w:t xml:space="preserve"> </w:t>
      </w:r>
      <w:r w:rsidRPr="00A44BC3">
        <w:rPr>
          <w:rFonts w:hint="cs"/>
          <w:rtl/>
        </w:rPr>
        <w:t>לניצולי שואה ה</w:t>
      </w:r>
      <w:r w:rsidRPr="00A44BC3">
        <w:rPr>
          <w:rtl/>
        </w:rPr>
        <w:t>זכאים לתגמולים ולהטבות, בין היתר</w:t>
      </w:r>
      <w:r>
        <w:rPr>
          <w:rFonts w:hint="cs"/>
          <w:rtl/>
        </w:rPr>
        <w:t>,</w:t>
      </w:r>
      <w:r w:rsidRPr="00A44BC3">
        <w:rPr>
          <w:rtl/>
        </w:rPr>
        <w:t xml:space="preserve"> </w:t>
      </w:r>
      <w:r w:rsidRPr="00A44BC3">
        <w:rPr>
          <w:rFonts w:hint="cs"/>
          <w:rtl/>
        </w:rPr>
        <w:t>מתוקף</w:t>
      </w:r>
      <w:r w:rsidRPr="00A44BC3">
        <w:rPr>
          <w:rtl/>
        </w:rPr>
        <w:t xml:space="preserve"> החלטות מ</w:t>
      </w:r>
      <w:r w:rsidR="00E96898">
        <w:rPr>
          <w:rFonts w:hint="cs"/>
          <w:rtl/>
        </w:rPr>
        <w:t>י</w:t>
      </w:r>
      <w:r w:rsidRPr="00A44BC3">
        <w:rPr>
          <w:rtl/>
        </w:rPr>
        <w:t xml:space="preserve">נהליות שניתנו על ידי </w:t>
      </w:r>
      <w:r w:rsidRPr="00A44BC3">
        <w:rPr>
          <w:rFonts w:hint="cs"/>
          <w:rtl/>
        </w:rPr>
        <w:t>שר האוצר.</w:t>
      </w:r>
    </w:p>
    <w:p w14:paraId="13628ECF" w14:textId="27ADB740" w:rsidR="00086F71" w:rsidRPr="00A44BC3" w:rsidRDefault="00086F71" w:rsidP="00086F71">
      <w:pPr>
        <w:pStyle w:val="Hesber"/>
        <w:rPr>
          <w:rtl/>
        </w:rPr>
      </w:pPr>
      <w:r w:rsidRPr="00A44BC3">
        <w:rPr>
          <w:rFonts w:hint="cs"/>
          <w:rtl/>
        </w:rPr>
        <w:t>במצב הקיים כיום, למרות ש</w:t>
      </w:r>
      <w:r w:rsidRPr="00A44BC3">
        <w:rPr>
          <w:rtl/>
        </w:rPr>
        <w:t>ה</w:t>
      </w:r>
      <w:r w:rsidRPr="00A44BC3">
        <w:rPr>
          <w:rFonts w:hint="cs"/>
          <w:rtl/>
        </w:rPr>
        <w:t>ה</w:t>
      </w:r>
      <w:r w:rsidRPr="00A44BC3">
        <w:rPr>
          <w:rtl/>
        </w:rPr>
        <w:t xml:space="preserve">כרה בזכאות לתגמולים </w:t>
      </w:r>
      <w:r w:rsidRPr="00A44BC3">
        <w:rPr>
          <w:rFonts w:hint="cs"/>
          <w:rtl/>
        </w:rPr>
        <w:t xml:space="preserve">נעשתה </w:t>
      </w:r>
      <w:r w:rsidRPr="00A44BC3">
        <w:rPr>
          <w:rtl/>
        </w:rPr>
        <w:t>מתוקף החלטה מ</w:t>
      </w:r>
      <w:r w:rsidR="00E96898">
        <w:rPr>
          <w:rFonts w:hint="cs"/>
          <w:rtl/>
        </w:rPr>
        <w:t>י</w:t>
      </w:r>
      <w:r w:rsidRPr="00A44BC3">
        <w:rPr>
          <w:rtl/>
        </w:rPr>
        <w:t xml:space="preserve">נהלית, </w:t>
      </w:r>
      <w:r w:rsidRPr="00A44BC3">
        <w:rPr>
          <w:rFonts w:hint="cs"/>
          <w:rtl/>
        </w:rPr>
        <w:t xml:space="preserve">עדיין אולצו </w:t>
      </w:r>
      <w:r w:rsidRPr="00A44BC3">
        <w:rPr>
          <w:rtl/>
        </w:rPr>
        <w:t xml:space="preserve">ניצולי השואה לשלם שכר טרחה גבוה </w:t>
      </w:r>
      <w:r>
        <w:rPr>
          <w:rFonts w:hint="cs"/>
          <w:rtl/>
        </w:rPr>
        <w:t>לעורכי הדין,</w:t>
      </w:r>
      <w:r w:rsidRPr="00A44BC3">
        <w:rPr>
          <w:rFonts w:hint="cs"/>
          <w:rtl/>
        </w:rPr>
        <w:t xml:space="preserve"> כאילו ההכרה ניתנה בהליך משפטי. </w:t>
      </w:r>
    </w:p>
    <w:p w14:paraId="470D5771" w14:textId="77777777" w:rsidR="00086F71" w:rsidRDefault="00086F71" w:rsidP="00086F71">
      <w:pPr>
        <w:pStyle w:val="Hesber"/>
        <w:rPr>
          <w:rtl/>
        </w:rPr>
      </w:pPr>
      <w:r>
        <w:rPr>
          <w:rFonts w:hint="cs"/>
          <w:rtl/>
        </w:rPr>
        <w:t xml:space="preserve">הצעת חוק זו מבקשת </w:t>
      </w:r>
      <w:r w:rsidRPr="00A44BC3">
        <w:rPr>
          <w:rFonts w:hint="cs"/>
          <w:rtl/>
        </w:rPr>
        <w:t>לסייע ככל הניתן בהתמודדות עם דרישות שכר טרחה מופרזות, שאינן סבירות</w:t>
      </w:r>
      <w:r>
        <w:rPr>
          <w:rFonts w:hint="cs"/>
          <w:rtl/>
        </w:rPr>
        <w:t xml:space="preserve">. כמו כן, </w:t>
      </w:r>
      <w:r w:rsidRPr="00A44BC3">
        <w:rPr>
          <w:rFonts w:hint="cs"/>
          <w:rtl/>
        </w:rPr>
        <w:t xml:space="preserve">ההצעה מבקשת להסדיר את </w:t>
      </w:r>
      <w:r w:rsidRPr="00A44BC3">
        <w:rPr>
          <w:rtl/>
        </w:rPr>
        <w:t xml:space="preserve"> סכום שכר הטרחה המרבי שמותר לעורכי דין ולגורמי טיפול לגבות מניצולי</w:t>
      </w:r>
      <w:r w:rsidRPr="00A44BC3">
        <w:rPr>
          <w:rFonts w:hint="cs"/>
          <w:rtl/>
        </w:rPr>
        <w:t xml:space="preserve"> שואה</w:t>
      </w:r>
      <w:r>
        <w:rPr>
          <w:rFonts w:hint="cs"/>
          <w:rtl/>
        </w:rPr>
        <w:t xml:space="preserve"> שהם </w:t>
      </w:r>
      <w:r w:rsidRPr="00A44BC3">
        <w:rPr>
          <w:rFonts w:hint="cs"/>
          <w:rtl/>
        </w:rPr>
        <w:t>אוכלוסייה מבוגרת</w:t>
      </w:r>
      <w:r>
        <w:rPr>
          <w:rFonts w:hint="cs"/>
          <w:rtl/>
        </w:rPr>
        <w:t xml:space="preserve"> ש</w:t>
      </w:r>
      <w:r w:rsidRPr="00A44BC3">
        <w:rPr>
          <w:rFonts w:hint="cs"/>
          <w:rtl/>
        </w:rPr>
        <w:t>הולכת ומתמעטת ומתקשה להתמודד עם עורכי דין וגורמי טיפול.</w:t>
      </w:r>
    </w:p>
    <w:p w14:paraId="5EB9C440" w14:textId="77777777" w:rsidR="00E96898" w:rsidRPr="00D73212" w:rsidRDefault="00E96898" w:rsidP="00E96898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17AAA996" w14:textId="77777777" w:rsidR="00E96898" w:rsidRPr="00D73212" w:rsidRDefault="00E96898" w:rsidP="00E96898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0938AD45" w14:textId="77777777" w:rsidR="00E96898" w:rsidRPr="00D73212" w:rsidRDefault="00E96898" w:rsidP="00E96898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F6961CB" w14:textId="1ECDD348" w:rsidR="00E13C27" w:rsidRPr="00086F71" w:rsidRDefault="00E96898" w:rsidP="00E96898">
      <w:pPr>
        <w:pStyle w:val="Hesber"/>
        <w:spacing w:line="240" w:lineRule="auto"/>
        <w:rPr>
          <w:rtl/>
        </w:rPr>
      </w:pPr>
      <w:r>
        <w:rPr>
          <w:rFonts w:hint="cs"/>
          <w:color w:val="auto"/>
          <w:rtl/>
          <w:lang w:eastAsia="en-US"/>
        </w:rPr>
        <w:t>כ"ט בשבט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8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2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  <w:bookmarkStart w:id="7" w:name="_GoBack"/>
      <w:bookmarkEnd w:id="7"/>
    </w:p>
    <w:sectPr w:rsidR="00E13C27" w:rsidRPr="00086F71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E96898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6C9E70E9" w14:textId="77777777" w:rsidR="00086F71" w:rsidRDefault="00086F71" w:rsidP="00086F71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התשי"ז, עמ' 163.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86F71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2FC4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67660"/>
    <w:rsid w:val="006818A9"/>
    <w:rsid w:val="006A2D81"/>
    <w:rsid w:val="006C1D0D"/>
    <w:rsid w:val="0070601E"/>
    <w:rsid w:val="007108CF"/>
    <w:rsid w:val="00712C72"/>
    <w:rsid w:val="00713EDA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53B96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D5DA5"/>
    <w:rsid w:val="00BE52D6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96898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96218FDC-12B6-4964-9405-36FBF3803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table" w:styleId="ae">
    <w:name w:val="Table Grid"/>
    <w:basedOn w:val="a1"/>
    <w:rsid w:val="00BD5D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טקסט הערת שוליים תו"/>
    <w:basedOn w:val="a0"/>
    <w:link w:val="a4"/>
    <w:semiHidden/>
    <w:rsid w:val="00086F71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8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237A17-9930-4520-B95F-F9044D2F2D7D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C1790DFF-DC31-4C2E-B581-3AB33BB108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208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6</cp:revision>
  <cp:lastPrinted>2016-02-04T10:26:00Z</cp:lastPrinted>
  <dcterms:created xsi:type="dcterms:W3CDTF">2015-04-20T09:58:00Z</dcterms:created>
  <dcterms:modified xsi:type="dcterms:W3CDTF">2016-02-04T10:27:00Z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574791</vt:r8>
  </property>
</Properties>
</file>