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191EED" w:rsidRDefault="004033D8" w:rsidP="00191EED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191EED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ItemID"/>
      <w:r w:rsidR="00E165B6" w:rsidRPr="00191EED">
        <w:rPr>
          <w:b w:val="0"/>
          <w:bCs w:val="0"/>
          <w:szCs w:val="20"/>
          <w:rtl/>
        </w:rPr>
        <w:t>483112</w:t>
      </w:r>
      <w:bookmarkEnd w:id="1"/>
    </w:p>
    <w:p w:rsidR="00E13C27" w:rsidRPr="00DB7060" w:rsidRDefault="00E13C27" w:rsidP="00E13C27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KnessetNum"/>
      <w:r w:rsidR="00E165B6" w:rsidRPr="00E165B6">
        <w:rPr>
          <w:sz w:val="28"/>
          <w:szCs w:val="28"/>
          <w:rtl/>
        </w:rPr>
        <w:t>התשע-עשרה</w:t>
      </w:r>
      <w:bookmarkEnd w:id="2"/>
    </w:p>
    <w:p w:rsidR="00E13C27" w:rsidRDefault="00E13C27" w:rsidP="00E13C27">
      <w:pPr>
        <w:rPr>
          <w:rFonts w:cs="David"/>
          <w:sz w:val="26"/>
          <w:szCs w:val="26"/>
          <w:rtl/>
        </w:rPr>
      </w:pPr>
    </w:p>
    <w:p w:rsidR="00405A3A" w:rsidRPr="00C433D9" w:rsidRDefault="00625338" w:rsidP="0091204F">
      <w:pPr>
        <w:pStyle w:val="David"/>
        <w:ind w:left="2880" w:firstLine="663"/>
        <w:rPr>
          <w:b/>
          <w:bCs/>
        </w:rPr>
      </w:pPr>
      <w:bookmarkStart w:id="3" w:name="MKsSingleOrMulti"/>
      <w:r w:rsidRPr="00C433D9">
        <w:rPr>
          <w:b/>
          <w:bCs/>
          <w:rtl/>
        </w:rPr>
        <w:t>יוזמים:      חברי הכנסת</w:t>
      </w:r>
      <w:bookmarkEnd w:id="3"/>
      <w:r w:rsidR="00B35784" w:rsidRPr="00C433D9">
        <w:rPr>
          <w:b/>
          <w:bCs/>
        </w:rPr>
        <w:tab/>
      </w:r>
      <w:bookmarkStart w:id="4" w:name="MKs"/>
      <w:r w:rsidR="00405A3A" w:rsidRPr="00C433D9">
        <w:rPr>
          <w:b/>
          <w:bCs/>
          <w:rtl/>
        </w:rPr>
        <w:t>דוד צור</w:t>
      </w:r>
    </w:p>
    <w:p w:rsidR="00405A3A" w:rsidRPr="00C433D9" w:rsidRDefault="00405A3A" w:rsidP="0091204F">
      <w:pPr>
        <w:pStyle w:val="David"/>
        <w:ind w:left="2880" w:firstLine="663"/>
        <w:rPr>
          <w:b/>
          <w:bCs/>
        </w:rPr>
      </w:pP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  <w:rtl/>
        </w:rPr>
        <w:t>איציק שמולי</w:t>
      </w:r>
    </w:p>
    <w:p w:rsidR="00405A3A" w:rsidRPr="00C433D9" w:rsidRDefault="00405A3A" w:rsidP="0091204F">
      <w:pPr>
        <w:pStyle w:val="David"/>
        <w:ind w:left="2880" w:firstLine="663"/>
        <w:rPr>
          <w:b/>
          <w:bCs/>
        </w:rPr>
      </w:pP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  <w:rtl/>
        </w:rPr>
        <w:t>עמרם מצנע</w:t>
      </w:r>
    </w:p>
    <w:p w:rsidR="00405A3A" w:rsidRPr="00C433D9" w:rsidRDefault="00405A3A" w:rsidP="0091204F">
      <w:pPr>
        <w:pStyle w:val="David"/>
        <w:ind w:left="2880" w:firstLine="663"/>
        <w:rPr>
          <w:b/>
          <w:bCs/>
        </w:rPr>
      </w:pP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  <w:rtl/>
        </w:rPr>
        <w:t>בנימין בן-אליעזר</w:t>
      </w:r>
    </w:p>
    <w:p w:rsidR="00405A3A" w:rsidRPr="00C433D9" w:rsidRDefault="00405A3A" w:rsidP="0091204F">
      <w:pPr>
        <w:pStyle w:val="David"/>
        <w:ind w:left="2880" w:firstLine="663"/>
        <w:rPr>
          <w:b/>
          <w:bCs/>
        </w:rPr>
      </w:pP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  <w:rtl/>
        </w:rPr>
        <w:t>משה מזרחי</w:t>
      </w:r>
    </w:p>
    <w:p w:rsidR="00405A3A" w:rsidRPr="00C433D9" w:rsidRDefault="00405A3A" w:rsidP="0091204F">
      <w:pPr>
        <w:pStyle w:val="David"/>
        <w:ind w:left="2880" w:firstLine="663"/>
        <w:rPr>
          <w:b/>
          <w:bCs/>
        </w:rPr>
      </w:pP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  <w:rtl/>
        </w:rPr>
        <w:t>איתן כבל</w:t>
      </w:r>
    </w:p>
    <w:p w:rsidR="00C4735B" w:rsidRDefault="00405A3A" w:rsidP="00C433D9">
      <w:pPr>
        <w:pStyle w:val="David"/>
        <w:ind w:left="2880" w:firstLine="663"/>
        <w:rPr>
          <w:b/>
          <w:bCs/>
          <w:rtl/>
        </w:rPr>
      </w:pP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</w:rPr>
        <w:tab/>
      </w:r>
      <w:r w:rsidRPr="00C433D9">
        <w:rPr>
          <w:b/>
          <w:bCs/>
          <w:rtl/>
        </w:rPr>
        <w:t>דב ליפמן</w:t>
      </w:r>
      <w:bookmarkEnd w:id="4"/>
    </w:p>
    <w:p w:rsidR="00E13C27" w:rsidRPr="00C433D9" w:rsidRDefault="0014195F" w:rsidP="00C433D9">
      <w:pPr>
        <w:pStyle w:val="David"/>
        <w:ind w:left="2880" w:firstLine="663"/>
        <w:rPr>
          <w:b/>
          <w:bCs/>
          <w:rtl/>
        </w:rPr>
      </w:pPr>
      <w:r>
        <w:rPr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A2C9FB" wp14:editId="662B653E">
                <wp:simplePos x="0" y="0"/>
                <wp:positionH relativeFrom="column">
                  <wp:posOffset>1270</wp:posOffset>
                </wp:positionH>
                <wp:positionV relativeFrom="paragraph">
                  <wp:posOffset>48895</wp:posOffset>
                </wp:positionV>
                <wp:extent cx="3869690" cy="15875"/>
                <wp:effectExtent l="0" t="38100" r="0" b="41275"/>
                <wp:wrapNone/>
                <wp:docPr id="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9690" cy="15875"/>
                        </a:xfrm>
                        <a:custGeom>
                          <a:avLst/>
                          <a:gdLst>
                            <a:gd name="T0" fmla="*/ 0 w 6094"/>
                            <a:gd name="T1" fmla="*/ 25 h 25"/>
                            <a:gd name="T2" fmla="*/ 6094 w 6094"/>
                            <a:gd name="T3" fmla="*/ 0 h 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094" h="25">
                              <a:moveTo>
                                <a:pt x="0" y="25"/>
                              </a:moveTo>
                              <a:lnTo>
                                <a:pt x="6094" y="0"/>
                              </a:lnTo>
                            </a:path>
                          </a:pathLst>
                        </a:custGeom>
                        <a:noFill/>
                        <a:ln w="9525">
                          <a:noFill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4.8pt,3.85pt" coordsize="6094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" filled="f" stroked="f">
                <v:path arrowok="t" o:connecttype="custom" o:connectlocs="0,15875;3869690,0" o:connectangles="0,0"/>
              </v:polyline>
            </w:pict>
          </mc:Fallback>
        </mc:AlternateContent>
      </w:r>
      <w:bookmarkStart w:id="5" w:name="MKsSingleOrMulti1"/>
      <w:bookmarkStart w:id="6" w:name="MKs1"/>
      <w:bookmarkEnd w:id="5"/>
      <w:bookmarkEnd w:id="6"/>
    </w:p>
    <w:p w:rsidR="00E13C27" w:rsidRDefault="0014195F" w:rsidP="00292712">
      <w:pPr>
        <w:ind w:left="2919" w:firstLine="720"/>
        <w:rPr>
          <w:rFonts w:cs="David"/>
          <w:sz w:val="26"/>
          <w:szCs w:val="26"/>
          <w:rtl/>
        </w:rPr>
      </w:pPr>
      <w:r>
        <w:rPr>
          <w:rFonts w:cs="David"/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098B07" wp14:editId="1B0811B0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bookmarkStart w:id="7" w:name="LawNum"/>
      <w:r w:rsidR="00362118" w:rsidRPr="00362118">
        <w:rPr>
          <w:rFonts w:cs="David"/>
          <w:sz w:val="26"/>
          <w:szCs w:val="26"/>
          <w:rtl/>
        </w:rPr>
        <w:t>פ/1471/19</w:t>
      </w:r>
      <w:bookmarkEnd w:id="7"/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E13C27" w:rsidRDefault="00A44F41" w:rsidP="00696B67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bookmarkStart w:id="8" w:name="Title"/>
      <w:r w:rsidRPr="00A44F41">
        <w:rPr>
          <w:sz w:val="26"/>
          <w:rtl/>
        </w:rPr>
        <w:t>ה</w:t>
      </w:r>
      <w:r w:rsidR="00696B67">
        <w:rPr>
          <w:sz w:val="26"/>
          <w:rtl/>
        </w:rPr>
        <w:t xml:space="preserve">צעת חוק טיפול בחולי נפש (תיקון </w:t>
      </w:r>
      <w:r w:rsidR="00696B67">
        <w:rPr>
          <w:rFonts w:hint="cs"/>
          <w:sz w:val="26"/>
          <w:rtl/>
        </w:rPr>
        <w:t>–</w:t>
      </w:r>
      <w:r w:rsidRPr="00A44F41">
        <w:rPr>
          <w:sz w:val="26"/>
          <w:rtl/>
        </w:rPr>
        <w:t xml:space="preserve"> העמדה לדין של נאשם לאחר סיום תקופת האשפוז), </w:t>
      </w:r>
      <w:r w:rsidR="00191EED">
        <w:rPr>
          <w:rFonts w:hint="cs"/>
          <w:sz w:val="26"/>
          <w:rtl/>
        </w:rPr>
        <w:br/>
      </w:r>
      <w:proofErr w:type="spellStart"/>
      <w:r w:rsidRPr="00A44F41">
        <w:rPr>
          <w:sz w:val="26"/>
          <w:rtl/>
        </w:rPr>
        <w:t>התשע"ג</w:t>
      </w:r>
      <w:proofErr w:type="spellEnd"/>
      <w:r w:rsidR="00696B67">
        <w:rPr>
          <w:rFonts w:hint="cs"/>
          <w:sz w:val="26"/>
          <w:rtl/>
        </w:rPr>
        <w:t>–</w:t>
      </w:r>
      <w:r w:rsidRPr="00A44F41">
        <w:rPr>
          <w:sz w:val="26"/>
          <w:rtl/>
        </w:rPr>
        <w:t>2013</w:t>
      </w:r>
      <w:bookmarkEnd w:id="8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24"/>
        <w:gridCol w:w="6522"/>
      </w:tblGrid>
      <w:tr w:rsidR="008956B3" w:rsidTr="00C433D9">
        <w:trPr>
          <w:cantSplit/>
        </w:trPr>
        <w:tc>
          <w:tcPr>
            <w:tcW w:w="1871" w:type="dxa"/>
            <w:hideMark/>
          </w:tcPr>
          <w:p w:rsidR="008956B3" w:rsidRDefault="008956B3">
            <w:pPr>
              <w:pStyle w:val="TableSideHeading"/>
              <w:ind w:right="0"/>
            </w:pPr>
            <w:r>
              <w:rPr>
                <w:rFonts w:hint="cs"/>
                <w:rtl/>
              </w:rPr>
              <w:t>תיקון סעיף 21</w:t>
            </w:r>
          </w:p>
        </w:tc>
        <w:tc>
          <w:tcPr>
            <w:tcW w:w="624" w:type="dxa"/>
            <w:hideMark/>
          </w:tcPr>
          <w:p w:rsidR="008956B3" w:rsidRDefault="008956B3">
            <w:pPr>
              <w:pStyle w:val="TableText"/>
              <w:ind w:right="0"/>
              <w:jc w:val="both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2"/>
            <w:hideMark/>
          </w:tcPr>
          <w:p w:rsidR="008956B3" w:rsidRDefault="008956B3" w:rsidP="003049B1">
            <w:pPr>
              <w:pStyle w:val="TableBlock"/>
            </w:pPr>
            <w:r>
              <w:rPr>
                <w:rFonts w:hint="cs"/>
                <w:rtl/>
              </w:rPr>
              <w:t xml:space="preserve">בחוק טיפול בחולי נפש, </w:t>
            </w:r>
            <w:proofErr w:type="spellStart"/>
            <w:r>
              <w:rPr>
                <w:rFonts w:hint="cs"/>
                <w:rtl/>
              </w:rPr>
              <w:t>התשנ"א</w:t>
            </w:r>
            <w:proofErr w:type="spellEnd"/>
            <w:r w:rsidR="00C93A3A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1991</w:t>
            </w:r>
            <w:r w:rsidRPr="00C93A3A">
              <w:rPr>
                <w:sz w:val="14"/>
                <w:szCs w:val="20"/>
                <w:vertAlign w:val="superscript"/>
                <w:rtl/>
              </w:rPr>
              <w:footnoteReference w:id="2"/>
            </w:r>
            <w:r w:rsidRPr="00C93A3A">
              <w:rPr>
                <w:rFonts w:hint="cs"/>
                <w:sz w:val="14"/>
                <w:szCs w:val="20"/>
                <w:rtl/>
              </w:rPr>
              <w:t xml:space="preserve"> </w:t>
            </w:r>
            <w:r w:rsidR="0029262A">
              <w:rPr>
                <w:rFonts w:hint="cs"/>
                <w:rtl/>
              </w:rPr>
              <w:t>(להלן – החוק העיקרי), בסעיף 21 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191EED" w:rsidTr="00AB2A27">
        <w:trPr>
          <w:cantSplit/>
          <w:trHeight w:val="60"/>
        </w:trPr>
        <w:tc>
          <w:tcPr>
            <w:tcW w:w="1871" w:type="dxa"/>
          </w:tcPr>
          <w:p w:rsidR="00191EED" w:rsidRDefault="00191EED">
            <w:pPr>
              <w:pStyle w:val="TableSideHeading"/>
            </w:pPr>
          </w:p>
        </w:tc>
        <w:tc>
          <w:tcPr>
            <w:tcW w:w="624" w:type="dxa"/>
          </w:tcPr>
          <w:p w:rsidR="00191EED" w:rsidRDefault="00191EED">
            <w:pPr>
              <w:pStyle w:val="TableText"/>
            </w:pPr>
          </w:p>
        </w:tc>
        <w:tc>
          <w:tcPr>
            <w:tcW w:w="7146" w:type="dxa"/>
            <w:gridSpan w:val="2"/>
            <w:hideMark/>
          </w:tcPr>
          <w:p w:rsidR="00191EED" w:rsidRDefault="00191EED" w:rsidP="0029262A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"סעיף 15(א)" יבוא "או היה מצוי בטיפול מרפאתי על פי</w:t>
            </w:r>
            <w:r w:rsidR="00C4735B">
              <w:rPr>
                <w:rFonts w:hint="cs"/>
                <w:rtl/>
              </w:rPr>
              <w:t xml:space="preserve"> צו של בית משפט לפי סעיף 15(א)"</w:t>
            </w:r>
            <w:r>
              <w:rPr>
                <w:rFonts w:hint="cs"/>
                <w:rtl/>
              </w:rPr>
              <w:t>;</w:t>
            </w:r>
          </w:p>
        </w:tc>
      </w:tr>
      <w:tr w:rsidR="00191EED" w:rsidTr="007C23F4">
        <w:trPr>
          <w:cantSplit/>
          <w:trHeight w:val="60"/>
        </w:trPr>
        <w:tc>
          <w:tcPr>
            <w:tcW w:w="1871" w:type="dxa"/>
          </w:tcPr>
          <w:p w:rsidR="00191EED" w:rsidRDefault="00191EED">
            <w:pPr>
              <w:pStyle w:val="TableSideHeading"/>
            </w:pPr>
          </w:p>
        </w:tc>
        <w:tc>
          <w:tcPr>
            <w:tcW w:w="624" w:type="dxa"/>
          </w:tcPr>
          <w:p w:rsidR="00191EED" w:rsidRDefault="00191EED" w:rsidP="0029262A">
            <w:pPr>
              <w:pStyle w:val="TableText"/>
            </w:pPr>
          </w:p>
        </w:tc>
        <w:tc>
          <w:tcPr>
            <w:tcW w:w="7146" w:type="dxa"/>
            <w:gridSpan w:val="2"/>
          </w:tcPr>
          <w:p w:rsidR="00191EED" w:rsidRDefault="00191EED" w:rsidP="0029262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</w:t>
            </w:r>
            <w:r w:rsidRPr="003049B1">
              <w:rPr>
                <w:rtl/>
              </w:rPr>
              <w:t>רשאי היועץ המשפטי לממשלה להורות כי הנאשם יועמד לדין על העבירה שבה הואשם</w:t>
            </w:r>
            <w:r>
              <w:rPr>
                <w:rFonts w:hint="cs"/>
                <w:rtl/>
              </w:rPr>
              <w:t xml:space="preserve">" יבוא "יועמד </w:t>
            </w:r>
            <w:r w:rsidR="00C4735B">
              <w:rPr>
                <w:rFonts w:hint="cs"/>
                <w:rtl/>
              </w:rPr>
              <w:t>הנאשם לדין על העבירה שבה הואשם";</w:t>
            </w:r>
          </w:p>
        </w:tc>
      </w:tr>
      <w:tr w:rsidR="00191EED" w:rsidTr="006A3076">
        <w:trPr>
          <w:cantSplit/>
          <w:trHeight w:val="60"/>
        </w:trPr>
        <w:tc>
          <w:tcPr>
            <w:tcW w:w="1871" w:type="dxa"/>
          </w:tcPr>
          <w:p w:rsidR="00191EED" w:rsidRDefault="00191EED">
            <w:pPr>
              <w:pStyle w:val="TableSideHeading"/>
            </w:pPr>
          </w:p>
        </w:tc>
        <w:tc>
          <w:tcPr>
            <w:tcW w:w="624" w:type="dxa"/>
          </w:tcPr>
          <w:p w:rsidR="00191EED" w:rsidRDefault="00191EED">
            <w:pPr>
              <w:pStyle w:val="TableText"/>
            </w:pPr>
          </w:p>
        </w:tc>
        <w:tc>
          <w:tcPr>
            <w:tcW w:w="7146" w:type="dxa"/>
            <w:gridSpan w:val="2"/>
            <w:hideMark/>
          </w:tcPr>
          <w:p w:rsidR="00191EED" w:rsidRDefault="00191EED" w:rsidP="0029262A">
            <w:pPr>
              <w:pStyle w:val="TableBlock"/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בסופו יבוא:</w:t>
            </w:r>
          </w:p>
        </w:tc>
      </w:tr>
      <w:tr w:rsidR="00191EED" w:rsidTr="002F64F2">
        <w:trPr>
          <w:cantSplit/>
          <w:trHeight w:val="60"/>
        </w:trPr>
        <w:tc>
          <w:tcPr>
            <w:tcW w:w="1871" w:type="dxa"/>
          </w:tcPr>
          <w:p w:rsidR="00191EED" w:rsidRDefault="00191EED">
            <w:pPr>
              <w:pStyle w:val="TableSideHeading"/>
            </w:pPr>
          </w:p>
        </w:tc>
        <w:tc>
          <w:tcPr>
            <w:tcW w:w="624" w:type="dxa"/>
          </w:tcPr>
          <w:p w:rsidR="00191EED" w:rsidRDefault="00191EED">
            <w:pPr>
              <w:pStyle w:val="TableText"/>
            </w:pPr>
          </w:p>
        </w:tc>
        <w:tc>
          <w:tcPr>
            <w:tcW w:w="624" w:type="dxa"/>
          </w:tcPr>
          <w:p w:rsidR="00191EED" w:rsidRDefault="00191EED">
            <w:pPr>
              <w:pStyle w:val="TableText"/>
            </w:pPr>
          </w:p>
        </w:tc>
        <w:tc>
          <w:tcPr>
            <w:tcW w:w="6522" w:type="dxa"/>
            <w:hideMark/>
          </w:tcPr>
          <w:p w:rsidR="00191EED" w:rsidRDefault="00191EED" w:rsidP="00191EE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"(ב</w:t>
            </w:r>
            <w:r>
              <w:t>(</w:t>
            </w:r>
            <w:r>
              <w:tab/>
            </w:r>
            <w:r>
              <w:rPr>
                <w:rFonts w:hint="cs"/>
                <w:rtl/>
              </w:rPr>
              <w:t>תקופת האשפוז או התקופה שבה היה הנאשם מצוי בטיפול מרפאתי על פי צו של בית משפט לפי סעיף 15(א) לא תמנה במניין תקופת ההתיישנות."</w:t>
            </w:r>
          </w:p>
        </w:tc>
      </w:tr>
    </w:tbl>
    <w:p w:rsidR="00E13C27" w:rsidRPr="00C433D9" w:rsidRDefault="00E13C27" w:rsidP="00C4735B">
      <w:pPr>
        <w:pStyle w:val="HeadDivreiHesber"/>
        <w:spacing w:line="240" w:lineRule="auto"/>
        <w:rPr>
          <w:szCs w:val="20"/>
          <w:rtl/>
        </w:rPr>
      </w:pPr>
      <w:r w:rsidRPr="00C433D9">
        <w:rPr>
          <w:rFonts w:hint="cs"/>
          <w:sz w:val="26"/>
          <w:rtl/>
        </w:rPr>
        <w:t>דברי הסבר</w:t>
      </w:r>
    </w:p>
    <w:p w:rsidR="00E13C27" w:rsidRPr="00C433D9" w:rsidRDefault="008956B3" w:rsidP="00C4735B">
      <w:pPr>
        <w:pStyle w:val="Hesber"/>
        <w:spacing w:line="240" w:lineRule="auto"/>
        <w:rPr>
          <w:rtl/>
        </w:rPr>
      </w:pPr>
      <w:r w:rsidRPr="00C433D9">
        <w:rPr>
          <w:rFonts w:hint="cs"/>
          <w:rtl/>
        </w:rPr>
        <w:t>במקרים רבים עבריינים נחלצים מריצוי עונשם על עבירות שביצעו בטענת אי כשרות לעמוד לדין עקב מ</w:t>
      </w:r>
      <w:r w:rsidR="00191EED">
        <w:rPr>
          <w:rFonts w:hint="cs"/>
          <w:rtl/>
        </w:rPr>
        <w:t xml:space="preserve">חלת נפש כשהם מצליחים להונות את </w:t>
      </w:r>
      <w:r w:rsidRPr="00C433D9">
        <w:rPr>
          <w:rFonts w:hint="cs"/>
          <w:rtl/>
        </w:rPr>
        <w:t>אנשי המקצוע.</w:t>
      </w:r>
    </w:p>
    <w:p w:rsidR="008956B3" w:rsidRPr="00C433D9" w:rsidRDefault="008956B3" w:rsidP="00C4735B">
      <w:pPr>
        <w:pStyle w:val="Hesber"/>
        <w:spacing w:line="240" w:lineRule="auto"/>
        <w:rPr>
          <w:rtl/>
        </w:rPr>
      </w:pPr>
      <w:r w:rsidRPr="00C433D9">
        <w:rPr>
          <w:rFonts w:hint="cs"/>
          <w:rtl/>
        </w:rPr>
        <w:t xml:space="preserve">בית המשפט </w:t>
      </w:r>
      <w:r w:rsidR="00191EED">
        <w:rPr>
          <w:rFonts w:hint="cs"/>
          <w:rtl/>
        </w:rPr>
        <w:t>מצווה</w:t>
      </w:r>
      <w:r w:rsidRPr="00C433D9">
        <w:rPr>
          <w:rFonts w:hint="cs"/>
          <w:rtl/>
        </w:rPr>
        <w:t xml:space="preserve"> לאשפז את </w:t>
      </w:r>
      <w:r w:rsidR="00570472">
        <w:rPr>
          <w:rFonts w:hint="cs"/>
          <w:rtl/>
        </w:rPr>
        <w:t xml:space="preserve">הנאשם </w:t>
      </w:r>
      <w:r w:rsidRPr="00C433D9">
        <w:rPr>
          <w:rFonts w:hint="cs"/>
          <w:rtl/>
        </w:rPr>
        <w:t xml:space="preserve">בבית חולים </w:t>
      </w:r>
      <w:r w:rsidR="00570472">
        <w:rPr>
          <w:rFonts w:hint="cs"/>
          <w:rtl/>
        </w:rPr>
        <w:t>לחולי</w:t>
      </w:r>
      <w:r w:rsidRPr="00C433D9">
        <w:rPr>
          <w:rFonts w:hint="cs"/>
          <w:rtl/>
        </w:rPr>
        <w:t xml:space="preserve"> נפש וכעבור זמן לא רב, הוא מאובחן כבריא ומשוחרר לביתו.</w:t>
      </w:r>
    </w:p>
    <w:p w:rsidR="008956B3" w:rsidRDefault="00570472" w:rsidP="00C4735B">
      <w:pPr>
        <w:pStyle w:val="Hesber"/>
        <w:spacing w:line="240" w:lineRule="auto"/>
        <w:rPr>
          <w:rtl/>
        </w:rPr>
      </w:pPr>
      <w:r>
        <w:rPr>
          <w:rFonts w:hint="cs"/>
          <w:rtl/>
        </w:rPr>
        <w:t>מוצע</w:t>
      </w:r>
      <w:r w:rsidR="008956B3" w:rsidRPr="00C433D9">
        <w:rPr>
          <w:rFonts w:hint="cs"/>
          <w:rtl/>
        </w:rPr>
        <w:t xml:space="preserve"> להורות על חידוש ההליכים  הפליליים נגד</w:t>
      </w:r>
      <w:r>
        <w:rPr>
          <w:rFonts w:hint="cs"/>
          <w:rtl/>
        </w:rPr>
        <w:t xml:space="preserve"> הנאשם,</w:t>
      </w:r>
      <w:r w:rsidR="008956B3" w:rsidRPr="00C433D9">
        <w:rPr>
          <w:rFonts w:hint="cs"/>
          <w:rtl/>
        </w:rPr>
        <w:t xml:space="preserve"> לאחר החלמתו</w:t>
      </w:r>
      <w:r>
        <w:rPr>
          <w:rFonts w:hint="cs"/>
          <w:rtl/>
        </w:rPr>
        <w:t>,</w:t>
      </w:r>
      <w:r w:rsidR="008956B3" w:rsidRPr="00C433D9">
        <w:rPr>
          <w:rFonts w:hint="cs"/>
          <w:rtl/>
        </w:rPr>
        <w:t xml:space="preserve"> אם לא נקבע כי במועד ביצוע העבירה מחלה נפשית מנעה ממנו להבין את המעשה, ובתנאי שלא חלה על העבירה התיישנות</w:t>
      </w:r>
      <w:r>
        <w:rPr>
          <w:rFonts w:hint="cs"/>
          <w:rtl/>
        </w:rPr>
        <w:t>.</w:t>
      </w:r>
      <w:r w:rsidR="008956B3" w:rsidRPr="00C433D9">
        <w:rPr>
          <w:rFonts w:hint="cs"/>
          <w:rtl/>
        </w:rPr>
        <w:t xml:space="preserve"> כמו כן</w:t>
      </w:r>
      <w:r>
        <w:rPr>
          <w:rFonts w:hint="cs"/>
          <w:rtl/>
        </w:rPr>
        <w:t>,</w:t>
      </w:r>
      <w:r w:rsidR="008956B3" w:rsidRPr="00C433D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משך זמן האשפוז כאמור לא </w:t>
      </w:r>
      <w:r w:rsidR="00191EED">
        <w:rPr>
          <w:rFonts w:hint="cs"/>
          <w:rtl/>
        </w:rPr>
        <w:t>י</w:t>
      </w:r>
      <w:r w:rsidR="00C4735B">
        <w:rPr>
          <w:rFonts w:hint="cs"/>
          <w:rtl/>
        </w:rPr>
        <w:t>ימ</w:t>
      </w:r>
      <w:r w:rsidR="00191EED">
        <w:rPr>
          <w:rFonts w:hint="cs"/>
          <w:rtl/>
        </w:rPr>
        <w:t>נה לעניין</w:t>
      </w:r>
      <w:r w:rsidR="008956B3" w:rsidRPr="00C433D9">
        <w:rPr>
          <w:rFonts w:hint="cs"/>
          <w:rtl/>
        </w:rPr>
        <w:t xml:space="preserve"> התיישנות.</w:t>
      </w:r>
    </w:p>
    <w:p w:rsidR="00191EED" w:rsidRDefault="00191EED" w:rsidP="00C4735B">
      <w:pPr>
        <w:spacing w:before="0" w:line="240" w:lineRule="auto"/>
        <w:ind w:left="340"/>
        <w:rPr>
          <w:rFonts w:ascii="Arial" w:eastAsia="Arial Unicode MS" w:hAnsi="Arial" w:cs="David"/>
          <w:snapToGrid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z w:val="20"/>
          <w:szCs w:val="26"/>
          <w:rtl/>
        </w:rPr>
        <w:t>---------------------------------</w:t>
      </w:r>
    </w:p>
    <w:p w:rsidR="00191EED" w:rsidRDefault="00191EED" w:rsidP="00C4735B">
      <w:pPr>
        <w:spacing w:before="0" w:line="240" w:lineRule="auto"/>
        <w:ind w:left="340"/>
        <w:rPr>
          <w:rFonts w:ascii="Arial" w:eastAsia="Arial Unicode MS" w:hAnsi="Arial" w:cs="David"/>
          <w:snapToGrid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z w:val="20"/>
          <w:szCs w:val="26"/>
          <w:rtl/>
        </w:rPr>
        <w:t>הוגשה ליו"ר הכנסת והסגנים</w:t>
      </w:r>
    </w:p>
    <w:p w:rsidR="00191EED" w:rsidRDefault="00191EED" w:rsidP="00C4735B">
      <w:pPr>
        <w:spacing w:before="0" w:line="240" w:lineRule="auto"/>
        <w:ind w:left="340"/>
        <w:rPr>
          <w:rFonts w:ascii="Arial" w:eastAsia="Arial Unicode MS" w:hAnsi="Arial" w:cs="David"/>
          <w:snapToGrid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z w:val="20"/>
          <w:szCs w:val="26"/>
          <w:rtl/>
        </w:rPr>
        <w:t>והונחה על שולחן הכנסת ביום</w:t>
      </w:r>
    </w:p>
    <w:p w:rsidR="00191EED" w:rsidRPr="00C433D9" w:rsidRDefault="00191EED" w:rsidP="00C4735B">
      <w:pPr>
        <w:spacing w:before="0" w:line="240" w:lineRule="auto"/>
        <w:ind w:left="340"/>
        <w:rPr>
          <w:rtl/>
        </w:rPr>
      </w:pPr>
      <w:r>
        <w:rPr>
          <w:rFonts w:ascii="Arial" w:eastAsia="Arial Unicode MS" w:hAnsi="Arial" w:cs="David" w:hint="cs"/>
          <w:snapToGrid w:val="0"/>
          <w:sz w:val="20"/>
          <w:szCs w:val="26"/>
          <w:rtl/>
        </w:rPr>
        <w:t xml:space="preserve">כ"ג בתמוז </w:t>
      </w:r>
      <w:proofErr w:type="spellStart"/>
      <w:r>
        <w:rPr>
          <w:rFonts w:ascii="Arial" w:eastAsia="Arial Unicode MS" w:hAnsi="Arial" w:cs="David" w:hint="cs"/>
          <w:snapToGrid w:val="0"/>
          <w:sz w:val="20"/>
          <w:szCs w:val="26"/>
          <w:rtl/>
        </w:rPr>
        <w:t>התשע"ג</w:t>
      </w:r>
      <w:proofErr w:type="spellEnd"/>
      <w:r>
        <w:rPr>
          <w:rFonts w:ascii="Arial" w:eastAsia="Arial Unicode MS" w:hAnsi="Arial" w:cs="David" w:hint="cs"/>
          <w:snapToGrid w:val="0"/>
          <w:sz w:val="20"/>
          <w:szCs w:val="26"/>
          <w:rtl/>
        </w:rPr>
        <w:t xml:space="preserve"> – 1.7.13</w:t>
      </w:r>
    </w:p>
    <w:sectPr w:rsidR="00191EED" w:rsidRPr="00C433D9" w:rsidSect="00C4735B">
      <w:footerReference w:type="even" r:id="rId11"/>
      <w:footerReference w:type="default" r:id="rId12"/>
      <w:pgSz w:w="11907" w:h="16840" w:code="9"/>
      <w:pgMar w:top="851" w:right="1134" w:bottom="993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E35" w:rsidRDefault="002F6E35">
      <w:r>
        <w:separator/>
      </w:r>
    </w:p>
  </w:endnote>
  <w:endnote w:type="continuationSeparator" w:id="0">
    <w:p w:rsidR="002F6E35" w:rsidRDefault="002F6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C4735B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E35" w:rsidRDefault="002F6E35">
      <w:r>
        <w:separator/>
      </w:r>
    </w:p>
  </w:footnote>
  <w:footnote w:type="continuationSeparator" w:id="0">
    <w:p w:rsidR="002F6E35" w:rsidRDefault="002F6E35">
      <w:r>
        <w:continuationSeparator/>
      </w:r>
    </w:p>
  </w:footnote>
  <w:footnote w:type="continuationNotice" w:id="1">
    <w:p w:rsidR="002F6E35" w:rsidRDefault="002F6E35"/>
  </w:footnote>
  <w:footnote w:id="2">
    <w:p w:rsidR="008956B3" w:rsidRDefault="008956B3" w:rsidP="003049B1">
      <w:pPr>
        <w:pStyle w:val="a4"/>
      </w:pPr>
      <w:r>
        <w:rPr>
          <w:rStyle w:val="a6"/>
        </w:rPr>
        <w:footnoteRef/>
      </w:r>
      <w:r>
        <w:rPr>
          <w:rFonts w:hint="cs"/>
          <w:rtl/>
        </w:rPr>
        <w:t xml:space="preserve"> ס"ח </w:t>
      </w:r>
      <w:proofErr w:type="spellStart"/>
      <w:r w:rsidR="003049B1">
        <w:rPr>
          <w:rFonts w:hint="cs"/>
          <w:rtl/>
        </w:rPr>
        <w:t>התשנ"א</w:t>
      </w:r>
      <w:proofErr w:type="spellEnd"/>
      <w:r w:rsidR="003049B1">
        <w:rPr>
          <w:rFonts w:hint="cs"/>
          <w:rtl/>
        </w:rPr>
        <w:t>, עמ' 58.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3112lsCopyOriginal.docx"/>
    <w:docVar w:name="StartMode" w:val="2"/>
  </w:docVars>
  <w:rsids>
    <w:rsidRoot w:val="00DB7060"/>
    <w:rsid w:val="00015B27"/>
    <w:rsid w:val="000A542E"/>
    <w:rsid w:val="001207F8"/>
    <w:rsid w:val="00121924"/>
    <w:rsid w:val="001279A8"/>
    <w:rsid w:val="0014195F"/>
    <w:rsid w:val="00152609"/>
    <w:rsid w:val="00153E1B"/>
    <w:rsid w:val="00191EED"/>
    <w:rsid w:val="001A0623"/>
    <w:rsid w:val="001C23B0"/>
    <w:rsid w:val="00203A7F"/>
    <w:rsid w:val="002200A1"/>
    <w:rsid w:val="002362BF"/>
    <w:rsid w:val="00241B97"/>
    <w:rsid w:val="00254605"/>
    <w:rsid w:val="002728B4"/>
    <w:rsid w:val="0029262A"/>
    <w:rsid w:val="00292712"/>
    <w:rsid w:val="002C2E29"/>
    <w:rsid w:val="002F6E35"/>
    <w:rsid w:val="003049B1"/>
    <w:rsid w:val="003232A2"/>
    <w:rsid w:val="00362118"/>
    <w:rsid w:val="003710F6"/>
    <w:rsid w:val="00386E88"/>
    <w:rsid w:val="003D74A0"/>
    <w:rsid w:val="004033D8"/>
    <w:rsid w:val="00405A3A"/>
    <w:rsid w:val="00453CED"/>
    <w:rsid w:val="00462F08"/>
    <w:rsid w:val="0049459E"/>
    <w:rsid w:val="004D3876"/>
    <w:rsid w:val="004D455E"/>
    <w:rsid w:val="004E4552"/>
    <w:rsid w:val="00553C9D"/>
    <w:rsid w:val="00570472"/>
    <w:rsid w:val="005B064E"/>
    <w:rsid w:val="005D51AE"/>
    <w:rsid w:val="00625338"/>
    <w:rsid w:val="00644940"/>
    <w:rsid w:val="006818A9"/>
    <w:rsid w:val="00696B67"/>
    <w:rsid w:val="006C1D0D"/>
    <w:rsid w:val="0070601E"/>
    <w:rsid w:val="00765F66"/>
    <w:rsid w:val="007D5A12"/>
    <w:rsid w:val="007E59F9"/>
    <w:rsid w:val="00810BCD"/>
    <w:rsid w:val="00812C98"/>
    <w:rsid w:val="00814D92"/>
    <w:rsid w:val="00892135"/>
    <w:rsid w:val="00895449"/>
    <w:rsid w:val="008956B3"/>
    <w:rsid w:val="00897879"/>
    <w:rsid w:val="008C2DDC"/>
    <w:rsid w:val="008F0D63"/>
    <w:rsid w:val="008F2C35"/>
    <w:rsid w:val="00904220"/>
    <w:rsid w:val="0091204F"/>
    <w:rsid w:val="009203DB"/>
    <w:rsid w:val="00943386"/>
    <w:rsid w:val="0095717A"/>
    <w:rsid w:val="00957589"/>
    <w:rsid w:val="00982412"/>
    <w:rsid w:val="009F4C2E"/>
    <w:rsid w:val="00A26BD6"/>
    <w:rsid w:val="00A44F41"/>
    <w:rsid w:val="00A82CB7"/>
    <w:rsid w:val="00AC0558"/>
    <w:rsid w:val="00AC36F7"/>
    <w:rsid w:val="00B35784"/>
    <w:rsid w:val="00BC45FB"/>
    <w:rsid w:val="00C433D9"/>
    <w:rsid w:val="00C44817"/>
    <w:rsid w:val="00C4735B"/>
    <w:rsid w:val="00C9176A"/>
    <w:rsid w:val="00C93A3A"/>
    <w:rsid w:val="00CD428E"/>
    <w:rsid w:val="00D867D7"/>
    <w:rsid w:val="00DB7060"/>
    <w:rsid w:val="00DE3153"/>
    <w:rsid w:val="00E13C27"/>
    <w:rsid w:val="00E165B6"/>
    <w:rsid w:val="00E33BBD"/>
    <w:rsid w:val="00E45103"/>
    <w:rsid w:val="00E665B9"/>
    <w:rsid w:val="00EA01E6"/>
    <w:rsid w:val="00EA758F"/>
    <w:rsid w:val="00ED4A6F"/>
    <w:rsid w:val="00EF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link w:val="a5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aliases w:val="Footnote Reference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8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5">
    <w:name w:val="טקסט הערת שוליים תו"/>
    <w:basedOn w:val="a0"/>
    <w:link w:val="a4"/>
    <w:semiHidden/>
    <w:rsid w:val="008956B3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c">
    <w:name w:val="Balloon Text"/>
    <w:basedOn w:val="a"/>
    <w:link w:val="ad"/>
    <w:semiHidden/>
    <w:unhideWhenUsed/>
    <w:rsid w:val="003049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049B1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e">
    <w:name w:val="annotation reference"/>
    <w:basedOn w:val="a0"/>
    <w:semiHidden/>
    <w:unhideWhenUsed/>
    <w:rsid w:val="003049B1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3049B1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3049B1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semiHidden/>
    <w:unhideWhenUsed/>
    <w:rsid w:val="003049B1"/>
    <w:rPr>
      <w:b/>
      <w:bCs/>
    </w:rPr>
  </w:style>
  <w:style w:type="character" w:customStyle="1" w:styleId="af2">
    <w:name w:val="נושא הערה תו"/>
    <w:basedOn w:val="af0"/>
    <w:link w:val="af1"/>
    <w:semiHidden/>
    <w:rsid w:val="003049B1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link w:val="a5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aliases w:val="Footnote Reference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8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5">
    <w:name w:val="טקסט הערת שוליים תו"/>
    <w:basedOn w:val="a0"/>
    <w:link w:val="a4"/>
    <w:semiHidden/>
    <w:rsid w:val="008956B3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c">
    <w:name w:val="Balloon Text"/>
    <w:basedOn w:val="a"/>
    <w:link w:val="ad"/>
    <w:semiHidden/>
    <w:unhideWhenUsed/>
    <w:rsid w:val="003049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049B1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e">
    <w:name w:val="annotation reference"/>
    <w:basedOn w:val="a0"/>
    <w:semiHidden/>
    <w:unhideWhenUsed/>
    <w:rsid w:val="003049B1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3049B1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3049B1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semiHidden/>
    <w:unhideWhenUsed/>
    <w:rsid w:val="003049B1"/>
    <w:rPr>
      <w:b/>
      <w:bCs/>
    </w:rPr>
  </w:style>
  <w:style w:type="character" w:customStyle="1" w:styleId="af2">
    <w:name w:val="נושא הערה תו"/>
    <w:basedOn w:val="af0"/>
    <w:link w:val="af1"/>
    <w:semiHidden/>
    <w:rsid w:val="003049B1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858D94-8C93-4225-A70F-3CE86A4AF933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1105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אריקה מזרחי</dc:creator>
  <cp:lastModifiedBy>אתי שבתאי</cp:lastModifiedBy>
  <cp:revision>2</cp:revision>
  <cp:lastPrinted>2013-06-27T06:38:00Z</cp:lastPrinted>
  <dcterms:created xsi:type="dcterms:W3CDTF">2014-06-05T06:53:00Z</dcterms:created>
  <dcterms:modified xsi:type="dcterms:W3CDTF">2014-06-05T06:53:00Z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