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9CB" w:rsidRPr="007609CB" w:rsidRDefault="007609CB" w:rsidP="00DD6B0B">
      <w:pPr>
        <w:ind w:left="360"/>
        <w:jc w:val="center"/>
        <w:rPr>
          <w:rFonts w:cs="David"/>
          <w:b/>
          <w:bCs/>
          <w:sz w:val="24"/>
          <w:szCs w:val="24"/>
          <w:u w:val="single"/>
          <w:rtl/>
        </w:rPr>
      </w:pPr>
      <w:r w:rsidRPr="007609CB">
        <w:rPr>
          <w:rFonts w:cs="David"/>
          <w:b/>
          <w:bCs/>
          <w:sz w:val="24"/>
          <w:szCs w:val="24"/>
          <w:u w:val="single"/>
          <w:rtl/>
        </w:rPr>
        <w:t xml:space="preserve">תקנות </w:t>
      </w:r>
      <w:r w:rsidRPr="007609CB">
        <w:rPr>
          <w:rFonts w:cs="David" w:hint="cs"/>
          <w:b/>
          <w:bCs/>
          <w:sz w:val="24"/>
          <w:szCs w:val="24"/>
          <w:u w:val="single"/>
          <w:rtl/>
        </w:rPr>
        <w:t xml:space="preserve">לקידום התחרות ולצמצום הריכוזיות </w:t>
      </w:r>
      <w:r w:rsidRPr="007609CB">
        <w:rPr>
          <w:rFonts w:cs="David"/>
          <w:b/>
          <w:bCs/>
          <w:sz w:val="24"/>
          <w:szCs w:val="24"/>
          <w:u w:val="single"/>
          <w:rtl/>
        </w:rPr>
        <w:t>(</w:t>
      </w:r>
      <w:r w:rsidRPr="007609CB">
        <w:rPr>
          <w:rFonts w:cs="David" w:hint="cs"/>
          <w:b/>
          <w:bCs/>
          <w:sz w:val="24"/>
          <w:szCs w:val="24"/>
          <w:u w:val="single"/>
          <w:rtl/>
        </w:rPr>
        <w:t xml:space="preserve">סוג של חברה שאינה חברת שכבה והוראות </w:t>
      </w:r>
      <w:proofErr w:type="spellStart"/>
      <w:r w:rsidRPr="007609CB">
        <w:rPr>
          <w:rFonts w:cs="David" w:hint="cs"/>
          <w:b/>
          <w:bCs/>
          <w:sz w:val="24"/>
          <w:szCs w:val="24"/>
          <w:u w:val="single"/>
          <w:rtl/>
        </w:rPr>
        <w:t>לענין</w:t>
      </w:r>
      <w:proofErr w:type="spellEnd"/>
      <w:r w:rsidRPr="007609CB">
        <w:rPr>
          <w:rFonts w:cs="David" w:hint="cs"/>
          <w:b/>
          <w:bCs/>
          <w:sz w:val="24"/>
          <w:szCs w:val="24"/>
          <w:u w:val="single"/>
          <w:rtl/>
        </w:rPr>
        <w:t xml:space="preserve"> יחוס שליטה</w:t>
      </w:r>
      <w:r w:rsidRPr="007609CB">
        <w:rPr>
          <w:rFonts w:cs="David"/>
          <w:b/>
          <w:bCs/>
          <w:sz w:val="24"/>
          <w:szCs w:val="24"/>
          <w:u w:val="single"/>
          <w:rtl/>
        </w:rPr>
        <w:t>)</w:t>
      </w:r>
      <w:r w:rsidRPr="007609CB">
        <w:rPr>
          <w:rFonts w:cs="David" w:hint="cs"/>
          <w:b/>
          <w:bCs/>
          <w:sz w:val="24"/>
          <w:szCs w:val="24"/>
          <w:u w:val="single"/>
          <w:rtl/>
        </w:rPr>
        <w:t xml:space="preserve">, </w:t>
      </w:r>
      <w:r w:rsidRPr="007609CB">
        <w:rPr>
          <w:rFonts w:cs="David"/>
          <w:b/>
          <w:bCs/>
          <w:sz w:val="24"/>
          <w:szCs w:val="24"/>
          <w:u w:val="single"/>
          <w:rtl/>
        </w:rPr>
        <w:t>התש</w:t>
      </w:r>
      <w:r w:rsidRPr="007609CB">
        <w:rPr>
          <w:rFonts w:cs="David" w:hint="cs"/>
          <w:b/>
          <w:bCs/>
          <w:sz w:val="24"/>
          <w:szCs w:val="24"/>
          <w:u w:val="single"/>
          <w:rtl/>
        </w:rPr>
        <w:t>ע</w:t>
      </w:r>
      <w:r w:rsidRPr="007609CB">
        <w:rPr>
          <w:rFonts w:cs="David"/>
          <w:b/>
          <w:bCs/>
          <w:sz w:val="24"/>
          <w:szCs w:val="24"/>
          <w:u w:val="single"/>
          <w:rtl/>
        </w:rPr>
        <w:t>"</w:t>
      </w:r>
      <w:r w:rsidRPr="007609CB">
        <w:rPr>
          <w:rFonts w:cs="David" w:hint="cs"/>
          <w:b/>
          <w:bCs/>
          <w:sz w:val="24"/>
          <w:szCs w:val="24"/>
          <w:u w:val="single"/>
          <w:rtl/>
        </w:rPr>
        <w:t>ד</w:t>
      </w:r>
      <w:r w:rsidRPr="007609CB">
        <w:rPr>
          <w:rFonts w:cs="David" w:hint="cs"/>
          <w:b/>
          <w:bCs/>
          <w:sz w:val="24"/>
          <w:szCs w:val="24"/>
          <w:u w:val="single"/>
          <w:rtl/>
        </w:rPr>
        <w:softHyphen/>
      </w:r>
      <w:r w:rsidRPr="007609CB">
        <w:rPr>
          <w:rFonts w:cs="David"/>
          <w:b/>
          <w:bCs/>
          <w:sz w:val="24"/>
          <w:szCs w:val="24"/>
          <w:u w:val="single"/>
          <w:rtl/>
        </w:rPr>
        <w:softHyphen/>
      </w:r>
      <w:r w:rsidRPr="007609CB">
        <w:rPr>
          <w:rFonts w:cs="David" w:hint="cs"/>
          <w:b/>
          <w:bCs/>
          <w:sz w:val="24"/>
          <w:szCs w:val="24"/>
          <w:u w:val="single"/>
          <w:rtl/>
        </w:rPr>
        <w:softHyphen/>
        <w:t>-2014</w:t>
      </w:r>
      <w:r w:rsidR="007557C6">
        <w:rPr>
          <w:rFonts w:cs="David" w:hint="cs"/>
          <w:b/>
          <w:bCs/>
          <w:sz w:val="24"/>
          <w:szCs w:val="24"/>
          <w:u w:val="single"/>
          <w:rtl/>
        </w:rPr>
        <w:t xml:space="preserve"> </w:t>
      </w:r>
      <w:r w:rsidR="007557C6">
        <w:rPr>
          <w:rFonts w:cs="David"/>
          <w:b/>
          <w:bCs/>
          <w:sz w:val="24"/>
          <w:szCs w:val="24"/>
          <w:u w:val="single"/>
          <w:rtl/>
        </w:rPr>
        <w:t>–</w:t>
      </w:r>
      <w:r w:rsidR="007557C6">
        <w:rPr>
          <w:rFonts w:cs="David" w:hint="cs"/>
          <w:b/>
          <w:bCs/>
          <w:sz w:val="24"/>
          <w:szCs w:val="24"/>
          <w:u w:val="single"/>
          <w:rtl/>
        </w:rPr>
        <w:t xml:space="preserve"> </w:t>
      </w:r>
      <w:r w:rsidR="00DD6B0B">
        <w:rPr>
          <w:rFonts w:cs="David" w:hint="cs"/>
          <w:b/>
          <w:bCs/>
          <w:sz w:val="24"/>
          <w:szCs w:val="24"/>
          <w:u w:val="single"/>
          <w:rtl/>
        </w:rPr>
        <w:t>דברי הסבר</w:t>
      </w:r>
    </w:p>
    <w:p w:rsidR="00C057DB" w:rsidRPr="00067A4D" w:rsidRDefault="00C057DB" w:rsidP="00C057DB">
      <w:pPr>
        <w:jc w:val="center"/>
        <w:rPr>
          <w:rFonts w:cs="David"/>
          <w:b/>
          <w:bCs/>
          <w:sz w:val="26"/>
          <w:szCs w:val="26"/>
          <w:u w:val="single"/>
          <w:rtl/>
        </w:rPr>
      </w:pPr>
    </w:p>
    <w:p w:rsidR="003049D6" w:rsidRDefault="003049D6" w:rsidP="00917DCE">
      <w:pPr>
        <w:rPr>
          <w:rFonts w:cs="David"/>
          <w:b/>
          <w:bCs/>
          <w:sz w:val="26"/>
          <w:szCs w:val="26"/>
          <w:u w:val="single"/>
          <w:rtl/>
        </w:rPr>
      </w:pPr>
    </w:p>
    <w:p w:rsidR="004B2327" w:rsidRDefault="004B2327" w:rsidP="00917DCE">
      <w:pPr>
        <w:rPr>
          <w:rFonts w:cs="David"/>
          <w:b/>
          <w:bCs/>
          <w:sz w:val="26"/>
          <w:szCs w:val="26"/>
          <w:u w:val="single"/>
          <w:rtl/>
        </w:rPr>
      </w:pPr>
      <w:r>
        <w:rPr>
          <w:rFonts w:cs="David" w:hint="cs"/>
          <w:b/>
          <w:bCs/>
          <w:sz w:val="26"/>
          <w:szCs w:val="26"/>
          <w:u w:val="single"/>
          <w:rtl/>
        </w:rPr>
        <w:t>כללי</w:t>
      </w:r>
    </w:p>
    <w:p w:rsidR="00237C72" w:rsidRDefault="00237C72" w:rsidP="00237C72">
      <w:pPr>
        <w:rPr>
          <w:rFonts w:ascii="Arial" w:hAnsi="Arial" w:cs="Arial"/>
          <w:rtl/>
        </w:rPr>
      </w:pPr>
    </w:p>
    <w:p w:rsidR="00B76048" w:rsidRDefault="00237C72" w:rsidP="00550D5D">
      <w:pPr>
        <w:numPr>
          <w:ilvl w:val="0"/>
          <w:numId w:val="17"/>
        </w:numPr>
        <w:tabs>
          <w:tab w:val="left" w:pos="-51"/>
        </w:tabs>
        <w:spacing w:line="360" w:lineRule="auto"/>
        <w:jc w:val="both"/>
        <w:rPr>
          <w:rFonts w:cs="David"/>
          <w:sz w:val="24"/>
          <w:szCs w:val="24"/>
        </w:rPr>
      </w:pPr>
      <w:r w:rsidRPr="007557C6">
        <w:rPr>
          <w:rFonts w:cs="David" w:hint="cs"/>
          <w:sz w:val="24"/>
          <w:szCs w:val="24"/>
          <w:rtl/>
        </w:rPr>
        <w:t xml:space="preserve">פרק ג' לחוק לקידום התחרות ולצמצום הריכוזיות, התשע"ד-2013 (להלן </w:t>
      </w:r>
      <w:r w:rsidRPr="007557C6">
        <w:rPr>
          <w:rFonts w:cs="David"/>
          <w:sz w:val="24"/>
          <w:szCs w:val="24"/>
          <w:rtl/>
        </w:rPr>
        <w:t>–</w:t>
      </w:r>
      <w:r w:rsidRPr="007557C6">
        <w:rPr>
          <w:rFonts w:cs="David" w:hint="cs"/>
          <w:sz w:val="24"/>
          <w:szCs w:val="24"/>
          <w:rtl/>
        </w:rPr>
        <w:t xml:space="preserve"> </w:t>
      </w:r>
      <w:r w:rsidRPr="007557C6">
        <w:rPr>
          <w:rFonts w:cs="David" w:hint="cs"/>
          <w:b/>
          <w:bCs/>
          <w:sz w:val="24"/>
          <w:szCs w:val="24"/>
          <w:rtl/>
        </w:rPr>
        <w:t>החוק</w:t>
      </w:r>
      <w:r w:rsidRPr="007557C6">
        <w:rPr>
          <w:rFonts w:cs="David" w:hint="cs"/>
          <w:sz w:val="24"/>
          <w:szCs w:val="24"/>
          <w:rtl/>
        </w:rPr>
        <w:t>) עוסק בהגבלת השליטה בחברות במבנה פירמידלי. הפרק מתווה מעבר של</w:t>
      </w:r>
      <w:r w:rsidR="00F92ECC">
        <w:rPr>
          <w:rFonts w:cs="David" w:hint="cs"/>
          <w:sz w:val="24"/>
          <w:szCs w:val="24"/>
          <w:rtl/>
        </w:rPr>
        <w:t xml:space="preserve"> מבנים פירמידליים קיימים</w:t>
      </w:r>
      <w:r w:rsidR="007557C6" w:rsidRPr="007557C6">
        <w:rPr>
          <w:rFonts w:cs="David" w:hint="cs"/>
          <w:sz w:val="24"/>
          <w:szCs w:val="24"/>
          <w:rtl/>
        </w:rPr>
        <w:t xml:space="preserve"> </w:t>
      </w:r>
      <w:r w:rsidRPr="007557C6">
        <w:rPr>
          <w:rFonts w:cs="David"/>
          <w:sz w:val="24"/>
          <w:szCs w:val="24"/>
          <w:rtl/>
        </w:rPr>
        <w:t xml:space="preserve"> למבנה של שתי </w:t>
      </w:r>
      <w:r w:rsidR="00F92ECC">
        <w:rPr>
          <w:rFonts w:cs="David" w:hint="cs"/>
          <w:sz w:val="24"/>
          <w:szCs w:val="24"/>
          <w:rtl/>
        </w:rPr>
        <w:t>"חברות שכבה"</w:t>
      </w:r>
      <w:r w:rsidR="00550D5D">
        <w:rPr>
          <w:rFonts w:cs="David" w:hint="cs"/>
          <w:sz w:val="24"/>
          <w:szCs w:val="24"/>
          <w:rtl/>
        </w:rPr>
        <w:t xml:space="preserve">. </w:t>
      </w:r>
      <w:r w:rsidR="00F92ECC">
        <w:rPr>
          <w:rFonts w:cs="David" w:hint="cs"/>
          <w:sz w:val="24"/>
          <w:szCs w:val="24"/>
          <w:rtl/>
        </w:rPr>
        <w:t xml:space="preserve">חברת שכבה היא תאגיד מדווח, קרי </w:t>
      </w:r>
      <w:r w:rsidRPr="007557C6">
        <w:rPr>
          <w:rFonts w:cs="David"/>
          <w:sz w:val="24"/>
          <w:szCs w:val="24"/>
          <w:rtl/>
        </w:rPr>
        <w:t>חבר</w:t>
      </w:r>
      <w:r w:rsidR="00F92ECC">
        <w:rPr>
          <w:rFonts w:cs="David" w:hint="cs"/>
          <w:sz w:val="24"/>
          <w:szCs w:val="24"/>
          <w:rtl/>
        </w:rPr>
        <w:t>ה</w:t>
      </w:r>
      <w:r w:rsidRPr="007557C6">
        <w:rPr>
          <w:rFonts w:cs="David"/>
          <w:sz w:val="24"/>
          <w:szCs w:val="24"/>
          <w:rtl/>
        </w:rPr>
        <w:t xml:space="preserve"> ציבורית </w:t>
      </w:r>
      <w:r w:rsidR="00F92ECC">
        <w:rPr>
          <w:rFonts w:cs="David" w:hint="cs"/>
          <w:sz w:val="24"/>
          <w:szCs w:val="24"/>
          <w:rtl/>
        </w:rPr>
        <w:t xml:space="preserve">או </w:t>
      </w:r>
      <w:r w:rsidRPr="007557C6">
        <w:rPr>
          <w:rFonts w:cs="David"/>
          <w:sz w:val="24"/>
          <w:szCs w:val="24"/>
          <w:rtl/>
        </w:rPr>
        <w:t>חברת אג"ח</w:t>
      </w:r>
      <w:r w:rsidR="00F92ECC">
        <w:rPr>
          <w:rFonts w:cs="David" w:hint="cs"/>
          <w:sz w:val="24"/>
          <w:szCs w:val="24"/>
          <w:rtl/>
        </w:rPr>
        <w:t xml:space="preserve"> הנסחרת בבורסה בישראל</w:t>
      </w:r>
      <w:r w:rsidRPr="007557C6">
        <w:rPr>
          <w:rFonts w:cs="David"/>
          <w:sz w:val="24"/>
          <w:szCs w:val="24"/>
          <w:rtl/>
        </w:rPr>
        <w:t>.</w:t>
      </w:r>
    </w:p>
    <w:p w:rsidR="00B76048" w:rsidRDefault="00B76048" w:rsidP="00571787">
      <w:pPr>
        <w:tabs>
          <w:tab w:val="left" w:pos="-51"/>
        </w:tabs>
        <w:ind w:left="360"/>
        <w:jc w:val="both"/>
        <w:rPr>
          <w:rFonts w:cs="David"/>
          <w:sz w:val="24"/>
          <w:szCs w:val="24"/>
        </w:rPr>
      </w:pPr>
    </w:p>
    <w:p w:rsidR="00B76048" w:rsidRDefault="007D7C0E">
      <w:pPr>
        <w:numPr>
          <w:ilvl w:val="0"/>
          <w:numId w:val="17"/>
        </w:numPr>
        <w:tabs>
          <w:tab w:val="left" w:pos="-51"/>
        </w:tabs>
        <w:spacing w:line="360" w:lineRule="auto"/>
        <w:jc w:val="both"/>
        <w:rPr>
          <w:rFonts w:cs="David"/>
          <w:sz w:val="24"/>
          <w:szCs w:val="24"/>
        </w:rPr>
      </w:pPr>
      <w:r>
        <w:rPr>
          <w:rFonts w:cs="David" w:hint="cs"/>
          <w:sz w:val="24"/>
          <w:szCs w:val="24"/>
          <w:rtl/>
        </w:rPr>
        <w:t xml:space="preserve">החוק </w:t>
      </w:r>
      <w:r w:rsidR="009867BC">
        <w:rPr>
          <w:rFonts w:cs="David" w:hint="cs"/>
          <w:sz w:val="24"/>
          <w:szCs w:val="24"/>
          <w:rtl/>
        </w:rPr>
        <w:t xml:space="preserve">קובע תקופת מעבר בת ארבע עד שש שנים ל"קיפול" הפירמידות הקיימות. במהלך תקופה זו קובע החוק הוראות </w:t>
      </w:r>
      <w:proofErr w:type="spellStart"/>
      <w:r w:rsidR="009867BC">
        <w:rPr>
          <w:rFonts w:cs="David" w:hint="cs"/>
          <w:sz w:val="24"/>
          <w:szCs w:val="24"/>
          <w:rtl/>
        </w:rPr>
        <w:t>מימשל</w:t>
      </w:r>
      <w:proofErr w:type="spellEnd"/>
      <w:r w:rsidR="009867BC">
        <w:rPr>
          <w:rFonts w:cs="David" w:hint="cs"/>
          <w:sz w:val="24"/>
          <w:szCs w:val="24"/>
          <w:rtl/>
        </w:rPr>
        <w:t xml:space="preserve"> תאגידי מחמירות אשר יחולו על חברות אשר השליטה בהן תהיה אסורה בתום תקופת המעבר.</w:t>
      </w:r>
      <w:r w:rsidR="00FB1B20">
        <w:rPr>
          <w:rFonts w:cs="David" w:hint="cs"/>
          <w:sz w:val="24"/>
          <w:szCs w:val="24"/>
          <w:rtl/>
        </w:rPr>
        <w:t xml:space="preserve"> </w:t>
      </w:r>
    </w:p>
    <w:p w:rsidR="00B76048" w:rsidRDefault="00B76048" w:rsidP="00571787">
      <w:pPr>
        <w:tabs>
          <w:tab w:val="left" w:pos="-51"/>
        </w:tabs>
        <w:ind w:left="360"/>
        <w:jc w:val="both"/>
        <w:rPr>
          <w:rFonts w:cs="David"/>
          <w:sz w:val="24"/>
          <w:szCs w:val="24"/>
        </w:rPr>
      </w:pPr>
    </w:p>
    <w:p w:rsidR="00B76048" w:rsidRPr="00550D5D" w:rsidRDefault="007557C6" w:rsidP="00A43B0C">
      <w:pPr>
        <w:numPr>
          <w:ilvl w:val="0"/>
          <w:numId w:val="17"/>
        </w:numPr>
        <w:tabs>
          <w:tab w:val="left" w:pos="-51"/>
        </w:tabs>
        <w:spacing w:line="360" w:lineRule="auto"/>
        <w:jc w:val="both"/>
        <w:rPr>
          <w:rFonts w:cs="David"/>
          <w:sz w:val="24"/>
          <w:szCs w:val="24"/>
        </w:rPr>
      </w:pPr>
      <w:r>
        <w:rPr>
          <w:rFonts w:cs="David" w:hint="cs"/>
          <w:sz w:val="24"/>
          <w:szCs w:val="24"/>
          <w:rtl/>
        </w:rPr>
        <w:t xml:space="preserve">מדובר בחוק רחב החל על </w:t>
      </w:r>
      <w:r w:rsidR="005810F6">
        <w:rPr>
          <w:rFonts w:cs="David" w:hint="cs"/>
          <w:sz w:val="24"/>
          <w:szCs w:val="24"/>
          <w:rtl/>
        </w:rPr>
        <w:t>חברות</w:t>
      </w:r>
      <w:r w:rsidR="002D2ED0">
        <w:rPr>
          <w:rFonts w:cs="David" w:hint="cs"/>
          <w:sz w:val="24"/>
          <w:szCs w:val="24"/>
          <w:rtl/>
        </w:rPr>
        <w:t xml:space="preserve"> </w:t>
      </w:r>
      <w:r w:rsidR="007128F8">
        <w:rPr>
          <w:rFonts w:cs="David" w:hint="cs"/>
          <w:sz w:val="24"/>
          <w:szCs w:val="24"/>
          <w:rtl/>
        </w:rPr>
        <w:t xml:space="preserve">רבות </w:t>
      </w:r>
      <w:r w:rsidR="002D2ED0">
        <w:rPr>
          <w:rFonts w:cs="David" w:hint="cs"/>
          <w:sz w:val="24"/>
          <w:szCs w:val="24"/>
          <w:rtl/>
        </w:rPr>
        <w:t>שלהן משקל משמעותי במשק. לכן נית</w:t>
      </w:r>
      <w:r w:rsidR="00550D5D">
        <w:rPr>
          <w:rFonts w:cs="David" w:hint="cs"/>
          <w:sz w:val="24"/>
          <w:szCs w:val="24"/>
          <w:rtl/>
        </w:rPr>
        <w:t xml:space="preserve">נו </w:t>
      </w:r>
      <w:r w:rsidR="005810F6">
        <w:rPr>
          <w:rFonts w:cs="David" w:hint="cs"/>
          <w:sz w:val="24"/>
          <w:szCs w:val="24"/>
          <w:rtl/>
        </w:rPr>
        <w:t xml:space="preserve"> </w:t>
      </w:r>
      <w:r>
        <w:rPr>
          <w:rFonts w:cs="David" w:hint="cs"/>
          <w:sz w:val="24"/>
          <w:szCs w:val="24"/>
          <w:rtl/>
        </w:rPr>
        <w:t>לשר האוצר ו</w:t>
      </w:r>
      <w:r w:rsidR="005810F6">
        <w:rPr>
          <w:rFonts w:cs="David" w:hint="cs"/>
          <w:sz w:val="24"/>
          <w:szCs w:val="24"/>
          <w:rtl/>
        </w:rPr>
        <w:t>ל</w:t>
      </w:r>
      <w:r>
        <w:rPr>
          <w:rFonts w:cs="David" w:hint="cs"/>
          <w:sz w:val="24"/>
          <w:szCs w:val="24"/>
          <w:rtl/>
        </w:rPr>
        <w:t>שרת המשפטים סמכויות למתן הקלות ופטורים מתחולת החוק במצבים בהם אין הכרח בתחולת</w:t>
      </w:r>
      <w:r w:rsidR="00550D5D">
        <w:rPr>
          <w:rFonts w:cs="David" w:hint="cs"/>
          <w:sz w:val="24"/>
          <w:szCs w:val="24"/>
          <w:rtl/>
        </w:rPr>
        <w:t>ו</w:t>
      </w:r>
      <w:r>
        <w:rPr>
          <w:rFonts w:cs="David" w:hint="cs"/>
          <w:sz w:val="24"/>
          <w:szCs w:val="24"/>
          <w:rtl/>
        </w:rPr>
        <w:t>.</w:t>
      </w:r>
      <w:r w:rsidR="00A14522">
        <w:rPr>
          <w:rFonts w:cs="David" w:hint="cs"/>
          <w:sz w:val="24"/>
          <w:szCs w:val="24"/>
          <w:rtl/>
        </w:rPr>
        <w:t xml:space="preserve"> </w:t>
      </w:r>
    </w:p>
    <w:p w:rsidR="00B76048" w:rsidRDefault="00B76048" w:rsidP="00571787">
      <w:pPr>
        <w:tabs>
          <w:tab w:val="left" w:pos="-51"/>
        </w:tabs>
        <w:ind w:left="360"/>
        <w:jc w:val="both"/>
        <w:rPr>
          <w:rFonts w:cs="David"/>
          <w:sz w:val="24"/>
          <w:szCs w:val="24"/>
        </w:rPr>
      </w:pPr>
    </w:p>
    <w:p w:rsidR="00B76048" w:rsidRDefault="000969CD">
      <w:pPr>
        <w:numPr>
          <w:ilvl w:val="0"/>
          <w:numId w:val="17"/>
        </w:numPr>
        <w:tabs>
          <w:tab w:val="left" w:pos="-51"/>
        </w:tabs>
        <w:spacing w:line="360" w:lineRule="auto"/>
        <w:jc w:val="both"/>
        <w:rPr>
          <w:rFonts w:cs="David"/>
          <w:sz w:val="24"/>
          <w:szCs w:val="24"/>
        </w:rPr>
      </w:pPr>
      <w:r>
        <w:rPr>
          <w:rFonts w:cs="David" w:hint="cs"/>
          <w:sz w:val="24"/>
          <w:szCs w:val="24"/>
          <w:rtl/>
        </w:rPr>
        <w:t xml:space="preserve">התקנות המוצעות דחופות משום שהחל מיום 11.6.2014 יחולו הוראות </w:t>
      </w:r>
      <w:proofErr w:type="spellStart"/>
      <w:r>
        <w:rPr>
          <w:rFonts w:cs="David" w:hint="cs"/>
          <w:sz w:val="24"/>
          <w:szCs w:val="24"/>
          <w:rtl/>
        </w:rPr>
        <w:t>מימשל</w:t>
      </w:r>
      <w:proofErr w:type="spellEnd"/>
      <w:r>
        <w:rPr>
          <w:rFonts w:cs="David" w:hint="cs"/>
          <w:sz w:val="24"/>
          <w:szCs w:val="24"/>
          <w:rtl/>
        </w:rPr>
        <w:t xml:space="preserve"> תאגידי מחמירות על "חברות שכבה" שהשליטה בהן </w:t>
      </w:r>
      <w:proofErr w:type="spellStart"/>
      <w:r>
        <w:rPr>
          <w:rFonts w:cs="David" w:hint="cs"/>
          <w:sz w:val="24"/>
          <w:szCs w:val="24"/>
          <w:rtl/>
        </w:rPr>
        <w:t>תאסר</w:t>
      </w:r>
      <w:proofErr w:type="spellEnd"/>
      <w:r>
        <w:rPr>
          <w:rFonts w:cs="David" w:hint="cs"/>
          <w:sz w:val="24"/>
          <w:szCs w:val="24"/>
          <w:rtl/>
        </w:rPr>
        <w:t xml:space="preserve"> בתום תקופות המעבר של 4-6 שנים. התקנות מבהירות, בין השאר, אילו חברות יהיו פטורות מהוראות אלה או מתחולת</w:t>
      </w:r>
      <w:r w:rsidR="00691AAF">
        <w:rPr>
          <w:rFonts w:cs="David" w:hint="cs"/>
          <w:sz w:val="24"/>
          <w:szCs w:val="24"/>
          <w:rtl/>
        </w:rPr>
        <w:t xml:space="preserve"> הפרק כולו. </w:t>
      </w:r>
      <w:r>
        <w:rPr>
          <w:rFonts w:cs="David" w:hint="cs"/>
          <w:sz w:val="24"/>
          <w:szCs w:val="24"/>
          <w:rtl/>
        </w:rPr>
        <w:t xml:space="preserve">לכן קיימת דחיפות בהתקנת התקנות שמטרתן </w:t>
      </w:r>
      <w:proofErr w:type="spellStart"/>
      <w:r>
        <w:rPr>
          <w:rFonts w:cs="David" w:hint="cs"/>
          <w:sz w:val="24"/>
          <w:szCs w:val="24"/>
          <w:rtl/>
        </w:rPr>
        <w:t>המיידית</w:t>
      </w:r>
      <w:proofErr w:type="spellEnd"/>
      <w:r>
        <w:rPr>
          <w:rFonts w:cs="David" w:hint="cs"/>
          <w:sz w:val="24"/>
          <w:szCs w:val="24"/>
          <w:rtl/>
        </w:rPr>
        <w:t xml:space="preserve"> היא להבהיר מיהן החברות שהוראות המעבר לא יחולו עליהן. </w:t>
      </w:r>
    </w:p>
    <w:p w:rsidR="00B76048" w:rsidRDefault="00B76048" w:rsidP="00571787">
      <w:pPr>
        <w:tabs>
          <w:tab w:val="left" w:pos="-51"/>
        </w:tabs>
        <w:ind w:left="357"/>
        <w:jc w:val="both"/>
        <w:rPr>
          <w:rFonts w:cs="David"/>
          <w:sz w:val="24"/>
          <w:szCs w:val="24"/>
        </w:rPr>
      </w:pPr>
    </w:p>
    <w:p w:rsidR="00B76048" w:rsidRDefault="001706E0">
      <w:pPr>
        <w:numPr>
          <w:ilvl w:val="0"/>
          <w:numId w:val="17"/>
        </w:numPr>
        <w:tabs>
          <w:tab w:val="left" w:pos="-51"/>
        </w:tabs>
        <w:spacing w:line="360" w:lineRule="auto"/>
        <w:jc w:val="both"/>
        <w:rPr>
          <w:rFonts w:cs="David"/>
          <w:sz w:val="24"/>
          <w:szCs w:val="24"/>
        </w:rPr>
      </w:pPr>
      <w:r>
        <w:rPr>
          <w:rFonts w:cs="David" w:hint="cs"/>
          <w:sz w:val="24"/>
          <w:szCs w:val="24"/>
          <w:rtl/>
        </w:rPr>
        <w:t>להלן תיאור ארבעת הנושאים המוסדרים בתקנות ומקור הסמכות להתקנתן.</w:t>
      </w:r>
    </w:p>
    <w:p w:rsidR="00FE35E3" w:rsidRDefault="00FE35E3" w:rsidP="00FE35E3">
      <w:pPr>
        <w:tabs>
          <w:tab w:val="left" w:pos="-51"/>
        </w:tabs>
        <w:spacing w:line="360" w:lineRule="auto"/>
        <w:jc w:val="both"/>
        <w:rPr>
          <w:rFonts w:cs="David"/>
          <w:sz w:val="24"/>
          <w:szCs w:val="24"/>
        </w:rPr>
      </w:pPr>
    </w:p>
    <w:p w:rsidR="001706E0" w:rsidRDefault="001706E0" w:rsidP="001706E0">
      <w:pPr>
        <w:tabs>
          <w:tab w:val="left" w:pos="-51"/>
        </w:tabs>
        <w:spacing w:line="360" w:lineRule="auto"/>
        <w:jc w:val="both"/>
        <w:rPr>
          <w:rFonts w:cs="David"/>
          <w:b/>
          <w:bCs/>
          <w:sz w:val="24"/>
          <w:szCs w:val="24"/>
          <w:u w:val="single"/>
          <w:rtl/>
        </w:rPr>
      </w:pPr>
      <w:r>
        <w:rPr>
          <w:rFonts w:cs="David" w:hint="cs"/>
          <w:b/>
          <w:bCs/>
          <w:sz w:val="24"/>
          <w:szCs w:val="24"/>
          <w:u w:val="single"/>
          <w:rtl/>
        </w:rPr>
        <w:t>הקלה לחברות איגרות חוב פיננסיות (</w:t>
      </w:r>
      <w:r w:rsidRPr="00E91845">
        <w:rPr>
          <w:rFonts w:cs="David" w:hint="cs"/>
          <w:b/>
          <w:bCs/>
          <w:sz w:val="24"/>
          <w:szCs w:val="24"/>
          <w:u w:val="single"/>
          <w:rtl/>
        </w:rPr>
        <w:t>תקנות 1, 2 ו-3(1)</w:t>
      </w:r>
      <w:r>
        <w:rPr>
          <w:rFonts w:cs="David" w:hint="cs"/>
          <w:b/>
          <w:bCs/>
          <w:sz w:val="24"/>
          <w:szCs w:val="24"/>
          <w:u w:val="single"/>
          <w:rtl/>
        </w:rPr>
        <w:t>)</w:t>
      </w:r>
    </w:p>
    <w:p w:rsidR="0089491B" w:rsidRPr="00571787" w:rsidRDefault="0089491B" w:rsidP="00571787">
      <w:pPr>
        <w:tabs>
          <w:tab w:val="left" w:pos="-51"/>
        </w:tabs>
        <w:ind w:left="357"/>
        <w:jc w:val="both"/>
        <w:rPr>
          <w:rFonts w:cs="David"/>
          <w:sz w:val="24"/>
          <w:szCs w:val="24"/>
          <w:rtl/>
        </w:rPr>
      </w:pPr>
    </w:p>
    <w:p w:rsidR="00B76048" w:rsidRDefault="00CF56A5" w:rsidP="00CD0EB1">
      <w:pPr>
        <w:numPr>
          <w:ilvl w:val="0"/>
          <w:numId w:val="17"/>
        </w:numPr>
        <w:spacing w:line="360" w:lineRule="auto"/>
        <w:jc w:val="both"/>
        <w:rPr>
          <w:rFonts w:cs="David"/>
          <w:sz w:val="24"/>
          <w:szCs w:val="24"/>
        </w:rPr>
      </w:pPr>
      <w:r>
        <w:rPr>
          <w:rFonts w:cs="David" w:hint="cs"/>
          <w:sz w:val="24"/>
          <w:szCs w:val="24"/>
          <w:rtl/>
        </w:rPr>
        <w:t xml:space="preserve">מוצע </w:t>
      </w:r>
      <w:proofErr w:type="spellStart"/>
      <w:r>
        <w:rPr>
          <w:rFonts w:cs="David" w:hint="cs"/>
          <w:sz w:val="24"/>
          <w:szCs w:val="24"/>
          <w:rtl/>
        </w:rPr>
        <w:t>ל</w:t>
      </w:r>
      <w:r w:rsidR="00046A70">
        <w:rPr>
          <w:rFonts w:cs="David" w:hint="cs"/>
          <w:sz w:val="24"/>
          <w:szCs w:val="24"/>
          <w:rtl/>
        </w:rPr>
        <w:t>החריג</w:t>
      </w:r>
      <w:proofErr w:type="spellEnd"/>
      <w:r w:rsidR="00046A70">
        <w:rPr>
          <w:rFonts w:cs="David" w:hint="cs"/>
          <w:sz w:val="24"/>
          <w:szCs w:val="24"/>
          <w:rtl/>
        </w:rPr>
        <w:t xml:space="preserve"> מתחולת הפרק </w:t>
      </w:r>
      <w:r w:rsidR="001C36B8">
        <w:rPr>
          <w:rFonts w:cs="David" w:hint="cs"/>
          <w:sz w:val="24"/>
          <w:szCs w:val="24"/>
          <w:rtl/>
        </w:rPr>
        <w:t>סוגים מסוימים של  חברות אגרות חוב בעלות פעילות פיננסית בלבד. מדובר באותם סוגים של חברות אשר ניתנו להן הקלות מתחולת הוראות תיקון 17 לחוק החברות, במסגרת תקנות החברות (הקלות לסוגים מסוימים של חברות איגרות חוב), התשע"ב-2012.</w:t>
      </w:r>
      <w:r w:rsidR="00550D5D" w:rsidRPr="00550D5D">
        <w:rPr>
          <w:rFonts w:cs="David" w:hint="cs"/>
          <w:sz w:val="24"/>
          <w:szCs w:val="24"/>
          <w:rtl/>
        </w:rPr>
        <w:t xml:space="preserve"> </w:t>
      </w:r>
    </w:p>
    <w:p w:rsidR="00237C72" w:rsidRDefault="00237C72" w:rsidP="00571787">
      <w:pPr>
        <w:tabs>
          <w:tab w:val="left" w:pos="-51"/>
        </w:tabs>
        <w:ind w:left="357"/>
        <w:jc w:val="both"/>
        <w:rPr>
          <w:rFonts w:cs="David"/>
          <w:sz w:val="24"/>
          <w:szCs w:val="24"/>
        </w:rPr>
      </w:pPr>
    </w:p>
    <w:p w:rsidR="00B76048" w:rsidRDefault="00B73D54">
      <w:pPr>
        <w:numPr>
          <w:ilvl w:val="0"/>
          <w:numId w:val="17"/>
        </w:numPr>
        <w:tabs>
          <w:tab w:val="left" w:pos="-51"/>
        </w:tabs>
        <w:spacing w:line="360" w:lineRule="auto"/>
        <w:jc w:val="both"/>
        <w:rPr>
          <w:rFonts w:cs="David"/>
          <w:sz w:val="24"/>
          <w:szCs w:val="24"/>
        </w:rPr>
      </w:pPr>
      <w:r>
        <w:rPr>
          <w:rFonts w:cs="David" w:hint="cs"/>
          <w:sz w:val="24"/>
          <w:szCs w:val="24"/>
          <w:rtl/>
        </w:rPr>
        <w:t xml:space="preserve">ההחרגה המוצעת מבוססת על סמכות השרים לעניין הגדרת </w:t>
      </w:r>
      <w:r w:rsidR="00237C72">
        <w:rPr>
          <w:rFonts w:cs="David" w:hint="cs"/>
          <w:sz w:val="24"/>
          <w:szCs w:val="24"/>
          <w:rtl/>
        </w:rPr>
        <w:t>"חברת שכבה</w:t>
      </w:r>
      <w:r w:rsidR="00D064A9">
        <w:rPr>
          <w:rFonts w:cs="David" w:hint="cs"/>
          <w:sz w:val="24"/>
          <w:szCs w:val="24"/>
          <w:rtl/>
        </w:rPr>
        <w:t xml:space="preserve">" בחוק - </w:t>
      </w:r>
    </w:p>
    <w:p w:rsidR="00237C72" w:rsidRPr="00D064A9" w:rsidRDefault="00237C72" w:rsidP="00571787">
      <w:pPr>
        <w:tabs>
          <w:tab w:val="left" w:pos="-51"/>
        </w:tabs>
        <w:ind w:left="357"/>
        <w:jc w:val="both"/>
        <w:rPr>
          <w:rFonts w:cs="David"/>
          <w:sz w:val="24"/>
          <w:szCs w:val="24"/>
          <w:rtl/>
        </w:rPr>
      </w:pPr>
    </w:p>
    <w:p w:rsidR="00D064A9" w:rsidRDefault="00D064A9" w:rsidP="00D064A9">
      <w:pPr>
        <w:tabs>
          <w:tab w:val="left" w:pos="-51"/>
        </w:tabs>
        <w:spacing w:line="360" w:lineRule="auto"/>
        <w:ind w:left="720" w:right="567"/>
        <w:jc w:val="both"/>
        <w:rPr>
          <w:rFonts w:cs="David"/>
          <w:sz w:val="24"/>
          <w:szCs w:val="24"/>
          <w:rtl/>
        </w:rPr>
      </w:pPr>
      <w:r w:rsidRPr="00D064A9">
        <w:rPr>
          <w:rFonts w:cs="David" w:hint="cs"/>
          <w:sz w:val="24"/>
          <w:szCs w:val="24"/>
          <w:rtl/>
        </w:rPr>
        <w:t xml:space="preserve">"חברת שכבה" </w:t>
      </w:r>
      <w:r w:rsidRPr="00D064A9">
        <w:rPr>
          <w:rFonts w:cs="David"/>
          <w:sz w:val="24"/>
          <w:szCs w:val="24"/>
          <w:rtl/>
        </w:rPr>
        <w:t>–</w:t>
      </w:r>
      <w:r w:rsidRPr="00D064A9">
        <w:rPr>
          <w:rFonts w:cs="David" w:hint="cs"/>
          <w:sz w:val="24"/>
          <w:szCs w:val="24"/>
          <w:rtl/>
        </w:rPr>
        <w:t xml:space="preserve"> חברה או חברת חוץ שהן תאגיד מדווח, </w:t>
      </w:r>
      <w:r w:rsidRPr="00D064A9">
        <w:rPr>
          <w:rFonts w:cs="David" w:hint="cs"/>
          <w:b/>
          <w:bCs/>
          <w:sz w:val="24"/>
          <w:szCs w:val="24"/>
          <w:u w:val="single"/>
          <w:rtl/>
        </w:rPr>
        <w:t xml:space="preserve">למעט חברה או חברת חוץ שאין אינטרס ציבורי </w:t>
      </w:r>
      <w:r w:rsidRPr="00D064A9">
        <w:rPr>
          <w:rFonts w:cs="David" w:hint="eastAsia"/>
          <w:b/>
          <w:bCs/>
          <w:sz w:val="24"/>
          <w:szCs w:val="24"/>
          <w:u w:val="single"/>
          <w:rtl/>
        </w:rPr>
        <w:t>לסווג</w:t>
      </w:r>
      <w:r w:rsidRPr="00D064A9">
        <w:rPr>
          <w:rFonts w:cs="David"/>
          <w:b/>
          <w:bCs/>
          <w:sz w:val="24"/>
          <w:szCs w:val="24"/>
          <w:u w:val="single"/>
          <w:rtl/>
        </w:rPr>
        <w:t xml:space="preserve"> </w:t>
      </w:r>
      <w:r w:rsidRPr="00D064A9">
        <w:rPr>
          <w:rFonts w:cs="David" w:hint="eastAsia"/>
          <w:b/>
          <w:bCs/>
          <w:sz w:val="24"/>
          <w:szCs w:val="24"/>
          <w:u w:val="single"/>
          <w:rtl/>
        </w:rPr>
        <w:t>אות</w:t>
      </w:r>
      <w:r w:rsidRPr="00D064A9">
        <w:rPr>
          <w:rFonts w:cs="David" w:hint="cs"/>
          <w:b/>
          <w:bCs/>
          <w:sz w:val="24"/>
          <w:szCs w:val="24"/>
          <w:u w:val="single"/>
          <w:rtl/>
        </w:rPr>
        <w:t>ה</w:t>
      </w:r>
      <w:r w:rsidRPr="00D064A9">
        <w:rPr>
          <w:rFonts w:cs="David"/>
          <w:b/>
          <w:bCs/>
          <w:sz w:val="24"/>
          <w:szCs w:val="24"/>
          <w:u w:val="single"/>
          <w:rtl/>
        </w:rPr>
        <w:t xml:space="preserve"> </w:t>
      </w:r>
      <w:r w:rsidRPr="00D064A9">
        <w:rPr>
          <w:rFonts w:cs="David" w:hint="eastAsia"/>
          <w:b/>
          <w:bCs/>
          <w:sz w:val="24"/>
          <w:szCs w:val="24"/>
          <w:u w:val="single"/>
          <w:rtl/>
        </w:rPr>
        <w:t>כחברת</w:t>
      </w:r>
      <w:r w:rsidRPr="00D064A9">
        <w:rPr>
          <w:rFonts w:cs="David"/>
          <w:b/>
          <w:bCs/>
          <w:sz w:val="24"/>
          <w:szCs w:val="24"/>
          <w:u w:val="single"/>
          <w:rtl/>
        </w:rPr>
        <w:t xml:space="preserve"> </w:t>
      </w:r>
      <w:r w:rsidRPr="00D064A9">
        <w:rPr>
          <w:rFonts w:cs="David" w:hint="eastAsia"/>
          <w:b/>
          <w:bCs/>
          <w:sz w:val="24"/>
          <w:szCs w:val="24"/>
          <w:u w:val="single"/>
          <w:rtl/>
        </w:rPr>
        <w:t>שכבה</w:t>
      </w:r>
      <w:r w:rsidRPr="00D064A9">
        <w:rPr>
          <w:rFonts w:cs="David" w:hint="cs"/>
          <w:b/>
          <w:bCs/>
          <w:sz w:val="24"/>
          <w:szCs w:val="24"/>
          <w:u w:val="single"/>
          <w:rtl/>
        </w:rPr>
        <w:t xml:space="preserve"> </w:t>
      </w:r>
      <w:r w:rsidRPr="00D064A9">
        <w:rPr>
          <w:rFonts w:cs="David" w:hint="eastAsia"/>
          <w:b/>
          <w:bCs/>
          <w:sz w:val="24"/>
          <w:szCs w:val="24"/>
          <w:u w:val="single"/>
          <w:rtl/>
        </w:rPr>
        <w:t>והיא</w:t>
      </w:r>
      <w:r w:rsidRPr="00D064A9">
        <w:rPr>
          <w:rFonts w:cs="David"/>
          <w:b/>
          <w:bCs/>
          <w:sz w:val="24"/>
          <w:szCs w:val="24"/>
          <w:u w:val="single"/>
          <w:rtl/>
        </w:rPr>
        <w:t xml:space="preserve"> </w:t>
      </w:r>
      <w:r w:rsidRPr="00D064A9">
        <w:rPr>
          <w:rFonts w:cs="David" w:hint="eastAsia"/>
          <w:b/>
          <w:bCs/>
          <w:sz w:val="24"/>
          <w:szCs w:val="24"/>
          <w:u w:val="single"/>
          <w:rtl/>
        </w:rPr>
        <w:t>מ</w:t>
      </w:r>
      <w:r w:rsidRPr="00D064A9">
        <w:rPr>
          <w:rFonts w:cs="David" w:hint="cs"/>
          <w:b/>
          <w:bCs/>
          <w:sz w:val="24"/>
          <w:szCs w:val="24"/>
          <w:u w:val="single"/>
          <w:rtl/>
        </w:rPr>
        <w:t>סוג שקבעו שר המשפטים ושר האוצר, בהתייעצות עם רשות ניירות ערך ובאישור ועדת הכספים של הכנסת</w:t>
      </w:r>
      <w:r w:rsidRPr="00D064A9">
        <w:rPr>
          <w:rFonts w:cs="David" w:hint="cs"/>
          <w:sz w:val="24"/>
          <w:szCs w:val="24"/>
          <w:rtl/>
        </w:rPr>
        <w:t xml:space="preserve">; </w:t>
      </w:r>
      <w:r w:rsidRPr="00D064A9">
        <w:rPr>
          <w:rFonts w:cs="David" w:hint="eastAsia"/>
          <w:sz w:val="24"/>
          <w:szCs w:val="24"/>
          <w:rtl/>
        </w:rPr>
        <w:t>לעניין</w:t>
      </w:r>
      <w:r w:rsidRPr="00D064A9">
        <w:rPr>
          <w:rFonts w:cs="David"/>
          <w:sz w:val="24"/>
          <w:szCs w:val="24"/>
          <w:rtl/>
        </w:rPr>
        <w:t xml:space="preserve"> </w:t>
      </w:r>
      <w:r w:rsidRPr="00D064A9">
        <w:rPr>
          <w:rFonts w:cs="David" w:hint="eastAsia"/>
          <w:sz w:val="24"/>
          <w:szCs w:val="24"/>
          <w:rtl/>
        </w:rPr>
        <w:t>זה</w:t>
      </w:r>
      <w:r w:rsidRPr="00D064A9">
        <w:rPr>
          <w:rFonts w:cs="David"/>
          <w:sz w:val="24"/>
          <w:szCs w:val="24"/>
          <w:rtl/>
        </w:rPr>
        <w:t>,</w:t>
      </w:r>
      <w:r w:rsidRPr="00D064A9">
        <w:rPr>
          <w:rFonts w:cs="David" w:hint="cs"/>
          <w:sz w:val="24"/>
          <w:szCs w:val="24"/>
          <w:rtl/>
        </w:rPr>
        <w:t xml:space="preserve"> יראו חברת איגרות חוב שהיא תאגיד מדווח כחברת שכבה;</w:t>
      </w:r>
    </w:p>
    <w:p w:rsidR="00654B7C" w:rsidRDefault="00654B7C" w:rsidP="00571787">
      <w:pPr>
        <w:tabs>
          <w:tab w:val="left" w:pos="-51"/>
        </w:tabs>
        <w:ind w:left="357"/>
        <w:jc w:val="both"/>
        <w:rPr>
          <w:rFonts w:cs="David"/>
          <w:sz w:val="24"/>
          <w:szCs w:val="24"/>
          <w:rtl/>
        </w:rPr>
      </w:pPr>
    </w:p>
    <w:p w:rsidR="00654B7C" w:rsidRDefault="00654B7C" w:rsidP="002501E9">
      <w:pPr>
        <w:numPr>
          <w:ilvl w:val="0"/>
          <w:numId w:val="17"/>
        </w:numPr>
        <w:tabs>
          <w:tab w:val="left" w:pos="-51"/>
        </w:tabs>
        <w:spacing w:line="360" w:lineRule="auto"/>
        <w:jc w:val="both"/>
        <w:rPr>
          <w:rFonts w:cs="David"/>
          <w:sz w:val="24"/>
          <w:szCs w:val="24"/>
        </w:rPr>
      </w:pPr>
      <w:r>
        <w:rPr>
          <w:rFonts w:cs="David" w:hint="cs"/>
          <w:sz w:val="24"/>
          <w:szCs w:val="24"/>
          <w:rtl/>
        </w:rPr>
        <w:lastRenderedPageBreak/>
        <w:t>כלומר, שר המשפטים ושר האוצר רשאים לקבוע כי חברה שהיא תאגיד מדווח לא תחשב לחברת שכבה, ולכן לא יחולו עליה ועל השליטה בה המגבלות לפי פרק זה, אם מצאו שאין אינטרס ציבורי בסיווגה כחברת שכבה.</w:t>
      </w:r>
    </w:p>
    <w:p w:rsidR="00E91845" w:rsidRDefault="00E91845" w:rsidP="00571787">
      <w:pPr>
        <w:tabs>
          <w:tab w:val="left" w:pos="-51"/>
        </w:tabs>
        <w:ind w:left="357"/>
        <w:jc w:val="both"/>
        <w:rPr>
          <w:rFonts w:cs="David"/>
          <w:sz w:val="24"/>
          <w:szCs w:val="24"/>
          <w:rtl/>
        </w:rPr>
      </w:pPr>
    </w:p>
    <w:p w:rsidR="00E91845" w:rsidRDefault="00E91845" w:rsidP="0092572D">
      <w:pPr>
        <w:numPr>
          <w:ilvl w:val="0"/>
          <w:numId w:val="17"/>
        </w:numPr>
        <w:spacing w:line="360" w:lineRule="auto"/>
        <w:jc w:val="both"/>
        <w:rPr>
          <w:rFonts w:cs="David"/>
          <w:sz w:val="24"/>
          <w:szCs w:val="24"/>
        </w:rPr>
      </w:pPr>
      <w:r>
        <w:rPr>
          <w:rFonts w:cs="David" w:hint="cs"/>
          <w:sz w:val="24"/>
          <w:szCs w:val="24"/>
          <w:rtl/>
        </w:rPr>
        <w:t xml:space="preserve">מוצע לקבוע </w:t>
      </w:r>
      <w:r w:rsidR="00550D5D">
        <w:rPr>
          <w:rFonts w:cs="David" w:hint="cs"/>
          <w:sz w:val="24"/>
          <w:szCs w:val="24"/>
          <w:rtl/>
        </w:rPr>
        <w:t xml:space="preserve">פטור מתחולת החוק </w:t>
      </w:r>
      <w:r w:rsidR="00133127">
        <w:rPr>
          <w:rFonts w:cs="David" w:hint="cs"/>
          <w:sz w:val="24"/>
          <w:szCs w:val="24"/>
          <w:rtl/>
        </w:rPr>
        <w:t>בנוגע ל</w:t>
      </w:r>
      <w:r>
        <w:rPr>
          <w:rFonts w:cs="David" w:hint="cs"/>
          <w:sz w:val="24"/>
          <w:szCs w:val="24"/>
          <w:rtl/>
        </w:rPr>
        <w:t>שלושה סוגי</w:t>
      </w:r>
      <w:r w:rsidR="00550D5D">
        <w:rPr>
          <w:rFonts w:cs="David" w:hint="cs"/>
          <w:sz w:val="24"/>
          <w:szCs w:val="24"/>
          <w:rtl/>
        </w:rPr>
        <w:t xml:space="preserve">ם של </w:t>
      </w:r>
      <w:r>
        <w:rPr>
          <w:rFonts w:cs="David" w:hint="cs"/>
          <w:sz w:val="24"/>
          <w:szCs w:val="24"/>
          <w:rtl/>
        </w:rPr>
        <w:t>חברות אגרות חוב</w:t>
      </w:r>
      <w:r w:rsidR="00FE35E3">
        <w:rPr>
          <w:rFonts w:cs="David" w:hint="cs"/>
          <w:sz w:val="24"/>
          <w:szCs w:val="24"/>
          <w:rtl/>
        </w:rPr>
        <w:t xml:space="preserve">, כך שלא </w:t>
      </w:r>
      <w:r w:rsidR="0092572D">
        <w:rPr>
          <w:rFonts w:cs="David" w:hint="cs"/>
          <w:sz w:val="24"/>
          <w:szCs w:val="24"/>
          <w:rtl/>
        </w:rPr>
        <w:t>יסווגו</w:t>
      </w:r>
      <w:r>
        <w:rPr>
          <w:rFonts w:cs="David" w:hint="cs"/>
          <w:sz w:val="24"/>
          <w:szCs w:val="24"/>
          <w:rtl/>
        </w:rPr>
        <w:t xml:space="preserve"> </w:t>
      </w:r>
      <w:r w:rsidR="007128F8">
        <w:rPr>
          <w:rFonts w:cs="David" w:hint="cs"/>
          <w:sz w:val="24"/>
          <w:szCs w:val="24"/>
          <w:rtl/>
        </w:rPr>
        <w:t>כ</w:t>
      </w:r>
      <w:r>
        <w:rPr>
          <w:rFonts w:cs="David" w:hint="cs"/>
          <w:sz w:val="24"/>
          <w:szCs w:val="24"/>
          <w:rtl/>
        </w:rPr>
        <w:t>חברות שכבה</w:t>
      </w:r>
      <w:r w:rsidR="00133127">
        <w:rPr>
          <w:rFonts w:cs="David" w:hint="cs"/>
          <w:sz w:val="24"/>
          <w:szCs w:val="24"/>
          <w:rtl/>
        </w:rPr>
        <w:t>:</w:t>
      </w:r>
    </w:p>
    <w:p w:rsidR="00EA7A67" w:rsidRPr="007128F8" w:rsidRDefault="00EA7A67" w:rsidP="00571787">
      <w:pPr>
        <w:tabs>
          <w:tab w:val="left" w:pos="-51"/>
        </w:tabs>
        <w:ind w:left="357"/>
        <w:jc w:val="both"/>
        <w:rPr>
          <w:rFonts w:cs="David"/>
          <w:sz w:val="24"/>
          <w:szCs w:val="24"/>
        </w:rPr>
      </w:pPr>
    </w:p>
    <w:p w:rsidR="00EA7A67" w:rsidRDefault="00EA7A67" w:rsidP="00783E51">
      <w:pPr>
        <w:numPr>
          <w:ilvl w:val="1"/>
          <w:numId w:val="4"/>
        </w:numPr>
        <w:tabs>
          <w:tab w:val="clear" w:pos="1080"/>
          <w:tab w:val="num" w:pos="799"/>
        </w:tabs>
        <w:spacing w:line="360" w:lineRule="auto"/>
        <w:ind w:left="799" w:hanging="284"/>
        <w:jc w:val="both"/>
        <w:rPr>
          <w:rFonts w:cs="David"/>
          <w:sz w:val="24"/>
          <w:szCs w:val="24"/>
        </w:rPr>
      </w:pPr>
      <w:r w:rsidRPr="00E6533E">
        <w:rPr>
          <w:rFonts w:cs="David" w:hint="cs"/>
          <w:sz w:val="24"/>
          <w:szCs w:val="24"/>
          <w:u w:val="single"/>
          <w:rtl/>
        </w:rPr>
        <w:t>חברות המנפיקות מוצרי מדדים (תעודות סל).</w:t>
      </w:r>
      <w:r w:rsidRPr="00EA7A67">
        <w:rPr>
          <w:rFonts w:cs="David" w:hint="cs"/>
          <w:sz w:val="24"/>
          <w:szCs w:val="24"/>
          <w:rtl/>
        </w:rPr>
        <w:t xml:space="preserve"> </w:t>
      </w:r>
      <w:r w:rsidR="00783E51">
        <w:rPr>
          <w:rFonts w:cs="David" w:hint="cs"/>
          <w:sz w:val="24"/>
          <w:szCs w:val="24"/>
          <w:rtl/>
        </w:rPr>
        <w:t xml:space="preserve">תעודת סל היא מכשיר פיננסי, אשר לעתיד לבוא יתנהל </w:t>
      </w:r>
      <w:proofErr w:type="spellStart"/>
      <w:r w:rsidR="00783E51">
        <w:rPr>
          <w:rFonts w:cs="David" w:hint="cs"/>
          <w:sz w:val="24"/>
          <w:szCs w:val="24"/>
          <w:rtl/>
        </w:rPr>
        <w:t>ויפוקח</w:t>
      </w:r>
      <w:proofErr w:type="spellEnd"/>
      <w:r w:rsidR="00783E51">
        <w:rPr>
          <w:rFonts w:cs="David" w:hint="cs"/>
          <w:sz w:val="24"/>
          <w:szCs w:val="24"/>
          <w:rtl/>
        </w:rPr>
        <w:t xml:space="preserve"> בדומה לקרן נאמנות. תעודת הסל עוקבת אחר נכס בסיס (כגון מדדים שונים). חברת אג"ח מנפיקה איגרות חוב שמגלמות את ההתחייבות כי כספי מחזיקי </w:t>
      </w:r>
      <w:proofErr w:type="spellStart"/>
      <w:r w:rsidR="00783E51">
        <w:rPr>
          <w:rFonts w:cs="David" w:hint="cs"/>
          <w:sz w:val="24"/>
          <w:szCs w:val="24"/>
          <w:rtl/>
        </w:rPr>
        <w:t>האג"ח</w:t>
      </w:r>
      <w:proofErr w:type="spellEnd"/>
      <w:r w:rsidR="00783E51">
        <w:rPr>
          <w:rFonts w:cs="David" w:hint="cs"/>
          <w:sz w:val="24"/>
          <w:szCs w:val="24"/>
          <w:rtl/>
        </w:rPr>
        <w:t xml:space="preserve"> יושקעו באופן האמור, כך שבפדיון </w:t>
      </w:r>
      <w:proofErr w:type="spellStart"/>
      <w:r w:rsidR="00783E51">
        <w:rPr>
          <w:rFonts w:cs="David" w:hint="cs"/>
          <w:sz w:val="24"/>
          <w:szCs w:val="24"/>
          <w:rtl/>
        </w:rPr>
        <w:t>האג"ח</w:t>
      </w:r>
      <w:proofErr w:type="spellEnd"/>
      <w:r w:rsidR="00783E51">
        <w:rPr>
          <w:rFonts w:cs="David" w:hint="cs"/>
          <w:sz w:val="24"/>
          <w:szCs w:val="24"/>
          <w:rtl/>
        </w:rPr>
        <w:t xml:space="preserve"> יתקבל רווח או הפסד לפי השינוי בנכס הבסיס.</w:t>
      </w:r>
      <w:r w:rsidR="00BF6FCE">
        <w:rPr>
          <w:rFonts w:cs="David" w:hint="cs"/>
          <w:sz w:val="24"/>
          <w:szCs w:val="24"/>
          <w:rtl/>
        </w:rPr>
        <w:t xml:space="preserve"> </w:t>
      </w:r>
    </w:p>
    <w:p w:rsidR="0097522F" w:rsidRDefault="0097522F" w:rsidP="00571787">
      <w:pPr>
        <w:tabs>
          <w:tab w:val="left" w:pos="-51"/>
        </w:tabs>
        <w:ind w:left="357"/>
        <w:jc w:val="both"/>
        <w:rPr>
          <w:rFonts w:cs="David"/>
          <w:sz w:val="24"/>
          <w:szCs w:val="24"/>
          <w:rtl/>
        </w:rPr>
      </w:pPr>
    </w:p>
    <w:p w:rsidR="00BF6FCE" w:rsidRDefault="00BF6FCE" w:rsidP="00BF6FCE">
      <w:pPr>
        <w:spacing w:line="360" w:lineRule="auto"/>
        <w:ind w:left="799"/>
        <w:jc w:val="both"/>
        <w:rPr>
          <w:rFonts w:cs="David"/>
          <w:sz w:val="24"/>
          <w:szCs w:val="24"/>
        </w:rPr>
      </w:pPr>
      <w:r>
        <w:rPr>
          <w:rFonts w:cs="David" w:hint="cs"/>
          <w:sz w:val="24"/>
          <w:szCs w:val="24"/>
          <w:rtl/>
        </w:rPr>
        <w:t xml:space="preserve">הגופים הפיננסיים מנהלים מוצרי מדדים באמצעות מספר חברות בנות נפרדות, אשר כל אחת מהן הנפיקה מוצרים לציבור. חברות אלה מנוהלות באמצעות הגוף הפיננסי ואין בהן כל פעילות מלבד מעקב אחר ההתחייבות </w:t>
      </w:r>
      <w:proofErr w:type="spellStart"/>
      <w:r>
        <w:rPr>
          <w:rFonts w:cs="David" w:hint="cs"/>
          <w:sz w:val="24"/>
          <w:szCs w:val="24"/>
          <w:rtl/>
        </w:rPr>
        <w:t>התשקיפית</w:t>
      </w:r>
      <w:proofErr w:type="spellEnd"/>
      <w:r>
        <w:rPr>
          <w:rFonts w:cs="David" w:hint="cs"/>
          <w:sz w:val="24"/>
          <w:szCs w:val="24"/>
          <w:rtl/>
        </w:rPr>
        <w:t xml:space="preserve"> לגבי ההשקעה, וכך נותר מרווח שיקול דעת מצומצם ביותר. </w:t>
      </w:r>
    </w:p>
    <w:p w:rsidR="00EA7A67" w:rsidRDefault="00EA7A67" w:rsidP="00571787">
      <w:pPr>
        <w:tabs>
          <w:tab w:val="left" w:pos="-51"/>
        </w:tabs>
        <w:ind w:left="357"/>
        <w:jc w:val="both"/>
        <w:rPr>
          <w:rFonts w:cs="David"/>
          <w:sz w:val="24"/>
          <w:szCs w:val="24"/>
          <w:rtl/>
        </w:rPr>
      </w:pPr>
    </w:p>
    <w:p w:rsidR="00AC4DCC" w:rsidRDefault="001F3FE3" w:rsidP="001F3FE3">
      <w:pPr>
        <w:spacing w:line="360" w:lineRule="auto"/>
        <w:ind w:left="799"/>
        <w:jc w:val="both"/>
        <w:rPr>
          <w:rFonts w:cs="David"/>
          <w:sz w:val="24"/>
          <w:szCs w:val="24"/>
          <w:rtl/>
        </w:rPr>
      </w:pPr>
      <w:r>
        <w:rPr>
          <w:rFonts w:cs="David" w:hint="cs"/>
          <w:sz w:val="24"/>
          <w:szCs w:val="24"/>
          <w:rtl/>
        </w:rPr>
        <w:t xml:space="preserve">כאמור, </w:t>
      </w:r>
      <w:r w:rsidR="00AC4DCC">
        <w:rPr>
          <w:rFonts w:cs="David" w:hint="cs"/>
          <w:sz w:val="24"/>
          <w:szCs w:val="24"/>
          <w:rtl/>
        </w:rPr>
        <w:t>חברות אלה קיבלו הקלות מתיקון 17 נוכח מאפייניה</w:t>
      </w:r>
      <w:r>
        <w:rPr>
          <w:rFonts w:cs="David" w:hint="cs"/>
          <w:sz w:val="24"/>
          <w:szCs w:val="24"/>
          <w:rtl/>
        </w:rPr>
        <w:t>ן</w:t>
      </w:r>
      <w:r w:rsidR="00AC4DCC">
        <w:rPr>
          <w:rFonts w:cs="David" w:hint="cs"/>
          <w:sz w:val="24"/>
          <w:szCs w:val="24"/>
          <w:rtl/>
        </w:rPr>
        <w:t xml:space="preserve"> הייחודיים. מאפיינים אלה מצדיקים גם שחברות אלה לא יחש</w:t>
      </w:r>
      <w:r>
        <w:rPr>
          <w:rFonts w:cs="David" w:hint="cs"/>
          <w:sz w:val="24"/>
          <w:szCs w:val="24"/>
          <w:rtl/>
        </w:rPr>
        <w:t>בו לחברת שכבה, שכן השקעת הציבור</w:t>
      </w:r>
      <w:r w:rsidR="00AC4DCC">
        <w:rPr>
          <w:rFonts w:cs="David" w:hint="cs"/>
          <w:sz w:val="24"/>
          <w:szCs w:val="24"/>
          <w:rtl/>
        </w:rPr>
        <w:t xml:space="preserve"> אינה חוב רגיל אלא השקעה פיננסית</w:t>
      </w:r>
      <w:r>
        <w:rPr>
          <w:rFonts w:cs="David" w:hint="cs"/>
          <w:sz w:val="24"/>
          <w:szCs w:val="24"/>
          <w:rtl/>
        </w:rPr>
        <w:t xml:space="preserve"> המנוהלת בשיקול דעת מצומצם</w:t>
      </w:r>
      <w:r w:rsidR="00AC4DCC">
        <w:rPr>
          <w:rFonts w:cs="David" w:hint="cs"/>
          <w:sz w:val="24"/>
          <w:szCs w:val="24"/>
          <w:rtl/>
        </w:rPr>
        <w:t>.</w:t>
      </w:r>
    </w:p>
    <w:p w:rsidR="0010283A" w:rsidRPr="00EA7A67" w:rsidRDefault="0010283A" w:rsidP="00571787">
      <w:pPr>
        <w:tabs>
          <w:tab w:val="left" w:pos="-51"/>
        </w:tabs>
        <w:ind w:left="357"/>
        <w:jc w:val="both"/>
        <w:rPr>
          <w:rFonts w:cs="David"/>
          <w:sz w:val="24"/>
          <w:szCs w:val="24"/>
        </w:rPr>
      </w:pPr>
    </w:p>
    <w:p w:rsidR="00EA7A67" w:rsidRDefault="00EA7A67" w:rsidP="0010283A">
      <w:pPr>
        <w:numPr>
          <w:ilvl w:val="1"/>
          <w:numId w:val="4"/>
        </w:numPr>
        <w:tabs>
          <w:tab w:val="clear" w:pos="1080"/>
          <w:tab w:val="num" w:pos="799"/>
        </w:tabs>
        <w:spacing w:line="360" w:lineRule="auto"/>
        <w:ind w:left="799" w:hanging="284"/>
        <w:jc w:val="both"/>
        <w:rPr>
          <w:rFonts w:cs="David"/>
          <w:sz w:val="24"/>
          <w:szCs w:val="24"/>
        </w:rPr>
      </w:pPr>
      <w:r w:rsidRPr="00E6533E">
        <w:rPr>
          <w:rFonts w:cs="David" w:hint="cs"/>
          <w:sz w:val="24"/>
          <w:szCs w:val="24"/>
          <w:u w:val="single"/>
          <w:rtl/>
        </w:rPr>
        <w:t>חברות המנפיקות מוצרים מובנים (</w:t>
      </w:r>
      <w:proofErr w:type="spellStart"/>
      <w:r w:rsidRPr="00E6533E">
        <w:rPr>
          <w:rFonts w:cs="David" w:hint="cs"/>
          <w:sz w:val="24"/>
          <w:szCs w:val="24"/>
          <w:u w:val="single"/>
          <w:rtl/>
        </w:rPr>
        <w:t>סטרקצ'רים</w:t>
      </w:r>
      <w:proofErr w:type="spellEnd"/>
      <w:r w:rsidRPr="00E6533E">
        <w:rPr>
          <w:rFonts w:cs="David" w:hint="cs"/>
          <w:sz w:val="24"/>
          <w:szCs w:val="24"/>
          <w:u w:val="single"/>
          <w:rtl/>
        </w:rPr>
        <w:t>).</w:t>
      </w:r>
      <w:r w:rsidR="0097522F">
        <w:rPr>
          <w:rFonts w:cs="David" w:hint="cs"/>
          <w:sz w:val="24"/>
          <w:szCs w:val="24"/>
          <w:rtl/>
        </w:rPr>
        <w:t xml:space="preserve"> </w:t>
      </w:r>
      <w:r w:rsidR="007128F8">
        <w:rPr>
          <w:rFonts w:cs="David" w:hint="cs"/>
          <w:sz w:val="24"/>
          <w:szCs w:val="24"/>
          <w:rtl/>
        </w:rPr>
        <w:t xml:space="preserve">זהו </w:t>
      </w:r>
      <w:r w:rsidR="0097522F">
        <w:rPr>
          <w:rFonts w:cs="David" w:hint="cs"/>
          <w:sz w:val="24"/>
          <w:szCs w:val="24"/>
          <w:rtl/>
        </w:rPr>
        <w:t>מכשיר פיננסי, אשר בשנים האחרונות הפסיקה רשות ני"ע את השימוש בו</w:t>
      </w:r>
      <w:r w:rsidR="000D576A">
        <w:rPr>
          <w:rFonts w:cs="David" w:hint="cs"/>
          <w:sz w:val="24"/>
          <w:szCs w:val="24"/>
          <w:rtl/>
        </w:rPr>
        <w:t>. הוא פועל באמצעות חברת אג"ח המגייסת כספים מהציבור ומשקיעה אותם בדרכים לגביהן התחייבה החברה בתשקיף. לעיתים מדובר בהשקעה מוצרים כגון אגרות חוב שרק גופים מוסדיים יכולים לרכוש ואינם פתוחים להשקעה ישירה של משקיעים פרטיים.</w:t>
      </w:r>
    </w:p>
    <w:p w:rsidR="00FA6ABB" w:rsidRDefault="00FA6ABB" w:rsidP="000D576A">
      <w:pPr>
        <w:spacing w:line="360" w:lineRule="auto"/>
        <w:ind w:left="799"/>
        <w:jc w:val="both"/>
        <w:rPr>
          <w:rFonts w:cs="David"/>
          <w:sz w:val="24"/>
          <w:szCs w:val="24"/>
          <w:rtl/>
        </w:rPr>
      </w:pPr>
    </w:p>
    <w:p w:rsidR="000D576A" w:rsidRPr="000D576A" w:rsidRDefault="000D576A" w:rsidP="000D576A">
      <w:pPr>
        <w:spacing w:line="360" w:lineRule="auto"/>
        <w:ind w:left="799"/>
        <w:jc w:val="both"/>
        <w:rPr>
          <w:rFonts w:cs="David"/>
          <w:sz w:val="24"/>
          <w:szCs w:val="24"/>
        </w:rPr>
      </w:pPr>
      <w:r w:rsidRPr="000D576A">
        <w:rPr>
          <w:rFonts w:cs="David" w:hint="cs"/>
          <w:sz w:val="24"/>
          <w:szCs w:val="24"/>
          <w:rtl/>
        </w:rPr>
        <w:t xml:space="preserve">מידת שיקול הדעת של החברה המנפיקה בניהול ההשקעה משתנה, לעתים </w:t>
      </w:r>
      <w:r w:rsidR="007128F8">
        <w:rPr>
          <w:rFonts w:cs="David" w:hint="cs"/>
          <w:sz w:val="24"/>
          <w:szCs w:val="24"/>
          <w:rtl/>
        </w:rPr>
        <w:t xml:space="preserve">הוא </w:t>
      </w:r>
      <w:r w:rsidRPr="000D576A">
        <w:rPr>
          <w:rFonts w:cs="David" w:hint="cs"/>
          <w:sz w:val="24"/>
          <w:szCs w:val="24"/>
          <w:rtl/>
        </w:rPr>
        <w:t xml:space="preserve">מצומצם ולעתים </w:t>
      </w:r>
      <w:r w:rsidR="007128F8">
        <w:rPr>
          <w:rFonts w:cs="David" w:hint="cs"/>
          <w:sz w:val="24"/>
          <w:szCs w:val="24"/>
          <w:rtl/>
        </w:rPr>
        <w:t xml:space="preserve">הוא </w:t>
      </w:r>
      <w:r w:rsidRPr="000D576A">
        <w:rPr>
          <w:rFonts w:cs="David" w:hint="cs"/>
          <w:sz w:val="24"/>
          <w:szCs w:val="24"/>
          <w:rtl/>
        </w:rPr>
        <w:t xml:space="preserve">רחב יותר. בכל מקרה אין פעילות ריאלית במסגרת זו אלא מדובר כאמור במכשיר פיננסי המקביל </w:t>
      </w:r>
      <w:proofErr w:type="spellStart"/>
      <w:r w:rsidRPr="000D576A">
        <w:rPr>
          <w:rFonts w:cs="David" w:hint="cs"/>
          <w:sz w:val="24"/>
          <w:szCs w:val="24"/>
          <w:rtl/>
        </w:rPr>
        <w:t>לפקדונות</w:t>
      </w:r>
      <w:proofErr w:type="spellEnd"/>
      <w:r w:rsidRPr="000D576A">
        <w:rPr>
          <w:rFonts w:cs="David" w:hint="cs"/>
          <w:sz w:val="24"/>
          <w:szCs w:val="24"/>
          <w:rtl/>
        </w:rPr>
        <w:t xml:space="preserve"> מובנים בבנקים, קרנות נאמנות וכד'.</w:t>
      </w:r>
    </w:p>
    <w:p w:rsidR="001F3FE3" w:rsidRDefault="001F3FE3" w:rsidP="00571787">
      <w:pPr>
        <w:tabs>
          <w:tab w:val="left" w:pos="-51"/>
        </w:tabs>
        <w:ind w:left="357"/>
        <w:jc w:val="both"/>
        <w:rPr>
          <w:rFonts w:cs="David"/>
          <w:sz w:val="24"/>
          <w:szCs w:val="24"/>
          <w:rtl/>
        </w:rPr>
      </w:pPr>
    </w:p>
    <w:p w:rsidR="001F3FE3" w:rsidRPr="00EA7A67" w:rsidRDefault="001F3FE3" w:rsidP="0041553D">
      <w:pPr>
        <w:spacing w:line="360" w:lineRule="auto"/>
        <w:ind w:left="799"/>
        <w:jc w:val="both"/>
        <w:rPr>
          <w:rFonts w:cs="David"/>
          <w:sz w:val="24"/>
          <w:szCs w:val="24"/>
        </w:rPr>
      </w:pPr>
      <w:r>
        <w:rPr>
          <w:rFonts w:cs="David" w:hint="cs"/>
          <w:sz w:val="24"/>
          <w:szCs w:val="24"/>
          <w:rtl/>
        </w:rPr>
        <w:t>גם חברות אלה קיבלו הקלות מתיקון 17 נוכח מאפייניהן הייחודיים. מאפיינים אלה מצדיקים גם שחברות אלה לא יחשבו לחברת שכבה, שכן השקעת הציבור בהן אינה חוב רגיל אלא השקעה פיננסית</w:t>
      </w:r>
      <w:r w:rsidR="0010283A">
        <w:rPr>
          <w:rFonts w:cs="David" w:hint="cs"/>
          <w:sz w:val="24"/>
          <w:szCs w:val="24"/>
          <w:rtl/>
        </w:rPr>
        <w:t>.</w:t>
      </w:r>
    </w:p>
    <w:p w:rsidR="00EA7A67" w:rsidRPr="001F3FE3" w:rsidRDefault="00EA7A67" w:rsidP="00571787">
      <w:pPr>
        <w:tabs>
          <w:tab w:val="left" w:pos="-51"/>
        </w:tabs>
        <w:ind w:left="357"/>
        <w:jc w:val="both"/>
        <w:rPr>
          <w:rFonts w:cs="David"/>
          <w:sz w:val="24"/>
          <w:szCs w:val="24"/>
        </w:rPr>
      </w:pPr>
    </w:p>
    <w:p w:rsidR="00E91845" w:rsidRDefault="00E91845" w:rsidP="00274535">
      <w:pPr>
        <w:numPr>
          <w:ilvl w:val="1"/>
          <w:numId w:val="4"/>
        </w:numPr>
        <w:tabs>
          <w:tab w:val="clear" w:pos="1080"/>
          <w:tab w:val="num" w:pos="799"/>
        </w:tabs>
        <w:spacing w:line="360" w:lineRule="auto"/>
        <w:ind w:left="799" w:hanging="284"/>
        <w:jc w:val="both"/>
        <w:rPr>
          <w:rFonts w:cs="David"/>
          <w:sz w:val="24"/>
          <w:szCs w:val="24"/>
        </w:rPr>
      </w:pPr>
      <w:r w:rsidRPr="00DC61AD">
        <w:rPr>
          <w:rFonts w:cs="David" w:hint="cs"/>
          <w:sz w:val="24"/>
          <w:szCs w:val="24"/>
          <w:u w:val="single"/>
          <w:rtl/>
        </w:rPr>
        <w:t>חברות הנפקה של תאגיד בנקאי או מבטח, הידועות בכינוי "חברות צינור</w:t>
      </w:r>
      <w:r w:rsidR="00B92D60" w:rsidRPr="00DC61AD">
        <w:rPr>
          <w:rFonts w:cs="David" w:hint="cs"/>
          <w:sz w:val="24"/>
          <w:szCs w:val="24"/>
          <w:u w:val="single"/>
          <w:rtl/>
        </w:rPr>
        <w:t>"</w:t>
      </w:r>
      <w:r>
        <w:rPr>
          <w:rFonts w:cs="David" w:hint="cs"/>
          <w:sz w:val="24"/>
          <w:szCs w:val="24"/>
          <w:rtl/>
        </w:rPr>
        <w:t xml:space="preserve">. חברות </w:t>
      </w:r>
      <w:r w:rsidR="00B92D60">
        <w:rPr>
          <w:rFonts w:cs="David" w:hint="cs"/>
          <w:sz w:val="24"/>
          <w:szCs w:val="24"/>
          <w:rtl/>
        </w:rPr>
        <w:t>אלה</w:t>
      </w:r>
      <w:r>
        <w:rPr>
          <w:rFonts w:cs="David" w:hint="cs"/>
          <w:sz w:val="24"/>
          <w:szCs w:val="24"/>
          <w:rtl/>
        </w:rPr>
        <w:t xml:space="preserve"> הן חברות בת בבעלות מלאה של תאגיד בנקאי או מבטח</w:t>
      </w:r>
      <w:r w:rsidR="00B92D60">
        <w:rPr>
          <w:rFonts w:cs="David" w:hint="cs"/>
          <w:sz w:val="24"/>
          <w:szCs w:val="24"/>
          <w:rtl/>
        </w:rPr>
        <w:t>,</w:t>
      </w:r>
      <w:r>
        <w:rPr>
          <w:rFonts w:cs="David" w:hint="cs"/>
          <w:sz w:val="24"/>
          <w:szCs w:val="24"/>
          <w:rtl/>
        </w:rPr>
        <w:t xml:space="preserve"> המגייסות </w:t>
      </w:r>
      <w:r w:rsidR="00B92D60">
        <w:rPr>
          <w:rFonts w:cs="David" w:hint="cs"/>
          <w:sz w:val="24"/>
          <w:szCs w:val="24"/>
          <w:rtl/>
        </w:rPr>
        <w:t xml:space="preserve">כספים מן הציבור </w:t>
      </w:r>
      <w:r>
        <w:rPr>
          <w:rFonts w:cs="David" w:hint="cs"/>
          <w:sz w:val="24"/>
          <w:szCs w:val="24"/>
          <w:rtl/>
        </w:rPr>
        <w:t>עבור</w:t>
      </w:r>
      <w:r w:rsidR="00133127">
        <w:rPr>
          <w:rFonts w:cs="David" w:hint="cs"/>
          <w:sz w:val="24"/>
          <w:szCs w:val="24"/>
          <w:rtl/>
        </w:rPr>
        <w:t>ן</w:t>
      </w:r>
      <w:r>
        <w:rPr>
          <w:rFonts w:cs="David" w:hint="cs"/>
          <w:sz w:val="24"/>
          <w:szCs w:val="24"/>
          <w:rtl/>
        </w:rPr>
        <w:t xml:space="preserve"> או עבור תאגיד בנקאי או מבטח אחר בשליטת אותו בעל שליטה.  חברות הצינור נהנות כבר כיום מהקלות משמעותיות לגבי הגילוי בתשקיפים לפי דיני ניירות ערך</w:t>
      </w:r>
      <w:r w:rsidR="00B92D60">
        <w:rPr>
          <w:rFonts w:cs="David" w:hint="cs"/>
          <w:sz w:val="24"/>
          <w:szCs w:val="24"/>
          <w:rtl/>
        </w:rPr>
        <w:t>,</w:t>
      </w:r>
      <w:r>
        <w:rPr>
          <w:rFonts w:cs="David" w:hint="cs"/>
          <w:sz w:val="24"/>
          <w:szCs w:val="24"/>
          <w:rtl/>
        </w:rPr>
        <w:t xml:space="preserve"> כיוון </w:t>
      </w:r>
      <w:r>
        <w:rPr>
          <w:rFonts w:cs="David" w:hint="cs"/>
          <w:sz w:val="24"/>
          <w:szCs w:val="24"/>
          <w:rtl/>
        </w:rPr>
        <w:lastRenderedPageBreak/>
        <w:t>שבמהותן הן חברות "ריקות" ללא פעילות משל עצמן. ההקלה שהצענו מתייחסת רק למקרה שהתאגיד הבנקאי או המבטח הוא חברת שכבה</w:t>
      </w:r>
      <w:r w:rsidR="0041553D">
        <w:rPr>
          <w:rFonts w:cs="David" w:hint="cs"/>
          <w:sz w:val="24"/>
          <w:szCs w:val="24"/>
          <w:rtl/>
        </w:rPr>
        <w:t>.</w:t>
      </w:r>
      <w:r>
        <w:rPr>
          <w:rFonts w:cs="David" w:hint="cs"/>
          <w:sz w:val="24"/>
          <w:szCs w:val="24"/>
          <w:rtl/>
        </w:rPr>
        <w:t xml:space="preserve"> </w:t>
      </w:r>
    </w:p>
    <w:p w:rsidR="00AC0ACE" w:rsidRDefault="00AC0ACE" w:rsidP="00571787">
      <w:pPr>
        <w:tabs>
          <w:tab w:val="left" w:pos="-51"/>
        </w:tabs>
        <w:ind w:left="357"/>
        <w:jc w:val="both"/>
        <w:rPr>
          <w:rFonts w:cs="David"/>
          <w:sz w:val="24"/>
          <w:szCs w:val="24"/>
          <w:rtl/>
        </w:rPr>
      </w:pPr>
    </w:p>
    <w:p w:rsidR="00C16A20" w:rsidRDefault="00C16A20" w:rsidP="00DC61AD">
      <w:pPr>
        <w:spacing w:line="360" w:lineRule="auto"/>
        <w:ind w:left="799"/>
        <w:jc w:val="both"/>
        <w:rPr>
          <w:rFonts w:cs="David"/>
          <w:sz w:val="24"/>
          <w:szCs w:val="24"/>
        </w:rPr>
      </w:pPr>
      <w:r>
        <w:rPr>
          <w:rFonts w:cs="David" w:hint="cs"/>
          <w:sz w:val="24"/>
          <w:szCs w:val="24"/>
          <w:rtl/>
        </w:rPr>
        <w:t xml:space="preserve">כיוון ש"חברת הצינור" מגייסת הון עבור חברת האם בלבד, הרי שאם חברת האם עצמה היא חברת שכבה ניתן לראות בהן יחד שכבה אחת, ולא שתיים. לכן ניתן </w:t>
      </w:r>
      <w:proofErr w:type="spellStart"/>
      <w:r>
        <w:rPr>
          <w:rFonts w:cs="David" w:hint="cs"/>
          <w:sz w:val="24"/>
          <w:szCs w:val="24"/>
          <w:rtl/>
        </w:rPr>
        <w:t>להחריג</w:t>
      </w:r>
      <w:proofErr w:type="spellEnd"/>
      <w:r>
        <w:rPr>
          <w:rFonts w:cs="David" w:hint="cs"/>
          <w:sz w:val="24"/>
          <w:szCs w:val="24"/>
          <w:rtl/>
        </w:rPr>
        <w:t xml:space="preserve"> את "חברת הצינור" מתחולת החוק.</w:t>
      </w:r>
    </w:p>
    <w:p w:rsidR="00AC0ACE" w:rsidRDefault="00AC0ACE" w:rsidP="00571787">
      <w:pPr>
        <w:tabs>
          <w:tab w:val="left" w:pos="-51"/>
        </w:tabs>
        <w:ind w:left="357"/>
        <w:jc w:val="both"/>
        <w:rPr>
          <w:rFonts w:cs="David"/>
          <w:sz w:val="24"/>
          <w:szCs w:val="24"/>
          <w:rtl/>
        </w:rPr>
      </w:pPr>
    </w:p>
    <w:p w:rsidR="00C16A20" w:rsidRPr="00274535" w:rsidRDefault="00C16A20" w:rsidP="00DC61AD">
      <w:pPr>
        <w:spacing w:line="360" w:lineRule="auto"/>
        <w:ind w:left="799"/>
        <w:jc w:val="both"/>
        <w:rPr>
          <w:rFonts w:cs="David"/>
          <w:sz w:val="24"/>
          <w:szCs w:val="24"/>
          <w:rtl/>
        </w:rPr>
      </w:pPr>
      <w:r w:rsidRPr="00274535">
        <w:rPr>
          <w:rFonts w:cs="David" w:hint="cs"/>
          <w:sz w:val="24"/>
          <w:szCs w:val="24"/>
          <w:rtl/>
        </w:rPr>
        <w:t xml:space="preserve">לעומת זאת, אם חברת האם - התאגיד הבנקאי או המבטח - אינה חברת שכבה,  אין הצדקה לפטור מתחולת החוק. פטור כזה יביא למצב שבו חברה המגייסת הון מן הציבור, וגם החברה העושה שימוש באותו הון, </w:t>
      </w:r>
      <w:r w:rsidR="00B106C6" w:rsidRPr="00274535">
        <w:rPr>
          <w:rFonts w:cs="David" w:hint="cs"/>
          <w:sz w:val="24"/>
          <w:szCs w:val="24"/>
          <w:rtl/>
        </w:rPr>
        <w:t>יהיו פטורות</w:t>
      </w:r>
      <w:r w:rsidR="00D94A04" w:rsidRPr="00274535">
        <w:rPr>
          <w:rFonts w:cs="David" w:hint="cs"/>
          <w:sz w:val="24"/>
          <w:szCs w:val="24"/>
          <w:rtl/>
        </w:rPr>
        <w:t xml:space="preserve"> מהוראות החוק </w:t>
      </w:r>
      <w:r w:rsidRPr="00274535">
        <w:rPr>
          <w:rFonts w:cs="David" w:hint="cs"/>
          <w:sz w:val="24"/>
          <w:szCs w:val="24"/>
          <w:rtl/>
        </w:rPr>
        <w:t xml:space="preserve"> ללא כל הצדקה עניינית.  </w:t>
      </w:r>
    </w:p>
    <w:p w:rsidR="00AC0ACE" w:rsidRDefault="00AC0ACE" w:rsidP="00571787">
      <w:pPr>
        <w:tabs>
          <w:tab w:val="left" w:pos="-51"/>
        </w:tabs>
        <w:ind w:left="357"/>
        <w:jc w:val="both"/>
        <w:rPr>
          <w:rFonts w:cs="David"/>
          <w:sz w:val="24"/>
          <w:szCs w:val="24"/>
          <w:rtl/>
        </w:rPr>
      </w:pPr>
    </w:p>
    <w:p w:rsidR="00C16A20" w:rsidRPr="00274535" w:rsidRDefault="00C16A20" w:rsidP="00AC0ACE">
      <w:pPr>
        <w:spacing w:line="360" w:lineRule="auto"/>
        <w:ind w:left="799"/>
        <w:jc w:val="both"/>
        <w:rPr>
          <w:rFonts w:cs="David"/>
          <w:sz w:val="24"/>
          <w:szCs w:val="24"/>
          <w:rtl/>
        </w:rPr>
      </w:pPr>
      <w:r w:rsidRPr="00274535">
        <w:rPr>
          <w:rFonts w:cs="David" w:hint="cs"/>
          <w:sz w:val="24"/>
          <w:szCs w:val="24"/>
          <w:rtl/>
        </w:rPr>
        <w:t>עם זאת, במצב זה מוצעת הקלה מתחולת הוראות הממשל התאגידי המחמירות בתקופת המעבר (תקנה 3(1) המוצעת). זאת מאחר שכבר לאחר תיקון 17 לחוק החברות הוחרגו חברות אלה מתחולת הוראות בחוק החברות, כגון אלה המחייבות מינוי דירקטורים חיצוניים, נוכח העדר פעילות עצמאית שלהן וזיקתן העמוקה לחברת האם עבורה הן מגייסות. ההקלה נקבעה בדרך של אי סיווג החברה כחברת שכבה רק לצורך הוראת המעבר, ולא לכל דבר ועניין. כלומר: בתום תקופת המעבר של 4-6 שנים מבנה החזקות זה לא יוכל לעמוד עוד.</w:t>
      </w:r>
    </w:p>
    <w:p w:rsidR="00AC0ACE" w:rsidRDefault="00AC0ACE" w:rsidP="00571787">
      <w:pPr>
        <w:tabs>
          <w:tab w:val="left" w:pos="-51"/>
        </w:tabs>
        <w:ind w:left="357"/>
        <w:jc w:val="both"/>
        <w:rPr>
          <w:rFonts w:cs="David"/>
          <w:sz w:val="24"/>
          <w:szCs w:val="24"/>
          <w:rtl/>
        </w:rPr>
      </w:pPr>
    </w:p>
    <w:p w:rsidR="00D94A04" w:rsidRPr="00274535" w:rsidRDefault="00D94A04" w:rsidP="00C47D18">
      <w:pPr>
        <w:spacing w:line="360" w:lineRule="auto"/>
        <w:ind w:left="799"/>
        <w:jc w:val="both"/>
        <w:rPr>
          <w:rFonts w:cs="David"/>
          <w:sz w:val="24"/>
          <w:szCs w:val="24"/>
        </w:rPr>
      </w:pPr>
      <w:r w:rsidRPr="00274535">
        <w:rPr>
          <w:rFonts w:cs="David" w:hint="cs"/>
          <w:sz w:val="24"/>
          <w:szCs w:val="24"/>
          <w:rtl/>
        </w:rPr>
        <w:t xml:space="preserve">הבחנה זו עוררה התנגדות בחברות ביטוח שברובן אינן חברת שכבה בעצמן, אך שולטות בחברות צינור. פניות שקיבלנו מחברות אלה וגם מאגף שוק ההון הצביעו על חשש לפגיעה ביכולת של חברות ביטוח לגייס חוב לשם עמידה בדרישות הלימות ההון החלות עליהן. גיוסים אלה נסמכים במידה רבה על "חברות הצינור". אלא שבטיעונים ששמענו לא היה כל נתון ששכנע אותנו לחרוג מכוונת המחוקק בעניין ולכן לא שינינו את נוסח התקנות המוצע. </w:t>
      </w:r>
    </w:p>
    <w:p w:rsidR="000B2ECA" w:rsidRDefault="000B2ECA" w:rsidP="00571787">
      <w:pPr>
        <w:tabs>
          <w:tab w:val="left" w:pos="-51"/>
        </w:tabs>
        <w:ind w:left="357"/>
        <w:jc w:val="both"/>
        <w:rPr>
          <w:rFonts w:cs="David"/>
          <w:sz w:val="24"/>
          <w:szCs w:val="24"/>
          <w:rtl/>
        </w:rPr>
      </w:pPr>
    </w:p>
    <w:p w:rsidR="00D94A04" w:rsidRPr="00274535" w:rsidRDefault="00D94A04" w:rsidP="00C47D18">
      <w:pPr>
        <w:spacing w:line="360" w:lineRule="auto"/>
        <w:ind w:left="799"/>
        <w:jc w:val="both"/>
        <w:rPr>
          <w:rFonts w:cs="David"/>
          <w:sz w:val="24"/>
          <w:szCs w:val="24"/>
        </w:rPr>
      </w:pPr>
      <w:r w:rsidRPr="00274535">
        <w:rPr>
          <w:rFonts w:cs="David" w:hint="cs"/>
          <w:sz w:val="24"/>
          <w:szCs w:val="24"/>
          <w:rtl/>
        </w:rPr>
        <w:t>התקנה המוצעת מתואמת עם אגף שוק ההון בהתבסס על הגיונו של החוק.</w:t>
      </w:r>
    </w:p>
    <w:p w:rsidR="00B76048" w:rsidRDefault="00B76048" w:rsidP="00571787">
      <w:pPr>
        <w:tabs>
          <w:tab w:val="left" w:pos="-51"/>
        </w:tabs>
        <w:ind w:left="357"/>
        <w:jc w:val="both"/>
        <w:rPr>
          <w:rFonts w:cs="David"/>
          <w:sz w:val="24"/>
          <w:szCs w:val="24"/>
          <w:rtl/>
        </w:rPr>
      </w:pPr>
    </w:p>
    <w:p w:rsidR="00DF3856" w:rsidRDefault="00DF3856">
      <w:pPr>
        <w:bidi w:val="0"/>
        <w:rPr>
          <w:rFonts w:cs="David"/>
          <w:b/>
          <w:bCs/>
          <w:sz w:val="24"/>
          <w:szCs w:val="24"/>
          <w:u w:val="single"/>
        </w:rPr>
      </w:pPr>
    </w:p>
    <w:p w:rsidR="00AE335E" w:rsidRPr="00AE335E" w:rsidRDefault="00AE335E" w:rsidP="00312BD6">
      <w:pPr>
        <w:tabs>
          <w:tab w:val="left" w:pos="-51"/>
        </w:tabs>
        <w:spacing w:line="360" w:lineRule="auto"/>
        <w:jc w:val="both"/>
        <w:rPr>
          <w:rFonts w:cs="David"/>
          <w:b/>
          <w:bCs/>
          <w:sz w:val="24"/>
          <w:szCs w:val="24"/>
          <w:u w:val="single"/>
          <w:rtl/>
        </w:rPr>
      </w:pPr>
      <w:r w:rsidRPr="00AE335E">
        <w:rPr>
          <w:rFonts w:cs="David" w:hint="cs"/>
          <w:b/>
          <w:bCs/>
          <w:sz w:val="24"/>
          <w:szCs w:val="24"/>
          <w:u w:val="single"/>
          <w:rtl/>
        </w:rPr>
        <w:t>שליטה בידי שולט "גדול" ושולט "קטן"</w:t>
      </w:r>
      <w:r w:rsidR="00AB22AA">
        <w:rPr>
          <w:rFonts w:cs="David" w:hint="cs"/>
          <w:b/>
          <w:bCs/>
          <w:sz w:val="24"/>
          <w:szCs w:val="24"/>
          <w:u w:val="single"/>
          <w:rtl/>
        </w:rPr>
        <w:t xml:space="preserve"> (תקנה 3(2))</w:t>
      </w:r>
    </w:p>
    <w:p w:rsidR="00AE335E" w:rsidRDefault="00AE335E" w:rsidP="00571787">
      <w:pPr>
        <w:tabs>
          <w:tab w:val="left" w:pos="-51"/>
        </w:tabs>
        <w:ind w:left="357"/>
        <w:jc w:val="both"/>
        <w:rPr>
          <w:rFonts w:cs="David"/>
          <w:sz w:val="24"/>
          <w:szCs w:val="24"/>
          <w:rtl/>
        </w:rPr>
      </w:pPr>
    </w:p>
    <w:p w:rsidR="00B76048" w:rsidRDefault="00875A65" w:rsidP="006D5171">
      <w:pPr>
        <w:numPr>
          <w:ilvl w:val="0"/>
          <w:numId w:val="17"/>
        </w:numPr>
        <w:spacing w:line="360" w:lineRule="auto"/>
        <w:jc w:val="both"/>
        <w:rPr>
          <w:rFonts w:cs="David"/>
          <w:sz w:val="24"/>
          <w:szCs w:val="24"/>
        </w:rPr>
      </w:pPr>
      <w:r>
        <w:rPr>
          <w:rFonts w:cs="David" w:hint="cs"/>
          <w:sz w:val="24"/>
          <w:szCs w:val="24"/>
          <w:rtl/>
        </w:rPr>
        <w:t>מקרה נוסף בו מוצע לא לסווג חברה כחברת שכבה לצורך הוראת המעב</w:t>
      </w:r>
      <w:r w:rsidR="00627E83">
        <w:rPr>
          <w:rFonts w:cs="David" w:hint="cs"/>
          <w:sz w:val="24"/>
          <w:szCs w:val="24"/>
          <w:rtl/>
        </w:rPr>
        <w:t>ר</w:t>
      </w:r>
      <w:r w:rsidR="00133127">
        <w:rPr>
          <w:rFonts w:cs="David" w:hint="cs"/>
          <w:sz w:val="24"/>
          <w:szCs w:val="24"/>
          <w:rtl/>
        </w:rPr>
        <w:t xml:space="preserve"> בלבד</w:t>
      </w:r>
      <w:r w:rsidR="002C7730">
        <w:rPr>
          <w:rFonts w:cs="David" w:hint="cs"/>
          <w:sz w:val="24"/>
          <w:szCs w:val="24"/>
          <w:rtl/>
        </w:rPr>
        <w:t xml:space="preserve">, הוא </w:t>
      </w:r>
      <w:r w:rsidR="006D5171">
        <w:rPr>
          <w:rFonts w:cs="David" w:hint="cs"/>
          <w:sz w:val="24"/>
          <w:szCs w:val="24"/>
          <w:rtl/>
        </w:rPr>
        <w:t xml:space="preserve">במקרה שבו </w:t>
      </w:r>
      <w:r w:rsidR="002C7730">
        <w:rPr>
          <w:rFonts w:cs="David" w:hint="cs"/>
          <w:sz w:val="24"/>
          <w:szCs w:val="24"/>
          <w:rtl/>
        </w:rPr>
        <w:t xml:space="preserve">חברת שכבה </w:t>
      </w:r>
      <w:r w:rsidR="0099539B">
        <w:rPr>
          <w:rFonts w:cs="David" w:hint="cs"/>
          <w:sz w:val="24"/>
          <w:szCs w:val="24"/>
          <w:rtl/>
        </w:rPr>
        <w:t xml:space="preserve">שלישית </w:t>
      </w:r>
      <w:r w:rsidR="00133127">
        <w:rPr>
          <w:rFonts w:cs="David" w:hint="cs"/>
          <w:sz w:val="24"/>
          <w:szCs w:val="24"/>
          <w:rtl/>
        </w:rPr>
        <w:t xml:space="preserve">ומטה </w:t>
      </w:r>
      <w:r w:rsidR="002C7730">
        <w:rPr>
          <w:rFonts w:cs="David" w:hint="cs"/>
          <w:sz w:val="24"/>
          <w:szCs w:val="24"/>
          <w:rtl/>
        </w:rPr>
        <w:t>נמצאת ב</w:t>
      </w:r>
      <w:r w:rsidR="00AE335E">
        <w:rPr>
          <w:rFonts w:cs="David" w:hint="cs"/>
          <w:sz w:val="24"/>
          <w:szCs w:val="24"/>
          <w:rtl/>
        </w:rPr>
        <w:t xml:space="preserve">שליטה משותפת של </w:t>
      </w:r>
      <w:r w:rsidR="008F2911">
        <w:rPr>
          <w:rFonts w:cs="David" w:hint="cs"/>
          <w:sz w:val="24"/>
          <w:szCs w:val="24"/>
          <w:rtl/>
        </w:rPr>
        <w:t>שולט</w:t>
      </w:r>
      <w:r w:rsidR="00AE335E">
        <w:rPr>
          <w:rFonts w:cs="David" w:hint="cs"/>
          <w:sz w:val="24"/>
          <w:szCs w:val="24"/>
          <w:rtl/>
        </w:rPr>
        <w:t xml:space="preserve"> "גדול" ושל </w:t>
      </w:r>
      <w:r w:rsidR="008F2911">
        <w:rPr>
          <w:rFonts w:cs="David" w:hint="cs"/>
          <w:sz w:val="24"/>
          <w:szCs w:val="24"/>
          <w:rtl/>
        </w:rPr>
        <w:t>שולט</w:t>
      </w:r>
      <w:r w:rsidR="00AE335E">
        <w:rPr>
          <w:rFonts w:cs="David" w:hint="cs"/>
          <w:sz w:val="24"/>
          <w:szCs w:val="24"/>
          <w:rtl/>
        </w:rPr>
        <w:t xml:space="preserve"> "קטן</w:t>
      </w:r>
      <w:r w:rsidR="008F2911">
        <w:rPr>
          <w:rFonts w:cs="David" w:hint="cs"/>
          <w:sz w:val="24"/>
          <w:szCs w:val="24"/>
          <w:rtl/>
        </w:rPr>
        <w:t>"</w:t>
      </w:r>
      <w:r w:rsidR="005C7351">
        <w:rPr>
          <w:rFonts w:cs="David" w:hint="cs"/>
          <w:sz w:val="24"/>
          <w:szCs w:val="24"/>
          <w:rtl/>
        </w:rPr>
        <w:t xml:space="preserve">. </w:t>
      </w:r>
      <w:r w:rsidR="008F2911">
        <w:rPr>
          <w:rFonts w:cs="David" w:hint="cs"/>
          <w:sz w:val="24"/>
          <w:szCs w:val="24"/>
          <w:rtl/>
        </w:rPr>
        <w:t>השולט</w:t>
      </w:r>
      <w:r w:rsidR="00AE335E">
        <w:rPr>
          <w:rFonts w:cs="David" w:hint="cs"/>
          <w:sz w:val="24"/>
          <w:szCs w:val="24"/>
          <w:rtl/>
        </w:rPr>
        <w:t xml:space="preserve"> ה"גדול" איננו חברות שכבה שניה, ולכן אין בעיה בשליטתו בחברת שכבה נוספת. </w:t>
      </w:r>
      <w:r w:rsidR="00E5086E">
        <w:rPr>
          <w:rFonts w:cs="David" w:hint="cs"/>
          <w:sz w:val="24"/>
          <w:szCs w:val="24"/>
          <w:rtl/>
        </w:rPr>
        <w:t xml:space="preserve">לעומת זאת, </w:t>
      </w:r>
      <w:r w:rsidR="008F2911">
        <w:rPr>
          <w:rFonts w:cs="David" w:hint="cs"/>
          <w:sz w:val="24"/>
          <w:szCs w:val="24"/>
          <w:rtl/>
        </w:rPr>
        <w:t>השולט</w:t>
      </w:r>
      <w:r w:rsidR="00AE335E">
        <w:rPr>
          <w:rFonts w:cs="David" w:hint="cs"/>
          <w:sz w:val="24"/>
          <w:szCs w:val="24"/>
          <w:rtl/>
        </w:rPr>
        <w:t xml:space="preserve"> ה"קטן" </w:t>
      </w:r>
      <w:r w:rsidR="00E5086E">
        <w:rPr>
          <w:rFonts w:cs="David" w:hint="cs"/>
          <w:sz w:val="24"/>
          <w:szCs w:val="24"/>
          <w:rtl/>
        </w:rPr>
        <w:t>הינו חברת שכבה שניה</w:t>
      </w:r>
      <w:r w:rsidR="00AE335E">
        <w:rPr>
          <w:rFonts w:cs="David" w:hint="cs"/>
          <w:sz w:val="24"/>
          <w:szCs w:val="24"/>
          <w:rtl/>
        </w:rPr>
        <w:t xml:space="preserve">, ובכך </w:t>
      </w:r>
      <w:r w:rsidR="00FF2C0D">
        <w:rPr>
          <w:rFonts w:cs="David" w:hint="cs"/>
          <w:sz w:val="24"/>
          <w:szCs w:val="24"/>
          <w:rtl/>
        </w:rPr>
        <w:t>"</w:t>
      </w:r>
      <w:r w:rsidR="00AE335E">
        <w:rPr>
          <w:rFonts w:cs="David" w:hint="cs"/>
          <w:sz w:val="24"/>
          <w:szCs w:val="24"/>
          <w:rtl/>
        </w:rPr>
        <w:t>נצבעת</w:t>
      </w:r>
      <w:r w:rsidR="00FF2C0D">
        <w:rPr>
          <w:rFonts w:cs="David" w:hint="cs"/>
          <w:sz w:val="24"/>
          <w:szCs w:val="24"/>
          <w:rtl/>
        </w:rPr>
        <w:t>"</w:t>
      </w:r>
      <w:r w:rsidR="00AE335E">
        <w:rPr>
          <w:rFonts w:cs="David" w:hint="cs"/>
          <w:sz w:val="24"/>
          <w:szCs w:val="24"/>
          <w:rtl/>
        </w:rPr>
        <w:t xml:space="preserve"> החברה </w:t>
      </w:r>
      <w:r w:rsidR="00E82B75">
        <w:rPr>
          <w:rFonts w:cs="David" w:hint="cs"/>
          <w:sz w:val="24"/>
          <w:szCs w:val="24"/>
          <w:rtl/>
        </w:rPr>
        <w:t xml:space="preserve">הנשלטת </w:t>
      </w:r>
      <w:r w:rsidR="00AE335E">
        <w:rPr>
          <w:rFonts w:cs="David" w:hint="cs"/>
          <w:sz w:val="24"/>
          <w:szCs w:val="24"/>
          <w:rtl/>
        </w:rPr>
        <w:t>כולה כחברת שכבה שלישית</w:t>
      </w:r>
      <w:r w:rsidR="00FF2C0D">
        <w:rPr>
          <w:rFonts w:cs="David" w:hint="cs"/>
          <w:sz w:val="24"/>
          <w:szCs w:val="24"/>
          <w:rtl/>
        </w:rPr>
        <w:t>,</w:t>
      </w:r>
      <w:r w:rsidR="00AE335E">
        <w:rPr>
          <w:rFonts w:cs="David" w:hint="cs"/>
          <w:sz w:val="24"/>
          <w:szCs w:val="24"/>
          <w:rtl/>
        </w:rPr>
        <w:t xml:space="preserve"> הכפופה להוראות המעבר המחמירות. זאת כאשר חובת המכירה בתום תקופת המעבר תחול על </w:t>
      </w:r>
      <w:r w:rsidR="00CE510A">
        <w:rPr>
          <w:rFonts w:cs="David" w:hint="cs"/>
          <w:sz w:val="24"/>
          <w:szCs w:val="24"/>
          <w:rtl/>
        </w:rPr>
        <w:t>החזקות השולט</w:t>
      </w:r>
      <w:r w:rsidR="00AE335E">
        <w:rPr>
          <w:rFonts w:cs="David" w:hint="cs"/>
          <w:sz w:val="24"/>
          <w:szCs w:val="24"/>
          <w:rtl/>
        </w:rPr>
        <w:t xml:space="preserve"> "הקטן" בלבד. </w:t>
      </w:r>
    </w:p>
    <w:p w:rsidR="00AE335E" w:rsidRPr="00366189" w:rsidRDefault="00AE335E" w:rsidP="00571787">
      <w:pPr>
        <w:tabs>
          <w:tab w:val="left" w:pos="-51"/>
        </w:tabs>
        <w:ind w:left="357"/>
        <w:jc w:val="both"/>
        <w:rPr>
          <w:rFonts w:cs="David"/>
          <w:sz w:val="24"/>
          <w:szCs w:val="24"/>
          <w:rtl/>
        </w:rPr>
      </w:pPr>
    </w:p>
    <w:p w:rsidR="00332952" w:rsidRDefault="00FF2C0D" w:rsidP="007403D4">
      <w:pPr>
        <w:numPr>
          <w:ilvl w:val="0"/>
          <w:numId w:val="17"/>
        </w:numPr>
        <w:spacing w:line="360" w:lineRule="auto"/>
        <w:jc w:val="both"/>
        <w:rPr>
          <w:rFonts w:cs="David"/>
          <w:sz w:val="24"/>
          <w:szCs w:val="24"/>
        </w:rPr>
      </w:pPr>
      <w:proofErr w:type="spellStart"/>
      <w:r>
        <w:rPr>
          <w:rFonts w:cs="David" w:hint="cs"/>
          <w:sz w:val="24"/>
          <w:szCs w:val="24"/>
          <w:rtl/>
        </w:rPr>
        <w:t>הראציונל</w:t>
      </w:r>
      <w:proofErr w:type="spellEnd"/>
      <w:r>
        <w:rPr>
          <w:rFonts w:cs="David" w:hint="cs"/>
          <w:sz w:val="24"/>
          <w:szCs w:val="24"/>
          <w:rtl/>
        </w:rPr>
        <w:t xml:space="preserve"> ביסוד </w:t>
      </w:r>
      <w:r w:rsidR="00AE335E">
        <w:rPr>
          <w:rFonts w:cs="David" w:hint="cs"/>
          <w:sz w:val="24"/>
          <w:szCs w:val="24"/>
          <w:rtl/>
        </w:rPr>
        <w:t xml:space="preserve">הוראות </w:t>
      </w:r>
      <w:r w:rsidR="00355F85">
        <w:rPr>
          <w:rFonts w:cs="David" w:hint="cs"/>
          <w:sz w:val="24"/>
          <w:szCs w:val="24"/>
          <w:rtl/>
        </w:rPr>
        <w:t>ה</w:t>
      </w:r>
      <w:r w:rsidR="00AE335E">
        <w:rPr>
          <w:rFonts w:cs="David" w:hint="cs"/>
          <w:sz w:val="24"/>
          <w:szCs w:val="24"/>
          <w:rtl/>
        </w:rPr>
        <w:t xml:space="preserve">מעבר </w:t>
      </w:r>
      <w:r w:rsidR="00355F85">
        <w:rPr>
          <w:rFonts w:cs="David" w:hint="cs"/>
          <w:sz w:val="24"/>
          <w:szCs w:val="24"/>
          <w:rtl/>
        </w:rPr>
        <w:t>ה</w:t>
      </w:r>
      <w:r w:rsidR="00AE335E">
        <w:rPr>
          <w:rFonts w:cs="David" w:hint="cs"/>
          <w:sz w:val="24"/>
          <w:szCs w:val="24"/>
          <w:rtl/>
        </w:rPr>
        <w:t xml:space="preserve">מחמירות הוא החשש מכך שבתקופת המעבר </w:t>
      </w:r>
      <w:r w:rsidR="000B0D39">
        <w:rPr>
          <w:rFonts w:cs="David" w:hint="cs"/>
          <w:sz w:val="24"/>
          <w:szCs w:val="24"/>
          <w:rtl/>
        </w:rPr>
        <w:t xml:space="preserve">יתעצם החשש </w:t>
      </w:r>
      <w:proofErr w:type="spellStart"/>
      <w:r w:rsidR="000B0D39">
        <w:rPr>
          <w:rFonts w:cs="David" w:hint="cs"/>
          <w:sz w:val="24"/>
          <w:szCs w:val="24"/>
          <w:rtl/>
        </w:rPr>
        <w:t>ל"מינהור</w:t>
      </w:r>
      <w:proofErr w:type="spellEnd"/>
      <w:r w:rsidR="000B0D39">
        <w:rPr>
          <w:rFonts w:cs="David" w:hint="cs"/>
          <w:sz w:val="24"/>
          <w:szCs w:val="24"/>
          <w:rtl/>
        </w:rPr>
        <w:t>"</w:t>
      </w:r>
      <w:r w:rsidR="00751C7B">
        <w:rPr>
          <w:rFonts w:cs="David" w:hint="cs"/>
          <w:sz w:val="24"/>
          <w:szCs w:val="24"/>
          <w:rtl/>
        </w:rPr>
        <w:t xml:space="preserve">. </w:t>
      </w:r>
      <w:proofErr w:type="spellStart"/>
      <w:r w:rsidR="00751C7B">
        <w:rPr>
          <w:rFonts w:cs="David" w:hint="cs"/>
          <w:sz w:val="24"/>
          <w:szCs w:val="24"/>
          <w:rtl/>
        </w:rPr>
        <w:t>מינהור</w:t>
      </w:r>
      <w:proofErr w:type="spellEnd"/>
      <w:r w:rsidR="00751C7B">
        <w:rPr>
          <w:rFonts w:cs="David" w:hint="cs"/>
          <w:sz w:val="24"/>
          <w:szCs w:val="24"/>
          <w:rtl/>
        </w:rPr>
        <w:t xml:space="preserve"> הוא </w:t>
      </w:r>
      <w:r w:rsidR="000B0D39">
        <w:rPr>
          <w:rFonts w:cs="David" w:hint="cs"/>
          <w:sz w:val="24"/>
          <w:szCs w:val="24"/>
          <w:rtl/>
        </w:rPr>
        <w:t>העברת תועלות מהחברה ל</w:t>
      </w:r>
      <w:r w:rsidR="00AE335E">
        <w:rPr>
          <w:rFonts w:cs="David" w:hint="cs"/>
          <w:sz w:val="24"/>
          <w:szCs w:val="24"/>
          <w:rtl/>
        </w:rPr>
        <w:t>בעלי השליטה</w:t>
      </w:r>
      <w:r w:rsidR="000B0D39">
        <w:rPr>
          <w:rFonts w:cs="David" w:hint="cs"/>
          <w:sz w:val="24"/>
          <w:szCs w:val="24"/>
          <w:rtl/>
        </w:rPr>
        <w:t xml:space="preserve">, כגון בדרך של </w:t>
      </w:r>
      <w:r w:rsidR="000B0D39">
        <w:rPr>
          <w:rFonts w:cs="David" w:hint="cs"/>
          <w:sz w:val="24"/>
          <w:szCs w:val="24"/>
          <w:rtl/>
        </w:rPr>
        <w:lastRenderedPageBreak/>
        <w:t>עסקאות בין בעל השליטה לחברה</w:t>
      </w:r>
      <w:r w:rsidR="00751C7B">
        <w:rPr>
          <w:rFonts w:cs="David" w:hint="cs"/>
          <w:sz w:val="24"/>
          <w:szCs w:val="24"/>
          <w:rtl/>
        </w:rPr>
        <w:t xml:space="preserve">. </w:t>
      </w:r>
      <w:r w:rsidR="007403D4">
        <w:rPr>
          <w:rFonts w:cs="David" w:hint="cs"/>
          <w:sz w:val="24"/>
          <w:szCs w:val="24"/>
          <w:rtl/>
        </w:rPr>
        <w:t>חשש זה הקיים במבנה פירמידלי מחמיר בתקופת המעבר,</w:t>
      </w:r>
      <w:r w:rsidR="00751C7B">
        <w:rPr>
          <w:rFonts w:cs="David" w:hint="cs"/>
          <w:sz w:val="24"/>
          <w:szCs w:val="24"/>
          <w:rtl/>
        </w:rPr>
        <w:t xml:space="preserve"> </w:t>
      </w:r>
      <w:r w:rsidR="00AE335E">
        <w:rPr>
          <w:rFonts w:cs="David" w:hint="cs"/>
          <w:sz w:val="24"/>
          <w:szCs w:val="24"/>
          <w:rtl/>
        </w:rPr>
        <w:t>בטרם ייאל</w:t>
      </w:r>
      <w:r w:rsidR="000B0D39">
        <w:rPr>
          <w:rFonts w:cs="David" w:hint="cs"/>
          <w:sz w:val="24"/>
          <w:szCs w:val="24"/>
          <w:rtl/>
        </w:rPr>
        <w:t>ץ בעל השליטה למכור או "לקפל" את השכבה בדרך אחרת</w:t>
      </w:r>
      <w:r w:rsidR="00AE335E">
        <w:rPr>
          <w:rFonts w:cs="David" w:hint="cs"/>
          <w:sz w:val="24"/>
          <w:szCs w:val="24"/>
          <w:rtl/>
        </w:rPr>
        <w:t xml:space="preserve">. </w:t>
      </w:r>
    </w:p>
    <w:p w:rsidR="00332952" w:rsidRDefault="00332952" w:rsidP="00571787">
      <w:pPr>
        <w:tabs>
          <w:tab w:val="left" w:pos="-51"/>
        </w:tabs>
        <w:ind w:left="357"/>
        <w:jc w:val="both"/>
        <w:rPr>
          <w:rFonts w:cs="David"/>
          <w:sz w:val="24"/>
          <w:szCs w:val="24"/>
          <w:rtl/>
        </w:rPr>
      </w:pPr>
    </w:p>
    <w:p w:rsidR="00B76048" w:rsidRDefault="00AE335E" w:rsidP="009C5980">
      <w:pPr>
        <w:spacing w:line="360" w:lineRule="auto"/>
        <w:ind w:left="360"/>
        <w:jc w:val="both"/>
        <w:rPr>
          <w:rFonts w:cs="David"/>
          <w:sz w:val="24"/>
          <w:szCs w:val="24"/>
        </w:rPr>
      </w:pPr>
      <w:r>
        <w:rPr>
          <w:rFonts w:cs="David" w:hint="cs"/>
          <w:sz w:val="24"/>
          <w:szCs w:val="24"/>
          <w:rtl/>
        </w:rPr>
        <w:t xml:space="preserve">אולם כאשר </w:t>
      </w:r>
      <w:r w:rsidR="00133127">
        <w:rPr>
          <w:rFonts w:cs="David" w:hint="cs"/>
          <w:sz w:val="24"/>
          <w:szCs w:val="24"/>
          <w:rtl/>
        </w:rPr>
        <w:t xml:space="preserve">קיים בגרעין השליטה </w:t>
      </w:r>
      <w:r w:rsidR="00E05961">
        <w:rPr>
          <w:rFonts w:cs="David" w:hint="cs"/>
          <w:sz w:val="24"/>
          <w:szCs w:val="24"/>
          <w:rtl/>
        </w:rPr>
        <w:t>שולט "</w:t>
      </w:r>
      <w:r w:rsidR="00133127">
        <w:rPr>
          <w:rFonts w:cs="David" w:hint="cs"/>
          <w:sz w:val="24"/>
          <w:szCs w:val="24"/>
          <w:rtl/>
        </w:rPr>
        <w:t>גדול</w:t>
      </w:r>
      <w:r w:rsidR="00E05961">
        <w:rPr>
          <w:rFonts w:cs="David" w:hint="cs"/>
          <w:sz w:val="24"/>
          <w:szCs w:val="24"/>
          <w:rtl/>
        </w:rPr>
        <w:t>"</w:t>
      </w:r>
      <w:r w:rsidR="00133127">
        <w:rPr>
          <w:rFonts w:cs="David" w:hint="cs"/>
          <w:sz w:val="24"/>
          <w:szCs w:val="24"/>
          <w:rtl/>
        </w:rPr>
        <w:t xml:space="preserve"> </w:t>
      </w:r>
      <w:r w:rsidR="003D7F71">
        <w:rPr>
          <w:rFonts w:cs="David" w:hint="cs"/>
          <w:sz w:val="24"/>
          <w:szCs w:val="24"/>
          <w:rtl/>
        </w:rPr>
        <w:t xml:space="preserve">ודומיננטי </w:t>
      </w:r>
      <w:r w:rsidR="00133127">
        <w:rPr>
          <w:rFonts w:cs="David" w:hint="cs"/>
          <w:sz w:val="24"/>
          <w:szCs w:val="24"/>
          <w:rtl/>
        </w:rPr>
        <w:t>ש</w:t>
      </w:r>
      <w:r w:rsidR="007128F8">
        <w:rPr>
          <w:rFonts w:cs="David" w:hint="cs"/>
          <w:sz w:val="24"/>
          <w:szCs w:val="24"/>
          <w:rtl/>
        </w:rPr>
        <w:t xml:space="preserve">החוק אינו מגביל  את </w:t>
      </w:r>
      <w:r w:rsidR="009F293D">
        <w:rPr>
          <w:rFonts w:cs="David" w:hint="cs"/>
          <w:sz w:val="24"/>
          <w:szCs w:val="24"/>
          <w:rtl/>
        </w:rPr>
        <w:t xml:space="preserve"> שליטתו בחברה, הרי  </w:t>
      </w:r>
      <w:r w:rsidR="009C5980">
        <w:rPr>
          <w:rFonts w:cs="David" w:hint="cs"/>
          <w:sz w:val="24"/>
          <w:szCs w:val="24"/>
          <w:rtl/>
        </w:rPr>
        <w:t>ש</w:t>
      </w:r>
      <w:r w:rsidR="009F293D">
        <w:rPr>
          <w:rFonts w:cs="David" w:hint="cs"/>
          <w:sz w:val="24"/>
          <w:szCs w:val="24"/>
          <w:rtl/>
        </w:rPr>
        <w:t xml:space="preserve">חשש </w:t>
      </w:r>
      <w:r w:rsidR="00133127">
        <w:rPr>
          <w:rFonts w:cs="David" w:hint="cs"/>
          <w:sz w:val="24"/>
          <w:szCs w:val="24"/>
          <w:rtl/>
        </w:rPr>
        <w:t>זה נמוך</w:t>
      </w:r>
      <w:r w:rsidR="00E05961">
        <w:rPr>
          <w:rFonts w:cs="David" w:hint="cs"/>
          <w:sz w:val="24"/>
          <w:szCs w:val="24"/>
          <w:rtl/>
        </w:rPr>
        <w:t xml:space="preserve"> </w:t>
      </w:r>
      <w:r w:rsidR="00751C7B">
        <w:rPr>
          <w:rFonts w:cs="David" w:hint="cs"/>
          <w:sz w:val="24"/>
          <w:szCs w:val="24"/>
          <w:rtl/>
        </w:rPr>
        <w:t>בהרבה</w:t>
      </w:r>
      <w:r w:rsidR="00133127">
        <w:rPr>
          <w:rFonts w:cs="David" w:hint="cs"/>
          <w:sz w:val="24"/>
          <w:szCs w:val="24"/>
          <w:rtl/>
        </w:rPr>
        <w:t xml:space="preserve">. </w:t>
      </w:r>
      <w:r w:rsidR="003D7F71">
        <w:rPr>
          <w:rFonts w:cs="David" w:hint="cs"/>
          <w:sz w:val="24"/>
          <w:szCs w:val="24"/>
          <w:rtl/>
        </w:rPr>
        <w:t>לכן אין הצדקה ל</w:t>
      </w:r>
      <w:r>
        <w:rPr>
          <w:rFonts w:cs="David" w:hint="cs"/>
          <w:sz w:val="24"/>
          <w:szCs w:val="24"/>
          <w:rtl/>
        </w:rPr>
        <w:t>הטלת ממשל תאגידי כה הדוק.</w:t>
      </w:r>
      <w:r w:rsidR="008A2A1A">
        <w:rPr>
          <w:rFonts w:cs="David" w:hint="cs"/>
          <w:sz w:val="24"/>
          <w:szCs w:val="24"/>
          <w:rtl/>
        </w:rPr>
        <w:t xml:space="preserve"> מצב זה מתקיים רק כאשר בעלי המניות השולטים יחד אינם מחלקים ביניהם את השליטה באופן שוויוני, אלא בחלוקה, כאמור בין "גדול" ל"קטן".</w:t>
      </w:r>
    </w:p>
    <w:p w:rsidR="003D7F71" w:rsidRPr="00366189" w:rsidRDefault="003D7F71" w:rsidP="00571787">
      <w:pPr>
        <w:tabs>
          <w:tab w:val="left" w:pos="-51"/>
        </w:tabs>
        <w:ind w:left="357"/>
        <w:jc w:val="both"/>
        <w:rPr>
          <w:rFonts w:cs="David"/>
          <w:sz w:val="24"/>
          <w:szCs w:val="24"/>
          <w:rtl/>
        </w:rPr>
      </w:pPr>
    </w:p>
    <w:p w:rsidR="003D7F71" w:rsidRDefault="003D7F71" w:rsidP="007A7503">
      <w:pPr>
        <w:spacing w:line="360" w:lineRule="auto"/>
        <w:ind w:left="360"/>
        <w:jc w:val="both"/>
        <w:rPr>
          <w:rFonts w:cs="David"/>
          <w:sz w:val="24"/>
          <w:szCs w:val="24"/>
          <w:rtl/>
        </w:rPr>
      </w:pPr>
      <w:r>
        <w:rPr>
          <w:rFonts w:cs="David" w:hint="cs"/>
          <w:sz w:val="24"/>
          <w:szCs w:val="24"/>
          <w:rtl/>
        </w:rPr>
        <w:t xml:space="preserve">על מנת להבטיח כי אכן </w:t>
      </w:r>
      <w:r w:rsidR="007A7503">
        <w:rPr>
          <w:rFonts w:cs="David" w:hint="cs"/>
          <w:sz w:val="24"/>
          <w:szCs w:val="24"/>
          <w:rtl/>
        </w:rPr>
        <w:t>השולט</w:t>
      </w:r>
      <w:r>
        <w:rPr>
          <w:rFonts w:cs="David" w:hint="cs"/>
          <w:sz w:val="24"/>
          <w:szCs w:val="24"/>
          <w:rtl/>
        </w:rPr>
        <w:t xml:space="preserve"> "הגדול" הוא הדומיננטי בחברה, מוצע להתנות את תחולת ההקלה בכך </w:t>
      </w:r>
      <w:r w:rsidR="007A7503">
        <w:rPr>
          <w:rFonts w:cs="David" w:hint="cs"/>
          <w:sz w:val="24"/>
          <w:szCs w:val="24"/>
          <w:rtl/>
        </w:rPr>
        <w:t>שהשולט</w:t>
      </w:r>
      <w:r>
        <w:rPr>
          <w:rFonts w:cs="David" w:hint="cs"/>
          <w:sz w:val="24"/>
          <w:szCs w:val="24"/>
          <w:rtl/>
        </w:rPr>
        <w:t xml:space="preserve"> "הגדול"</w:t>
      </w:r>
      <w:r w:rsidR="007A7503">
        <w:rPr>
          <w:rFonts w:cs="David" w:hint="cs"/>
          <w:sz w:val="24"/>
          <w:szCs w:val="24"/>
          <w:rtl/>
        </w:rPr>
        <w:t xml:space="preserve"> מ</w:t>
      </w:r>
      <w:r>
        <w:rPr>
          <w:rFonts w:cs="David" w:hint="cs"/>
          <w:sz w:val="24"/>
          <w:szCs w:val="24"/>
          <w:rtl/>
        </w:rPr>
        <w:t xml:space="preserve">מנה מחצית הדירקטורים בחברה לפחות, </w:t>
      </w:r>
      <w:r w:rsidR="007A7503">
        <w:rPr>
          <w:rFonts w:cs="David" w:hint="cs"/>
          <w:sz w:val="24"/>
          <w:szCs w:val="24"/>
          <w:rtl/>
        </w:rPr>
        <w:t>והשולט</w:t>
      </w:r>
      <w:r>
        <w:rPr>
          <w:rFonts w:cs="David" w:hint="cs"/>
          <w:sz w:val="24"/>
          <w:szCs w:val="24"/>
          <w:rtl/>
        </w:rPr>
        <w:t xml:space="preserve"> "הקטן" </w:t>
      </w:r>
      <w:r>
        <w:rPr>
          <w:rFonts w:cs="David"/>
          <w:sz w:val="24"/>
          <w:szCs w:val="24"/>
          <w:rtl/>
        </w:rPr>
        <w:t>–</w:t>
      </w:r>
      <w:r>
        <w:rPr>
          <w:rFonts w:cs="David" w:hint="cs"/>
          <w:sz w:val="24"/>
          <w:szCs w:val="24"/>
          <w:rtl/>
        </w:rPr>
        <w:t xml:space="preserve"> לא יותר מרבע. </w:t>
      </w:r>
    </w:p>
    <w:p w:rsidR="00133127" w:rsidRDefault="00133127" w:rsidP="00571787">
      <w:pPr>
        <w:tabs>
          <w:tab w:val="left" w:pos="-51"/>
        </w:tabs>
        <w:ind w:left="357"/>
        <w:jc w:val="both"/>
        <w:rPr>
          <w:rFonts w:cs="David"/>
          <w:sz w:val="24"/>
          <w:szCs w:val="24"/>
          <w:rtl/>
        </w:rPr>
      </w:pPr>
    </w:p>
    <w:p w:rsidR="00133127" w:rsidRDefault="00133127" w:rsidP="00C549E4">
      <w:pPr>
        <w:numPr>
          <w:ilvl w:val="0"/>
          <w:numId w:val="17"/>
        </w:numPr>
        <w:spacing w:line="360" w:lineRule="auto"/>
        <w:jc w:val="both"/>
        <w:rPr>
          <w:rFonts w:cs="David"/>
          <w:sz w:val="24"/>
          <w:szCs w:val="24"/>
        </w:rPr>
      </w:pPr>
      <w:r>
        <w:rPr>
          <w:rFonts w:cs="David" w:hint="cs"/>
          <w:sz w:val="24"/>
          <w:szCs w:val="24"/>
          <w:rtl/>
        </w:rPr>
        <w:t xml:space="preserve">ישנן שתי חברות שידוע כי הן מצויות במצב זה. על פי המוצע, יקבלו חברות אלה פטור מהוראות </w:t>
      </w:r>
      <w:proofErr w:type="spellStart"/>
      <w:r>
        <w:rPr>
          <w:rFonts w:cs="David" w:hint="cs"/>
          <w:sz w:val="24"/>
          <w:szCs w:val="24"/>
          <w:rtl/>
        </w:rPr>
        <w:t>המימשל</w:t>
      </w:r>
      <w:proofErr w:type="spellEnd"/>
      <w:r>
        <w:rPr>
          <w:rFonts w:cs="David" w:hint="cs"/>
          <w:sz w:val="24"/>
          <w:szCs w:val="24"/>
          <w:rtl/>
        </w:rPr>
        <w:t xml:space="preserve"> התאגידי המחמירות החלות בתקופת המעבר. אולם בסוף תקופת המעבר ייאלץ בעל המניות הקטן למכור את </w:t>
      </w:r>
      <w:proofErr w:type="spellStart"/>
      <w:r>
        <w:rPr>
          <w:rFonts w:cs="David" w:hint="cs"/>
          <w:sz w:val="24"/>
          <w:szCs w:val="24"/>
          <w:rtl/>
        </w:rPr>
        <w:t>החזקותיו</w:t>
      </w:r>
      <w:proofErr w:type="spellEnd"/>
      <w:r>
        <w:rPr>
          <w:rFonts w:cs="David" w:hint="cs"/>
          <w:sz w:val="24"/>
          <w:szCs w:val="24"/>
          <w:rtl/>
        </w:rPr>
        <w:t xml:space="preserve"> בחברה, ואין בתקנות הקלה לעניין זה.</w:t>
      </w:r>
    </w:p>
    <w:p w:rsidR="005953B5" w:rsidRDefault="005953B5" w:rsidP="00312BD6">
      <w:pPr>
        <w:tabs>
          <w:tab w:val="left" w:pos="-51"/>
        </w:tabs>
        <w:spacing w:line="360" w:lineRule="auto"/>
        <w:jc w:val="both"/>
        <w:rPr>
          <w:rFonts w:cs="David"/>
          <w:sz w:val="24"/>
          <w:szCs w:val="24"/>
          <w:rtl/>
        </w:rPr>
      </w:pPr>
    </w:p>
    <w:p w:rsidR="00AE335E" w:rsidRDefault="00395A00" w:rsidP="00312BD6">
      <w:pPr>
        <w:tabs>
          <w:tab w:val="left" w:pos="-51"/>
        </w:tabs>
        <w:spacing w:line="360" w:lineRule="auto"/>
        <w:jc w:val="both"/>
        <w:rPr>
          <w:rFonts w:cs="David"/>
          <w:b/>
          <w:bCs/>
          <w:sz w:val="24"/>
          <w:szCs w:val="24"/>
          <w:u w:val="single"/>
          <w:rtl/>
        </w:rPr>
      </w:pPr>
      <w:r w:rsidRPr="00395A00">
        <w:rPr>
          <w:rFonts w:cs="David" w:hint="cs"/>
          <w:b/>
          <w:bCs/>
          <w:sz w:val="24"/>
          <w:szCs w:val="24"/>
          <w:u w:val="single"/>
          <w:rtl/>
        </w:rPr>
        <w:t>חברות זרות הנסחרות בחו"ל ובישראל</w:t>
      </w:r>
      <w:r w:rsidR="00AB22AA">
        <w:rPr>
          <w:rFonts w:cs="David" w:hint="cs"/>
          <w:b/>
          <w:bCs/>
          <w:sz w:val="24"/>
          <w:szCs w:val="24"/>
          <w:u w:val="single"/>
          <w:rtl/>
        </w:rPr>
        <w:t xml:space="preserve"> (תקנה 3(3))</w:t>
      </w:r>
    </w:p>
    <w:p w:rsidR="00D57B7F" w:rsidRPr="00571787" w:rsidRDefault="00D57B7F" w:rsidP="00571787">
      <w:pPr>
        <w:tabs>
          <w:tab w:val="left" w:pos="-51"/>
        </w:tabs>
        <w:ind w:left="357"/>
        <w:jc w:val="both"/>
        <w:rPr>
          <w:rFonts w:cs="David"/>
          <w:sz w:val="24"/>
          <w:szCs w:val="24"/>
          <w:rtl/>
        </w:rPr>
      </w:pPr>
    </w:p>
    <w:p w:rsidR="00B76048" w:rsidRDefault="007128F8" w:rsidP="00E51230">
      <w:pPr>
        <w:numPr>
          <w:ilvl w:val="0"/>
          <w:numId w:val="17"/>
        </w:numPr>
        <w:spacing w:line="360" w:lineRule="auto"/>
        <w:jc w:val="both"/>
        <w:rPr>
          <w:rFonts w:cs="David"/>
          <w:sz w:val="24"/>
          <w:szCs w:val="24"/>
        </w:rPr>
      </w:pPr>
      <w:r>
        <w:rPr>
          <w:rFonts w:cs="David" w:hint="cs"/>
          <w:sz w:val="24"/>
          <w:szCs w:val="24"/>
          <w:rtl/>
        </w:rPr>
        <w:t xml:space="preserve">התקנות אף מציעות פטור מתחולת </w:t>
      </w:r>
      <w:r w:rsidR="005760BD">
        <w:rPr>
          <w:rFonts w:cs="David" w:hint="cs"/>
          <w:sz w:val="24"/>
          <w:szCs w:val="24"/>
          <w:rtl/>
        </w:rPr>
        <w:t>הוראות המעבר ב</w:t>
      </w:r>
      <w:r>
        <w:rPr>
          <w:rFonts w:cs="David" w:hint="cs"/>
          <w:sz w:val="24"/>
          <w:szCs w:val="24"/>
          <w:rtl/>
        </w:rPr>
        <w:t>חוק לחברות חוץ.</w:t>
      </w:r>
      <w:r w:rsidR="00395A00" w:rsidRPr="000524E6">
        <w:rPr>
          <w:rFonts w:cs="David" w:hint="cs"/>
          <w:sz w:val="24"/>
          <w:szCs w:val="24"/>
          <w:rtl/>
        </w:rPr>
        <w:t xml:space="preserve"> </w:t>
      </w:r>
      <w:r w:rsidR="00133127">
        <w:rPr>
          <w:rFonts w:cs="David" w:hint="cs"/>
          <w:sz w:val="24"/>
          <w:szCs w:val="24"/>
          <w:rtl/>
        </w:rPr>
        <w:t xml:space="preserve">מדובר בחברות </w:t>
      </w:r>
      <w:r w:rsidR="00395A00" w:rsidRPr="000524E6">
        <w:rPr>
          <w:rFonts w:cs="David" w:hint="cs"/>
          <w:sz w:val="24"/>
          <w:szCs w:val="24"/>
          <w:rtl/>
        </w:rPr>
        <w:t>שאינן רשומות בישראל</w:t>
      </w:r>
      <w:r w:rsidR="00B85032">
        <w:rPr>
          <w:rFonts w:cs="David" w:hint="cs"/>
          <w:sz w:val="24"/>
          <w:szCs w:val="24"/>
          <w:rtl/>
        </w:rPr>
        <w:t>,</w:t>
      </w:r>
      <w:r w:rsidR="00395A00" w:rsidRPr="000524E6">
        <w:rPr>
          <w:rFonts w:cs="David" w:hint="cs"/>
          <w:sz w:val="24"/>
          <w:szCs w:val="24"/>
          <w:rtl/>
        </w:rPr>
        <w:t xml:space="preserve"> </w:t>
      </w:r>
      <w:r w:rsidR="00AC29BA">
        <w:rPr>
          <w:rFonts w:cs="David" w:hint="cs"/>
          <w:sz w:val="24"/>
          <w:szCs w:val="24"/>
          <w:rtl/>
        </w:rPr>
        <w:t>ו</w:t>
      </w:r>
      <w:r w:rsidR="00395A00" w:rsidRPr="000524E6">
        <w:rPr>
          <w:rFonts w:cs="David" w:hint="cs"/>
          <w:sz w:val="24"/>
          <w:szCs w:val="24"/>
          <w:rtl/>
        </w:rPr>
        <w:t xml:space="preserve">נסחרות </w:t>
      </w:r>
      <w:r w:rsidR="00133127">
        <w:rPr>
          <w:rFonts w:cs="David" w:hint="cs"/>
          <w:sz w:val="24"/>
          <w:szCs w:val="24"/>
          <w:rtl/>
        </w:rPr>
        <w:t xml:space="preserve">הן </w:t>
      </w:r>
      <w:r w:rsidR="00395A00" w:rsidRPr="000524E6">
        <w:rPr>
          <w:rFonts w:cs="David" w:hint="cs"/>
          <w:sz w:val="24"/>
          <w:szCs w:val="24"/>
          <w:rtl/>
        </w:rPr>
        <w:t>בבורסה זרה ו</w:t>
      </w:r>
      <w:r w:rsidR="00133127">
        <w:rPr>
          <w:rFonts w:cs="David" w:hint="cs"/>
          <w:sz w:val="24"/>
          <w:szCs w:val="24"/>
          <w:rtl/>
        </w:rPr>
        <w:t xml:space="preserve">הן </w:t>
      </w:r>
      <w:r w:rsidR="00395A00" w:rsidRPr="000524E6">
        <w:rPr>
          <w:rFonts w:cs="David" w:hint="cs"/>
          <w:sz w:val="24"/>
          <w:szCs w:val="24"/>
          <w:rtl/>
        </w:rPr>
        <w:t>בבורסה בתל אביב</w:t>
      </w:r>
      <w:r w:rsidR="0018785F">
        <w:rPr>
          <w:rFonts w:cs="David" w:hint="cs"/>
          <w:sz w:val="24"/>
          <w:szCs w:val="24"/>
          <w:rtl/>
        </w:rPr>
        <w:t xml:space="preserve">. ההקלה נוגעת רק לחברות חוץ </w:t>
      </w:r>
      <w:r w:rsidR="00020CB8">
        <w:rPr>
          <w:rFonts w:cs="David" w:hint="cs"/>
          <w:sz w:val="24"/>
          <w:szCs w:val="24"/>
          <w:rtl/>
        </w:rPr>
        <w:t>ש</w:t>
      </w:r>
      <w:r w:rsidR="00395A00" w:rsidRPr="000524E6">
        <w:rPr>
          <w:rFonts w:cs="David" w:hint="cs"/>
          <w:sz w:val="24"/>
          <w:szCs w:val="24"/>
          <w:rtl/>
        </w:rPr>
        <w:t>הן חבר</w:t>
      </w:r>
      <w:r w:rsidR="0018785F">
        <w:rPr>
          <w:rFonts w:cs="David" w:hint="cs"/>
          <w:sz w:val="24"/>
          <w:szCs w:val="24"/>
          <w:rtl/>
        </w:rPr>
        <w:t>ו</w:t>
      </w:r>
      <w:r w:rsidR="00395A00" w:rsidRPr="000524E6">
        <w:rPr>
          <w:rFonts w:cs="David" w:hint="cs"/>
          <w:sz w:val="24"/>
          <w:szCs w:val="24"/>
          <w:rtl/>
        </w:rPr>
        <w:t xml:space="preserve">ת </w:t>
      </w:r>
      <w:r w:rsidR="0018785F">
        <w:rPr>
          <w:rFonts w:cs="David" w:hint="cs"/>
          <w:sz w:val="24"/>
          <w:szCs w:val="24"/>
          <w:rtl/>
        </w:rPr>
        <w:t>ב</w:t>
      </w:r>
      <w:r w:rsidR="00395A00" w:rsidRPr="000524E6">
        <w:rPr>
          <w:rFonts w:cs="David" w:hint="cs"/>
          <w:sz w:val="24"/>
          <w:szCs w:val="24"/>
          <w:rtl/>
        </w:rPr>
        <w:t xml:space="preserve">שכבה </w:t>
      </w:r>
      <w:r w:rsidR="0018785F">
        <w:rPr>
          <w:rFonts w:cs="David" w:hint="cs"/>
          <w:sz w:val="24"/>
          <w:szCs w:val="24"/>
          <w:rtl/>
        </w:rPr>
        <w:t>ה</w:t>
      </w:r>
      <w:r w:rsidR="00395A00" w:rsidRPr="000524E6">
        <w:rPr>
          <w:rFonts w:cs="David" w:hint="cs"/>
          <w:sz w:val="24"/>
          <w:szCs w:val="24"/>
          <w:rtl/>
        </w:rPr>
        <w:t>שלישית</w:t>
      </w:r>
      <w:r w:rsidR="0018785F">
        <w:rPr>
          <w:rFonts w:cs="David" w:hint="cs"/>
          <w:sz w:val="24"/>
          <w:szCs w:val="24"/>
          <w:rtl/>
        </w:rPr>
        <w:t xml:space="preserve"> ומטה</w:t>
      </w:r>
      <w:r w:rsidR="00931A4F">
        <w:rPr>
          <w:rFonts w:cs="David" w:hint="cs"/>
          <w:sz w:val="24"/>
          <w:szCs w:val="24"/>
          <w:rtl/>
        </w:rPr>
        <w:t>, ועליהן אמורות לחול הוראות המעבר</w:t>
      </w:r>
      <w:r w:rsidR="00395A00" w:rsidRPr="000524E6">
        <w:rPr>
          <w:rFonts w:cs="David" w:hint="cs"/>
          <w:sz w:val="24"/>
          <w:szCs w:val="24"/>
          <w:rtl/>
        </w:rPr>
        <w:t>.</w:t>
      </w:r>
      <w:r w:rsidR="00B85032">
        <w:rPr>
          <w:rFonts w:cs="David" w:hint="cs"/>
          <w:sz w:val="24"/>
          <w:szCs w:val="24"/>
          <w:rtl/>
        </w:rPr>
        <w:t xml:space="preserve"> </w:t>
      </w:r>
    </w:p>
    <w:p w:rsidR="00020CB8" w:rsidRDefault="00020CB8" w:rsidP="00571787">
      <w:pPr>
        <w:tabs>
          <w:tab w:val="left" w:pos="-51"/>
        </w:tabs>
        <w:ind w:left="357"/>
        <w:jc w:val="both"/>
        <w:rPr>
          <w:rFonts w:cs="David"/>
          <w:sz w:val="24"/>
          <w:szCs w:val="24"/>
        </w:rPr>
      </w:pPr>
    </w:p>
    <w:p w:rsidR="00B76048" w:rsidRDefault="00B85032" w:rsidP="0041553D">
      <w:pPr>
        <w:spacing w:line="360" w:lineRule="auto"/>
        <w:ind w:left="360"/>
        <w:jc w:val="both"/>
        <w:rPr>
          <w:rFonts w:cs="David"/>
          <w:sz w:val="24"/>
          <w:szCs w:val="24"/>
        </w:rPr>
      </w:pPr>
      <w:r>
        <w:rPr>
          <w:rFonts w:cs="David" w:hint="cs"/>
          <w:sz w:val="24"/>
          <w:szCs w:val="24"/>
          <w:rtl/>
        </w:rPr>
        <w:t>חברות חוץ לא הוקמו לפי חוק החברות אלא לפי דין של מדינה אחרת. לכן לא חל עליהן</w:t>
      </w:r>
      <w:r w:rsidR="000500BF" w:rsidRPr="000524E6">
        <w:rPr>
          <w:rFonts w:cs="David" w:hint="cs"/>
          <w:sz w:val="24"/>
          <w:szCs w:val="24"/>
          <w:rtl/>
        </w:rPr>
        <w:t xml:space="preserve"> חוק החברות</w:t>
      </w:r>
      <w:r>
        <w:rPr>
          <w:rFonts w:cs="David" w:hint="cs"/>
          <w:sz w:val="24"/>
          <w:szCs w:val="24"/>
          <w:rtl/>
        </w:rPr>
        <w:t>, אלא</w:t>
      </w:r>
      <w:r w:rsidR="000500BF" w:rsidRPr="000524E6">
        <w:rPr>
          <w:rFonts w:cs="David" w:hint="cs"/>
          <w:sz w:val="24"/>
          <w:szCs w:val="24"/>
          <w:rtl/>
        </w:rPr>
        <w:t xml:space="preserve"> דיני החברות של מדינת הרישום</w:t>
      </w:r>
      <w:r w:rsidR="007128F8">
        <w:rPr>
          <w:rFonts w:cs="David" w:hint="cs"/>
          <w:sz w:val="24"/>
          <w:szCs w:val="24"/>
          <w:rtl/>
        </w:rPr>
        <w:t xml:space="preserve"> השונים מהדין הישראלי בהיבטים הרלוונטיים לחוק</w:t>
      </w:r>
      <w:r w:rsidR="000500BF" w:rsidRPr="000524E6">
        <w:rPr>
          <w:rFonts w:cs="David" w:hint="cs"/>
          <w:sz w:val="24"/>
          <w:szCs w:val="24"/>
          <w:rtl/>
        </w:rPr>
        <w:t xml:space="preserve">. </w:t>
      </w:r>
    </w:p>
    <w:p w:rsidR="00755F02" w:rsidRPr="005C7351" w:rsidRDefault="00755F02" w:rsidP="00571787">
      <w:pPr>
        <w:tabs>
          <w:tab w:val="left" w:pos="-51"/>
        </w:tabs>
        <w:ind w:left="357"/>
        <w:jc w:val="both"/>
        <w:rPr>
          <w:rFonts w:cs="David"/>
          <w:sz w:val="24"/>
          <w:szCs w:val="24"/>
        </w:rPr>
      </w:pPr>
    </w:p>
    <w:p w:rsidR="00B76048" w:rsidRDefault="001805F0">
      <w:pPr>
        <w:numPr>
          <w:ilvl w:val="0"/>
          <w:numId w:val="17"/>
        </w:numPr>
        <w:spacing w:line="360" w:lineRule="auto"/>
        <w:jc w:val="both"/>
        <w:rPr>
          <w:rFonts w:cs="David"/>
          <w:sz w:val="24"/>
          <w:szCs w:val="24"/>
          <w:rtl/>
        </w:rPr>
      </w:pPr>
      <w:r>
        <w:rPr>
          <w:rFonts w:cs="David" w:hint="cs"/>
          <w:sz w:val="24"/>
          <w:szCs w:val="24"/>
          <w:rtl/>
        </w:rPr>
        <w:t xml:space="preserve">כללי </w:t>
      </w:r>
      <w:proofErr w:type="spellStart"/>
      <w:r>
        <w:rPr>
          <w:rFonts w:cs="David" w:hint="cs"/>
          <w:sz w:val="24"/>
          <w:szCs w:val="24"/>
          <w:rtl/>
        </w:rPr>
        <w:t>המימשל</w:t>
      </w:r>
      <w:proofErr w:type="spellEnd"/>
      <w:r>
        <w:rPr>
          <w:rFonts w:cs="David" w:hint="cs"/>
          <w:sz w:val="24"/>
          <w:szCs w:val="24"/>
          <w:rtl/>
        </w:rPr>
        <w:t xml:space="preserve"> התאגידי המחמירים בתקופת המעבר נועדו להגדיל את מספר הדירקטורים החיצוניים ואת מספר הדירקטורים הבלתי תלויים על מנת להבטיח שהדירקטוריון בתקופה זו יהיה עצמאי ככל שניתן </w:t>
      </w:r>
      <w:r w:rsidR="00622A57">
        <w:rPr>
          <w:rFonts w:cs="David" w:hint="cs"/>
          <w:sz w:val="24"/>
          <w:szCs w:val="24"/>
          <w:rtl/>
        </w:rPr>
        <w:t>מ</w:t>
      </w:r>
      <w:r>
        <w:rPr>
          <w:rFonts w:cs="David" w:hint="cs"/>
          <w:sz w:val="24"/>
          <w:szCs w:val="24"/>
          <w:rtl/>
        </w:rPr>
        <w:t xml:space="preserve">בעל השליטה. </w:t>
      </w:r>
      <w:r w:rsidR="00622A57">
        <w:rPr>
          <w:rFonts w:cs="David" w:hint="cs"/>
          <w:sz w:val="24"/>
          <w:szCs w:val="24"/>
          <w:rtl/>
        </w:rPr>
        <w:t>הוראות אלה אינן מתאימות להחלה על חברות חוץ, שאינן ממנות דירקטורים חיצוניים כלל, ושאלת אי התלות או העצמאות של דירקטורים בהן נגזרת מהדין הזר החל עליהן.</w:t>
      </w:r>
    </w:p>
    <w:p w:rsidR="00395A00" w:rsidRPr="001E1432" w:rsidRDefault="00395A00" w:rsidP="00571787">
      <w:pPr>
        <w:tabs>
          <w:tab w:val="left" w:pos="-51"/>
        </w:tabs>
        <w:ind w:left="357"/>
        <w:jc w:val="both"/>
        <w:rPr>
          <w:rFonts w:cs="David"/>
          <w:sz w:val="24"/>
          <w:szCs w:val="24"/>
          <w:rtl/>
        </w:rPr>
      </w:pPr>
    </w:p>
    <w:p w:rsidR="00395A00" w:rsidRDefault="000C6F85" w:rsidP="00E51230">
      <w:pPr>
        <w:numPr>
          <w:ilvl w:val="0"/>
          <w:numId w:val="17"/>
        </w:numPr>
        <w:spacing w:line="360" w:lineRule="auto"/>
        <w:jc w:val="both"/>
        <w:rPr>
          <w:rFonts w:cs="David"/>
          <w:sz w:val="24"/>
          <w:szCs w:val="24"/>
          <w:rtl/>
        </w:rPr>
      </w:pPr>
      <w:r>
        <w:rPr>
          <w:rFonts w:cs="David" w:hint="cs"/>
          <w:sz w:val="24"/>
          <w:szCs w:val="24"/>
          <w:rtl/>
        </w:rPr>
        <w:t xml:space="preserve">לפיכך </w:t>
      </w:r>
      <w:r w:rsidR="00E51230">
        <w:rPr>
          <w:rFonts w:cs="David" w:hint="cs"/>
          <w:sz w:val="24"/>
          <w:szCs w:val="24"/>
          <w:rtl/>
        </w:rPr>
        <w:t>מוצע</w:t>
      </w:r>
      <w:r w:rsidR="00395A00">
        <w:rPr>
          <w:rFonts w:cs="David" w:hint="cs"/>
          <w:sz w:val="24"/>
          <w:szCs w:val="24"/>
          <w:rtl/>
        </w:rPr>
        <w:t xml:space="preserve"> לפטור חברות אלה מחלק מכללי </w:t>
      </w:r>
      <w:proofErr w:type="spellStart"/>
      <w:r w:rsidR="00395A00">
        <w:rPr>
          <w:rFonts w:cs="David" w:hint="cs"/>
          <w:sz w:val="24"/>
          <w:szCs w:val="24"/>
          <w:rtl/>
        </w:rPr>
        <w:t>המימשל</w:t>
      </w:r>
      <w:proofErr w:type="spellEnd"/>
      <w:r w:rsidR="00395A00">
        <w:rPr>
          <w:rFonts w:cs="David" w:hint="cs"/>
          <w:sz w:val="24"/>
          <w:szCs w:val="24"/>
          <w:rtl/>
        </w:rPr>
        <w:t xml:space="preserve"> התאגידי המחמירים בתקופת </w:t>
      </w:r>
      <w:r w:rsidR="00755F02">
        <w:rPr>
          <w:rFonts w:cs="David" w:hint="cs"/>
          <w:sz w:val="24"/>
          <w:szCs w:val="24"/>
          <w:rtl/>
        </w:rPr>
        <w:t>ה</w:t>
      </w:r>
      <w:r w:rsidR="00395A00">
        <w:rPr>
          <w:rFonts w:cs="David" w:hint="cs"/>
          <w:sz w:val="24"/>
          <w:szCs w:val="24"/>
          <w:rtl/>
        </w:rPr>
        <w:t xml:space="preserve">מעבר, תוך </w:t>
      </w:r>
      <w:r w:rsidR="00755F02">
        <w:rPr>
          <w:rFonts w:cs="David" w:hint="cs"/>
          <w:sz w:val="24"/>
          <w:szCs w:val="24"/>
          <w:rtl/>
        </w:rPr>
        <w:t xml:space="preserve">שמירה על </w:t>
      </w:r>
      <w:proofErr w:type="spellStart"/>
      <w:r w:rsidR="00755F02">
        <w:rPr>
          <w:rFonts w:cs="David" w:hint="cs"/>
          <w:sz w:val="24"/>
          <w:szCs w:val="24"/>
          <w:rtl/>
        </w:rPr>
        <w:t>העקרון</w:t>
      </w:r>
      <w:proofErr w:type="spellEnd"/>
      <w:r w:rsidR="00755F02">
        <w:rPr>
          <w:rFonts w:cs="David" w:hint="cs"/>
          <w:sz w:val="24"/>
          <w:szCs w:val="24"/>
          <w:rtl/>
        </w:rPr>
        <w:t xml:space="preserve"> היסודי </w:t>
      </w:r>
      <w:r w:rsidR="00395A00">
        <w:rPr>
          <w:rFonts w:cs="David" w:hint="cs"/>
          <w:sz w:val="24"/>
          <w:szCs w:val="24"/>
          <w:rtl/>
        </w:rPr>
        <w:t xml:space="preserve">של </w:t>
      </w:r>
      <w:r w:rsidR="00755F02">
        <w:rPr>
          <w:rFonts w:cs="David" w:hint="cs"/>
          <w:sz w:val="24"/>
          <w:szCs w:val="24"/>
          <w:rtl/>
        </w:rPr>
        <w:t xml:space="preserve">הוראות המעבר, </w:t>
      </w:r>
      <w:r w:rsidR="00020CB8">
        <w:rPr>
          <w:rFonts w:cs="David" w:hint="cs"/>
          <w:sz w:val="24"/>
          <w:szCs w:val="24"/>
          <w:rtl/>
        </w:rPr>
        <w:t xml:space="preserve">ולפיו בחברות אלה יהיה </w:t>
      </w:r>
      <w:r w:rsidR="00755F02">
        <w:rPr>
          <w:rFonts w:cs="David" w:hint="cs"/>
          <w:sz w:val="24"/>
          <w:szCs w:val="24"/>
          <w:rtl/>
        </w:rPr>
        <w:t xml:space="preserve"> </w:t>
      </w:r>
      <w:r w:rsidR="00395A00">
        <w:rPr>
          <w:rFonts w:cs="David" w:hint="cs"/>
          <w:sz w:val="24"/>
          <w:szCs w:val="24"/>
          <w:rtl/>
        </w:rPr>
        <w:t xml:space="preserve">רוב בלתי תלוי בדירקטוריון. מוצע כי תנאי להקלה יהיה </w:t>
      </w:r>
      <w:r w:rsidR="00395A00" w:rsidRPr="00CA70CD">
        <w:rPr>
          <w:rFonts w:cs="David" w:hint="cs"/>
          <w:sz w:val="24"/>
          <w:szCs w:val="24"/>
          <w:u w:val="single"/>
          <w:rtl/>
        </w:rPr>
        <w:t>שרוב</w:t>
      </w:r>
      <w:r w:rsidR="00395A00">
        <w:rPr>
          <w:rFonts w:cs="David" w:hint="cs"/>
          <w:sz w:val="24"/>
          <w:szCs w:val="24"/>
          <w:rtl/>
        </w:rPr>
        <w:t xml:space="preserve"> הדירקטורים ב</w:t>
      </w:r>
      <w:r w:rsidR="00755F02">
        <w:rPr>
          <w:rFonts w:cs="David" w:hint="cs"/>
          <w:sz w:val="24"/>
          <w:szCs w:val="24"/>
          <w:rtl/>
        </w:rPr>
        <w:t>חברות אלה</w:t>
      </w:r>
      <w:r w:rsidR="00395A00">
        <w:rPr>
          <w:rFonts w:cs="David" w:hint="cs"/>
          <w:sz w:val="24"/>
          <w:szCs w:val="24"/>
          <w:rtl/>
        </w:rPr>
        <w:t xml:space="preserve"> יהיו בלתי תלויים או עצמאיים מבעל השליטה לפי הוראות הדין הזר. עוד מוצע לקבוע כי </w:t>
      </w:r>
      <w:r w:rsidR="007314AC">
        <w:rPr>
          <w:rFonts w:cs="David" w:hint="cs"/>
          <w:sz w:val="24"/>
          <w:szCs w:val="24"/>
          <w:rtl/>
        </w:rPr>
        <w:t xml:space="preserve">אותם דירקטורים עצמאיים יידרשו לעמוד גם בדרישות אי התלות הבסיסיות החלות </w:t>
      </w:r>
      <w:r w:rsidR="00395A00">
        <w:rPr>
          <w:rFonts w:cs="David" w:hint="cs"/>
          <w:sz w:val="24"/>
          <w:szCs w:val="24"/>
          <w:rtl/>
        </w:rPr>
        <w:t>על דירקטור בלתי תלוי לפי חוק החברות</w:t>
      </w:r>
      <w:r w:rsidR="008A1FB5">
        <w:rPr>
          <w:rFonts w:cs="David" w:hint="cs"/>
          <w:sz w:val="24"/>
          <w:szCs w:val="24"/>
          <w:rtl/>
        </w:rPr>
        <w:t xml:space="preserve">. זאת על מנת להבטיח כי הסטנדרט הבסיסי של אי תלות בבעל השליטה ובחברה יישמר. </w:t>
      </w:r>
    </w:p>
    <w:p w:rsidR="00395A00" w:rsidRDefault="00395A00" w:rsidP="00571787">
      <w:pPr>
        <w:tabs>
          <w:tab w:val="left" w:pos="-51"/>
        </w:tabs>
        <w:ind w:left="357"/>
        <w:jc w:val="both"/>
        <w:rPr>
          <w:rFonts w:cs="David"/>
          <w:sz w:val="24"/>
          <w:szCs w:val="24"/>
          <w:rtl/>
        </w:rPr>
      </w:pPr>
    </w:p>
    <w:p w:rsidR="00395A00" w:rsidRDefault="00395A00" w:rsidP="00E62D17">
      <w:pPr>
        <w:spacing w:line="360" w:lineRule="auto"/>
        <w:ind w:left="360"/>
        <w:jc w:val="both"/>
        <w:rPr>
          <w:rFonts w:cs="David"/>
          <w:sz w:val="24"/>
          <w:szCs w:val="24"/>
          <w:rtl/>
        </w:rPr>
      </w:pPr>
      <w:r>
        <w:rPr>
          <w:rFonts w:cs="David" w:hint="cs"/>
          <w:sz w:val="24"/>
          <w:szCs w:val="24"/>
          <w:rtl/>
        </w:rPr>
        <w:lastRenderedPageBreak/>
        <w:t>יובהר כי</w:t>
      </w:r>
      <w:r w:rsidR="00A544F7">
        <w:rPr>
          <w:rFonts w:cs="David" w:hint="cs"/>
          <w:sz w:val="24"/>
          <w:szCs w:val="24"/>
          <w:rtl/>
        </w:rPr>
        <w:t xml:space="preserve"> בניגוד לדין הישראלי,</w:t>
      </w:r>
      <w:r>
        <w:rPr>
          <w:rFonts w:cs="David" w:hint="cs"/>
          <w:sz w:val="24"/>
          <w:szCs w:val="24"/>
          <w:rtl/>
        </w:rPr>
        <w:t xml:space="preserve"> תנאי אי-התלות המוצעים אינם כוללים הגבלה על גמול והחזר הוצאות של דירקטורים בלתי תלויים לפי חוק החברות</w:t>
      </w:r>
      <w:r w:rsidR="00020CB8">
        <w:rPr>
          <w:rFonts w:cs="David" w:hint="cs"/>
          <w:sz w:val="24"/>
          <w:szCs w:val="24"/>
          <w:rtl/>
        </w:rPr>
        <w:t>. זאת כיוון ש</w:t>
      </w:r>
      <w:r>
        <w:rPr>
          <w:rFonts w:cs="David" w:hint="cs"/>
          <w:sz w:val="24"/>
          <w:szCs w:val="24"/>
          <w:rtl/>
        </w:rPr>
        <w:t xml:space="preserve">תנאים אלה אינם מתאימים לדירקטורים הפועלים במדינות חוץ והחלתם עלולה להביא לסתירה עם ההוראות הדין הזר החל עליהם.    </w:t>
      </w:r>
    </w:p>
    <w:p w:rsidR="00395A00" w:rsidRDefault="00395A00" w:rsidP="00571787">
      <w:pPr>
        <w:tabs>
          <w:tab w:val="left" w:pos="-51"/>
        </w:tabs>
        <w:ind w:left="357"/>
        <w:jc w:val="both"/>
        <w:rPr>
          <w:rFonts w:cs="David"/>
          <w:sz w:val="24"/>
          <w:szCs w:val="24"/>
          <w:rtl/>
        </w:rPr>
      </w:pPr>
    </w:p>
    <w:p w:rsidR="00395A00" w:rsidRPr="00805845" w:rsidRDefault="00F93B4B" w:rsidP="0041553D">
      <w:pPr>
        <w:numPr>
          <w:ilvl w:val="0"/>
          <w:numId w:val="17"/>
        </w:numPr>
        <w:spacing w:line="360" w:lineRule="auto"/>
        <w:jc w:val="both"/>
        <w:rPr>
          <w:rFonts w:cs="David"/>
          <w:sz w:val="24"/>
          <w:szCs w:val="24"/>
          <w:rtl/>
        </w:rPr>
      </w:pPr>
      <w:r>
        <w:rPr>
          <w:rFonts w:cs="David" w:hint="cs"/>
          <w:sz w:val="24"/>
          <w:szCs w:val="24"/>
          <w:rtl/>
        </w:rPr>
        <w:t>יודגש כי ההקלה היא רק ביחס להוראת המעבר, ובתום תקופת המעבר תחול חובת ה"קיפול" כרגיל.</w:t>
      </w:r>
    </w:p>
    <w:p w:rsidR="00DE3859" w:rsidRDefault="00DE3859" w:rsidP="00395A00">
      <w:pPr>
        <w:spacing w:line="360" w:lineRule="auto"/>
        <w:jc w:val="both"/>
        <w:rPr>
          <w:rFonts w:cs="David"/>
          <w:b/>
          <w:bCs/>
          <w:sz w:val="24"/>
          <w:szCs w:val="24"/>
          <w:u w:val="single"/>
          <w:rtl/>
        </w:rPr>
      </w:pPr>
    </w:p>
    <w:p w:rsidR="00395A00" w:rsidRDefault="00DE3859" w:rsidP="00DE3859">
      <w:pPr>
        <w:spacing w:line="360" w:lineRule="auto"/>
        <w:jc w:val="both"/>
        <w:rPr>
          <w:rFonts w:cs="David"/>
          <w:b/>
          <w:bCs/>
          <w:sz w:val="24"/>
          <w:szCs w:val="24"/>
          <w:u w:val="single"/>
          <w:rtl/>
        </w:rPr>
      </w:pPr>
      <w:r>
        <w:rPr>
          <w:rFonts w:cs="David" w:hint="cs"/>
          <w:b/>
          <w:bCs/>
          <w:sz w:val="24"/>
          <w:szCs w:val="24"/>
          <w:u w:val="single"/>
          <w:rtl/>
        </w:rPr>
        <w:t>החזקות של גופי השקעה פיננסיים</w:t>
      </w:r>
      <w:r w:rsidR="009F1B59">
        <w:rPr>
          <w:rFonts w:cs="David" w:hint="cs"/>
          <w:b/>
          <w:bCs/>
          <w:sz w:val="24"/>
          <w:szCs w:val="24"/>
          <w:u w:val="single"/>
          <w:rtl/>
        </w:rPr>
        <w:t xml:space="preserve"> (תקנה 4)</w:t>
      </w:r>
    </w:p>
    <w:p w:rsidR="00500EE5" w:rsidRDefault="00500EE5" w:rsidP="00571787">
      <w:pPr>
        <w:tabs>
          <w:tab w:val="left" w:pos="-51"/>
        </w:tabs>
        <w:ind w:left="357"/>
        <w:jc w:val="both"/>
        <w:rPr>
          <w:rFonts w:cs="David"/>
          <w:sz w:val="24"/>
          <w:szCs w:val="24"/>
          <w:rtl/>
        </w:rPr>
      </w:pPr>
    </w:p>
    <w:p w:rsidR="009430EA" w:rsidRDefault="00242229" w:rsidP="00E51230">
      <w:pPr>
        <w:numPr>
          <w:ilvl w:val="0"/>
          <w:numId w:val="17"/>
        </w:numPr>
        <w:tabs>
          <w:tab w:val="left" w:pos="-51"/>
        </w:tabs>
        <w:spacing w:line="360" w:lineRule="auto"/>
        <w:jc w:val="both"/>
        <w:rPr>
          <w:rFonts w:cs="David"/>
          <w:sz w:val="24"/>
          <w:szCs w:val="24"/>
        </w:rPr>
      </w:pPr>
      <w:r w:rsidRPr="000524E6">
        <w:rPr>
          <w:rFonts w:cs="David" w:hint="cs"/>
          <w:sz w:val="24"/>
          <w:szCs w:val="24"/>
          <w:rtl/>
        </w:rPr>
        <w:t xml:space="preserve">נושא </w:t>
      </w:r>
      <w:r>
        <w:rPr>
          <w:rFonts w:cs="David" w:hint="cs"/>
          <w:sz w:val="24"/>
          <w:szCs w:val="24"/>
          <w:rtl/>
        </w:rPr>
        <w:t>אחרון</w:t>
      </w:r>
      <w:r w:rsidRPr="000524E6">
        <w:rPr>
          <w:rFonts w:cs="David" w:hint="cs"/>
          <w:sz w:val="24"/>
          <w:szCs w:val="24"/>
          <w:rtl/>
        </w:rPr>
        <w:t xml:space="preserve"> אותו מסדירות התקנות המוצעות</w:t>
      </w:r>
      <w:r>
        <w:rPr>
          <w:rFonts w:cs="David" w:hint="cs"/>
          <w:sz w:val="24"/>
          <w:szCs w:val="24"/>
          <w:rtl/>
        </w:rPr>
        <w:t xml:space="preserve"> נוגע </w:t>
      </w:r>
      <w:proofErr w:type="spellStart"/>
      <w:r>
        <w:rPr>
          <w:rFonts w:cs="David" w:hint="cs"/>
          <w:sz w:val="24"/>
          <w:szCs w:val="24"/>
          <w:rtl/>
        </w:rPr>
        <w:t>להחזקות</w:t>
      </w:r>
      <w:proofErr w:type="spellEnd"/>
      <w:r>
        <w:rPr>
          <w:rFonts w:cs="David" w:hint="cs"/>
          <w:sz w:val="24"/>
          <w:szCs w:val="24"/>
          <w:rtl/>
        </w:rPr>
        <w:t xml:space="preserve"> של גופי השקעה פיננסיים עבור לקוחותיהם. </w:t>
      </w:r>
    </w:p>
    <w:p w:rsidR="00B76048" w:rsidRDefault="00B76048" w:rsidP="00571787">
      <w:pPr>
        <w:tabs>
          <w:tab w:val="left" w:pos="-51"/>
        </w:tabs>
        <w:ind w:left="357"/>
        <w:jc w:val="both"/>
        <w:rPr>
          <w:rFonts w:cs="David"/>
          <w:sz w:val="24"/>
          <w:szCs w:val="24"/>
        </w:rPr>
      </w:pPr>
    </w:p>
    <w:p w:rsidR="00CB2220" w:rsidRDefault="00500EE5" w:rsidP="002C04E9">
      <w:pPr>
        <w:numPr>
          <w:ilvl w:val="0"/>
          <w:numId w:val="17"/>
        </w:numPr>
        <w:tabs>
          <w:tab w:val="left" w:pos="-51"/>
        </w:tabs>
        <w:spacing w:line="360" w:lineRule="auto"/>
        <w:jc w:val="both"/>
        <w:rPr>
          <w:rFonts w:cs="David"/>
          <w:sz w:val="24"/>
          <w:szCs w:val="24"/>
        </w:rPr>
      </w:pPr>
      <w:r>
        <w:rPr>
          <w:rFonts w:cs="David" w:hint="cs"/>
          <w:sz w:val="24"/>
          <w:szCs w:val="24"/>
          <w:rtl/>
        </w:rPr>
        <w:t xml:space="preserve">מבנה פירמידלי </w:t>
      </w:r>
      <w:r w:rsidR="006F4C77">
        <w:rPr>
          <w:rFonts w:cs="David" w:hint="cs"/>
          <w:sz w:val="24"/>
          <w:szCs w:val="24"/>
          <w:rtl/>
        </w:rPr>
        <w:t xml:space="preserve">מוגדר </w:t>
      </w:r>
      <w:r>
        <w:rPr>
          <w:rFonts w:cs="David" w:hint="cs"/>
          <w:sz w:val="24"/>
          <w:szCs w:val="24"/>
          <w:rtl/>
        </w:rPr>
        <w:t xml:space="preserve">בחוק </w:t>
      </w:r>
      <w:r w:rsidR="006F4C77">
        <w:rPr>
          <w:rFonts w:cs="David" w:hint="cs"/>
          <w:sz w:val="24"/>
          <w:szCs w:val="24"/>
          <w:rtl/>
        </w:rPr>
        <w:t xml:space="preserve">כשליטה של חברות שכבה זו בזו. הגדרת "שליטה" לקוחה מחוק החברות ומחוק ניירות ערך. </w:t>
      </w:r>
    </w:p>
    <w:p w:rsidR="00F131BD" w:rsidRDefault="00F131BD" w:rsidP="00571787">
      <w:pPr>
        <w:tabs>
          <w:tab w:val="left" w:pos="-51"/>
        </w:tabs>
        <w:ind w:left="357"/>
        <w:jc w:val="both"/>
        <w:rPr>
          <w:rFonts w:cs="David"/>
          <w:sz w:val="24"/>
          <w:szCs w:val="24"/>
          <w:rtl/>
        </w:rPr>
      </w:pPr>
    </w:p>
    <w:p w:rsidR="006B4D12" w:rsidRDefault="00CB2220" w:rsidP="0041553D">
      <w:pPr>
        <w:tabs>
          <w:tab w:val="left" w:pos="-51"/>
        </w:tabs>
        <w:spacing w:line="360" w:lineRule="auto"/>
        <w:ind w:left="360"/>
        <w:jc w:val="both"/>
        <w:rPr>
          <w:rFonts w:cs="David"/>
          <w:sz w:val="24"/>
          <w:szCs w:val="24"/>
        </w:rPr>
      </w:pPr>
      <w:r>
        <w:rPr>
          <w:rFonts w:cs="David" w:hint="cs"/>
          <w:sz w:val="24"/>
          <w:szCs w:val="24"/>
          <w:rtl/>
        </w:rPr>
        <w:t xml:space="preserve">במסגרת הליכי החקיקה עלה חשש </w:t>
      </w:r>
      <w:r w:rsidR="00290DFF">
        <w:rPr>
          <w:rFonts w:cs="David" w:hint="cs"/>
          <w:sz w:val="24"/>
          <w:szCs w:val="24"/>
          <w:rtl/>
        </w:rPr>
        <w:t>שכדי לה</w:t>
      </w:r>
      <w:r w:rsidR="000C2D53">
        <w:rPr>
          <w:rFonts w:cs="David" w:hint="cs"/>
          <w:sz w:val="24"/>
          <w:szCs w:val="24"/>
          <w:rtl/>
        </w:rPr>
        <w:t>י</w:t>
      </w:r>
      <w:r w:rsidR="00290DFF">
        <w:rPr>
          <w:rFonts w:cs="David" w:hint="cs"/>
          <w:sz w:val="24"/>
          <w:szCs w:val="24"/>
          <w:rtl/>
        </w:rPr>
        <w:t xml:space="preserve">מנע מתחולת החוק תפוזר השליטה בחברות השכבה באמצעות שליטה של בעל השליטה דרך </w:t>
      </w:r>
      <w:r w:rsidR="000C2D53">
        <w:rPr>
          <w:rFonts w:cs="David" w:hint="cs"/>
          <w:sz w:val="24"/>
          <w:szCs w:val="24"/>
          <w:rtl/>
        </w:rPr>
        <w:t>מספר חברות אחדות, תוך טשטוש ההבחנה באיזו שכבה</w:t>
      </w:r>
      <w:r w:rsidR="00C565DF">
        <w:rPr>
          <w:rFonts w:cs="David" w:hint="cs"/>
          <w:sz w:val="24"/>
          <w:szCs w:val="24"/>
          <w:rtl/>
        </w:rPr>
        <w:t xml:space="preserve"> נמצאת כל חברה</w:t>
      </w:r>
      <w:r w:rsidR="00290DFF">
        <w:rPr>
          <w:rFonts w:cs="David" w:hint="cs"/>
          <w:sz w:val="24"/>
          <w:szCs w:val="24"/>
          <w:rtl/>
        </w:rPr>
        <w:t xml:space="preserve">. לכן הגדרת השליטה בחוק היא הגדרה רחבה. </w:t>
      </w:r>
    </w:p>
    <w:p w:rsidR="006B4D12" w:rsidRPr="006B4D12" w:rsidRDefault="006B4D12" w:rsidP="00571787">
      <w:pPr>
        <w:tabs>
          <w:tab w:val="left" w:pos="-51"/>
        </w:tabs>
        <w:ind w:left="357"/>
        <w:jc w:val="both"/>
        <w:rPr>
          <w:rFonts w:cs="David"/>
          <w:sz w:val="24"/>
          <w:szCs w:val="24"/>
          <w:rtl/>
        </w:rPr>
      </w:pPr>
    </w:p>
    <w:p w:rsidR="00500EE5" w:rsidRPr="00E16D7B" w:rsidRDefault="00290DFF" w:rsidP="0041553D">
      <w:pPr>
        <w:tabs>
          <w:tab w:val="left" w:pos="-51"/>
        </w:tabs>
        <w:spacing w:line="360" w:lineRule="auto"/>
        <w:ind w:left="360"/>
        <w:jc w:val="both"/>
        <w:rPr>
          <w:rFonts w:cs="David"/>
          <w:sz w:val="24"/>
          <w:szCs w:val="24"/>
          <w:rtl/>
        </w:rPr>
      </w:pPr>
      <w:r>
        <w:rPr>
          <w:rFonts w:cs="David" w:hint="cs"/>
          <w:sz w:val="24"/>
          <w:szCs w:val="24"/>
          <w:rtl/>
        </w:rPr>
        <w:t xml:space="preserve">בסעיף </w:t>
      </w:r>
      <w:r w:rsidR="006B4D12">
        <w:rPr>
          <w:rFonts w:cs="David" w:hint="cs"/>
          <w:sz w:val="24"/>
          <w:szCs w:val="24"/>
          <w:rtl/>
        </w:rPr>
        <w:t xml:space="preserve">20 </w:t>
      </w:r>
      <w:r w:rsidR="004F12AF">
        <w:rPr>
          <w:rFonts w:cs="David" w:hint="cs"/>
          <w:sz w:val="24"/>
          <w:szCs w:val="24"/>
          <w:rtl/>
        </w:rPr>
        <w:t>לחוק נקבע כי: "</w:t>
      </w:r>
      <w:r w:rsidR="00500EE5" w:rsidRPr="00E16D7B">
        <w:rPr>
          <w:rFonts w:cs="David" w:hint="cs"/>
          <w:sz w:val="24"/>
          <w:szCs w:val="24"/>
          <w:rtl/>
        </w:rPr>
        <w:t>לעניין פרק</w:t>
      </w:r>
      <w:r w:rsidR="00500EE5" w:rsidRPr="00E16D7B">
        <w:rPr>
          <w:rFonts w:cs="David"/>
          <w:sz w:val="24"/>
          <w:szCs w:val="24"/>
          <w:rtl/>
        </w:rPr>
        <w:t xml:space="preserve"> </w:t>
      </w:r>
      <w:r w:rsidR="00500EE5" w:rsidRPr="00E16D7B">
        <w:rPr>
          <w:rFonts w:cs="David" w:hint="cs"/>
          <w:sz w:val="24"/>
          <w:szCs w:val="24"/>
          <w:rtl/>
        </w:rPr>
        <w:t>זה, לחברת שכבה המחזיקה אמצעי שליטה בחברת שכבה אחרת</w:t>
      </w:r>
      <w:r w:rsidR="006B4D12">
        <w:rPr>
          <w:rFonts w:cs="David" w:hint="cs"/>
          <w:sz w:val="24"/>
          <w:szCs w:val="24"/>
          <w:rtl/>
        </w:rPr>
        <w:t>,</w:t>
      </w:r>
      <w:r w:rsidR="00500EE5" w:rsidRPr="00E16D7B">
        <w:rPr>
          <w:rFonts w:cs="David" w:hint="cs"/>
          <w:sz w:val="24"/>
          <w:szCs w:val="24"/>
          <w:rtl/>
        </w:rPr>
        <w:t xml:space="preserve"> ייוחסו גם החזקות באמצעי שליטה בחברת השכבה האחרת בידי מי שהוא בעל השליטה הן בחברת השכבה המחזיקה והן בחברת השכבה האחרת</w:t>
      </w:r>
      <w:r w:rsidR="004F12AF">
        <w:rPr>
          <w:rFonts w:cs="David" w:hint="cs"/>
          <w:sz w:val="24"/>
          <w:szCs w:val="24"/>
          <w:rtl/>
        </w:rPr>
        <w:t>"</w:t>
      </w:r>
      <w:r w:rsidR="006B4D12">
        <w:rPr>
          <w:rFonts w:cs="David" w:hint="cs"/>
          <w:sz w:val="24"/>
          <w:szCs w:val="24"/>
          <w:rtl/>
        </w:rPr>
        <w:t>.</w:t>
      </w:r>
    </w:p>
    <w:p w:rsidR="00500EE5" w:rsidRDefault="00500EE5" w:rsidP="00571787">
      <w:pPr>
        <w:tabs>
          <w:tab w:val="left" w:pos="-51"/>
        </w:tabs>
        <w:ind w:left="357"/>
        <w:jc w:val="both"/>
        <w:rPr>
          <w:rFonts w:cs="David"/>
          <w:sz w:val="24"/>
          <w:szCs w:val="24"/>
          <w:rtl/>
        </w:rPr>
      </w:pPr>
    </w:p>
    <w:p w:rsidR="00500EE5" w:rsidRDefault="006B4D12" w:rsidP="00576E72">
      <w:pPr>
        <w:tabs>
          <w:tab w:val="left" w:pos="-51"/>
        </w:tabs>
        <w:spacing w:line="360" w:lineRule="auto"/>
        <w:ind w:left="360"/>
        <w:jc w:val="both"/>
        <w:rPr>
          <w:rFonts w:cs="David"/>
          <w:sz w:val="24"/>
          <w:szCs w:val="24"/>
          <w:rtl/>
        </w:rPr>
      </w:pPr>
      <w:r>
        <w:rPr>
          <w:rFonts w:cs="David" w:hint="cs"/>
          <w:sz w:val="24"/>
          <w:szCs w:val="24"/>
          <w:rtl/>
        </w:rPr>
        <w:t>אולם כיוון שהוראה זו מרחיבה ביותר</w:t>
      </w:r>
      <w:r w:rsidR="00067D7D">
        <w:rPr>
          <w:rFonts w:cs="David" w:hint="cs"/>
          <w:sz w:val="24"/>
          <w:szCs w:val="24"/>
          <w:rtl/>
        </w:rPr>
        <w:t xml:space="preserve"> ולא תמיד נכון לצבוע אחוזי החזקה בודדים </w:t>
      </w:r>
      <w:r>
        <w:rPr>
          <w:rFonts w:cs="David" w:hint="cs"/>
          <w:sz w:val="24"/>
          <w:szCs w:val="24"/>
          <w:rtl/>
        </w:rPr>
        <w:t>כ</w:t>
      </w:r>
      <w:r w:rsidR="00067D7D">
        <w:rPr>
          <w:rFonts w:cs="David" w:hint="cs"/>
          <w:sz w:val="24"/>
          <w:szCs w:val="24"/>
          <w:rtl/>
        </w:rPr>
        <w:t>שליטה</w:t>
      </w:r>
      <w:r>
        <w:rPr>
          <w:rFonts w:cs="David" w:hint="cs"/>
          <w:sz w:val="24"/>
          <w:szCs w:val="24"/>
          <w:rtl/>
        </w:rPr>
        <w:t xml:space="preserve"> הצובעת חברת שכבה כנשלטת באמצעות אותם אחוזים בודדים, </w:t>
      </w:r>
      <w:r w:rsidR="00576E72">
        <w:rPr>
          <w:rFonts w:cs="David" w:hint="cs"/>
          <w:sz w:val="24"/>
          <w:szCs w:val="24"/>
          <w:rtl/>
        </w:rPr>
        <w:t>נ</w:t>
      </w:r>
      <w:r w:rsidR="00067D7D">
        <w:rPr>
          <w:rFonts w:cs="David" w:hint="cs"/>
          <w:sz w:val="24"/>
          <w:szCs w:val="24"/>
          <w:rtl/>
        </w:rPr>
        <w:t>קבע</w:t>
      </w:r>
      <w:r w:rsidR="00576E72">
        <w:rPr>
          <w:rFonts w:cs="David" w:hint="cs"/>
          <w:sz w:val="24"/>
          <w:szCs w:val="24"/>
          <w:rtl/>
        </w:rPr>
        <w:t>ה בסעיף 23 ל</w:t>
      </w:r>
      <w:r w:rsidR="00067D7D">
        <w:rPr>
          <w:rFonts w:cs="David" w:hint="cs"/>
          <w:sz w:val="24"/>
          <w:szCs w:val="24"/>
          <w:rtl/>
        </w:rPr>
        <w:t>חוק סמכות החרגה</w:t>
      </w:r>
      <w:r w:rsidR="00576E72">
        <w:rPr>
          <w:rFonts w:cs="David" w:hint="cs"/>
          <w:sz w:val="24"/>
          <w:szCs w:val="24"/>
          <w:rtl/>
        </w:rPr>
        <w:t xml:space="preserve">: </w:t>
      </w:r>
    </w:p>
    <w:p w:rsidR="00500EE5" w:rsidRDefault="00500EE5" w:rsidP="00571787">
      <w:pPr>
        <w:tabs>
          <w:tab w:val="left" w:pos="-51"/>
        </w:tabs>
        <w:ind w:left="357"/>
        <w:jc w:val="both"/>
        <w:rPr>
          <w:rFonts w:cs="David"/>
          <w:sz w:val="24"/>
          <w:szCs w:val="24"/>
          <w:rtl/>
        </w:rPr>
      </w:pPr>
    </w:p>
    <w:p w:rsidR="00500EE5" w:rsidRDefault="00500EE5" w:rsidP="00500EE5">
      <w:pPr>
        <w:tabs>
          <w:tab w:val="left" w:pos="-51"/>
        </w:tabs>
        <w:spacing w:line="360" w:lineRule="auto"/>
        <w:ind w:left="720" w:right="567"/>
        <w:jc w:val="both"/>
        <w:rPr>
          <w:rFonts w:cs="David"/>
          <w:sz w:val="24"/>
          <w:szCs w:val="24"/>
          <w:rtl/>
        </w:rPr>
      </w:pPr>
      <w:r>
        <w:rPr>
          <w:rFonts w:cs="David" w:hint="cs"/>
          <w:sz w:val="24"/>
          <w:szCs w:val="24"/>
          <w:rtl/>
        </w:rPr>
        <w:t>"</w:t>
      </w:r>
      <w:r w:rsidRPr="007F0474">
        <w:rPr>
          <w:rFonts w:cs="David" w:hint="cs"/>
          <w:sz w:val="24"/>
          <w:szCs w:val="24"/>
          <w:rtl/>
        </w:rPr>
        <w:t xml:space="preserve">שר המשפטים ושר האוצר, בהתייעצות עם רשות ניירות ערך ובאישור ועדת הכספים של הכנסת, רשאים לקבוע, לעניין ההגדרה "שליטה" </w:t>
      </w:r>
      <w:r w:rsidRPr="007F0474">
        <w:rPr>
          <w:rFonts w:cs="David" w:hint="eastAsia"/>
          <w:sz w:val="24"/>
          <w:szCs w:val="24"/>
          <w:rtl/>
        </w:rPr>
        <w:t>שבסעיף</w:t>
      </w:r>
      <w:r w:rsidRPr="007F0474">
        <w:rPr>
          <w:rFonts w:cs="David"/>
          <w:sz w:val="24"/>
          <w:szCs w:val="24"/>
          <w:rtl/>
        </w:rPr>
        <w:t xml:space="preserve"> </w:t>
      </w:r>
      <w:r w:rsidRPr="007F0474">
        <w:rPr>
          <w:rFonts w:cs="David" w:hint="cs"/>
          <w:sz w:val="24"/>
          <w:szCs w:val="24"/>
          <w:rtl/>
        </w:rPr>
        <w:t>20</w:t>
      </w:r>
      <w:r w:rsidRPr="007F0474">
        <w:rPr>
          <w:rFonts w:cs="David"/>
          <w:sz w:val="24"/>
          <w:szCs w:val="24"/>
          <w:rtl/>
        </w:rPr>
        <w:t>(א)</w:t>
      </w:r>
      <w:r w:rsidRPr="007F0474">
        <w:rPr>
          <w:rFonts w:cs="David" w:hint="cs"/>
          <w:sz w:val="24"/>
          <w:szCs w:val="24"/>
          <w:rtl/>
        </w:rPr>
        <w:t xml:space="preserve">, </w:t>
      </w:r>
      <w:r w:rsidRPr="007F0474">
        <w:rPr>
          <w:rFonts w:cs="David" w:hint="eastAsia"/>
          <w:sz w:val="24"/>
          <w:szCs w:val="24"/>
          <w:rtl/>
        </w:rPr>
        <w:t>הוראות</w:t>
      </w:r>
      <w:r w:rsidRPr="007F0474">
        <w:rPr>
          <w:rFonts w:cs="David"/>
          <w:sz w:val="24"/>
          <w:szCs w:val="24"/>
          <w:rtl/>
        </w:rPr>
        <w:t xml:space="preserve"> </w:t>
      </w:r>
      <w:r w:rsidRPr="007F0474">
        <w:rPr>
          <w:rFonts w:cs="David" w:hint="eastAsia"/>
          <w:sz w:val="24"/>
          <w:szCs w:val="24"/>
          <w:rtl/>
        </w:rPr>
        <w:t>בדבר</w:t>
      </w:r>
      <w:r w:rsidRPr="007F0474">
        <w:rPr>
          <w:rFonts w:cs="David"/>
          <w:sz w:val="24"/>
          <w:szCs w:val="24"/>
          <w:rtl/>
        </w:rPr>
        <w:t xml:space="preserve"> </w:t>
      </w:r>
      <w:r w:rsidRPr="007F0474">
        <w:rPr>
          <w:rFonts w:cs="David" w:hint="eastAsia"/>
          <w:sz w:val="24"/>
          <w:szCs w:val="24"/>
          <w:rtl/>
        </w:rPr>
        <w:t>ייחוס</w:t>
      </w:r>
      <w:r w:rsidRPr="007F0474">
        <w:rPr>
          <w:rFonts w:cs="David"/>
          <w:sz w:val="24"/>
          <w:szCs w:val="24"/>
          <w:rtl/>
        </w:rPr>
        <w:t xml:space="preserve"> החזקות באמצעי שליטה בחברת שכבה, ובכלל זה הוראות </w:t>
      </w:r>
      <w:r w:rsidRPr="007F0474">
        <w:rPr>
          <w:rFonts w:cs="David" w:hint="eastAsia"/>
          <w:sz w:val="24"/>
          <w:szCs w:val="24"/>
          <w:rtl/>
        </w:rPr>
        <w:t>בדבר</w:t>
      </w:r>
      <w:r w:rsidRPr="007F0474">
        <w:rPr>
          <w:rFonts w:cs="David"/>
          <w:sz w:val="24"/>
          <w:szCs w:val="24"/>
          <w:rtl/>
        </w:rPr>
        <w:t xml:space="preserve"> </w:t>
      </w:r>
      <w:r w:rsidRPr="007F0474">
        <w:rPr>
          <w:rFonts w:cs="David" w:hint="eastAsia"/>
          <w:sz w:val="24"/>
          <w:szCs w:val="24"/>
          <w:rtl/>
        </w:rPr>
        <w:t>אופן</w:t>
      </w:r>
      <w:r w:rsidRPr="007F0474">
        <w:rPr>
          <w:rFonts w:cs="David" w:hint="cs"/>
          <w:sz w:val="24"/>
          <w:szCs w:val="24"/>
          <w:rtl/>
        </w:rPr>
        <w:t xml:space="preserve"> ייחוס </w:t>
      </w:r>
      <w:proofErr w:type="spellStart"/>
      <w:r w:rsidRPr="007F0474">
        <w:rPr>
          <w:rFonts w:cs="David" w:hint="cs"/>
          <w:sz w:val="24"/>
          <w:szCs w:val="24"/>
          <w:rtl/>
        </w:rPr>
        <w:t>ההחזקות</w:t>
      </w:r>
      <w:proofErr w:type="spellEnd"/>
      <w:r w:rsidRPr="007F0474">
        <w:rPr>
          <w:rFonts w:cs="David" w:hint="cs"/>
          <w:sz w:val="24"/>
          <w:szCs w:val="24"/>
          <w:rtl/>
        </w:rPr>
        <w:t>.</w:t>
      </w:r>
      <w:r>
        <w:rPr>
          <w:rFonts w:cs="David" w:hint="cs"/>
          <w:sz w:val="24"/>
          <w:szCs w:val="24"/>
          <w:rtl/>
        </w:rPr>
        <w:t>"</w:t>
      </w:r>
    </w:p>
    <w:p w:rsidR="002C04E9" w:rsidRDefault="002C04E9" w:rsidP="00571787">
      <w:pPr>
        <w:tabs>
          <w:tab w:val="left" w:pos="-51"/>
        </w:tabs>
        <w:ind w:left="357"/>
        <w:jc w:val="both"/>
        <w:rPr>
          <w:rFonts w:cs="David"/>
          <w:sz w:val="24"/>
          <w:szCs w:val="24"/>
          <w:rtl/>
        </w:rPr>
      </w:pPr>
    </w:p>
    <w:p w:rsidR="00F55DD9" w:rsidRDefault="00576E72" w:rsidP="00576E72">
      <w:pPr>
        <w:pStyle w:val="a9"/>
        <w:numPr>
          <w:ilvl w:val="0"/>
          <w:numId w:val="17"/>
        </w:numPr>
        <w:tabs>
          <w:tab w:val="left" w:pos="-51"/>
        </w:tabs>
        <w:spacing w:line="360" w:lineRule="auto"/>
        <w:jc w:val="both"/>
        <w:rPr>
          <w:rFonts w:cs="David"/>
          <w:sz w:val="24"/>
          <w:szCs w:val="24"/>
        </w:rPr>
      </w:pPr>
      <w:r>
        <w:rPr>
          <w:rFonts w:cs="David" w:hint="cs"/>
          <w:sz w:val="24"/>
          <w:szCs w:val="24"/>
          <w:rtl/>
        </w:rPr>
        <w:t>התקנות המוצעות עושות</w:t>
      </w:r>
      <w:r w:rsidR="00836068">
        <w:rPr>
          <w:rFonts w:cs="David" w:hint="cs"/>
          <w:sz w:val="24"/>
          <w:szCs w:val="24"/>
          <w:rtl/>
        </w:rPr>
        <w:t xml:space="preserve"> שימוש בסמכות </w:t>
      </w:r>
      <w:r w:rsidR="00231946">
        <w:rPr>
          <w:rFonts w:cs="David" w:hint="cs"/>
          <w:sz w:val="24"/>
          <w:szCs w:val="24"/>
          <w:rtl/>
        </w:rPr>
        <w:t>זו</w:t>
      </w:r>
      <w:r w:rsidR="00836068">
        <w:rPr>
          <w:rFonts w:cs="David" w:hint="cs"/>
          <w:sz w:val="24"/>
          <w:szCs w:val="24"/>
          <w:rtl/>
        </w:rPr>
        <w:t xml:space="preserve"> לגבי </w:t>
      </w:r>
      <w:r w:rsidR="00F5480D" w:rsidRPr="004B6F0C">
        <w:rPr>
          <w:rFonts w:cs="David" w:hint="cs"/>
          <w:sz w:val="24"/>
          <w:szCs w:val="24"/>
          <w:rtl/>
        </w:rPr>
        <w:t>החזקות של גופים פיננסיים עבור לקוחותיהם.</w:t>
      </w:r>
      <w:r w:rsidR="004B6F0C" w:rsidRPr="004B6F0C">
        <w:rPr>
          <w:rFonts w:cs="David" w:hint="cs"/>
          <w:sz w:val="24"/>
          <w:szCs w:val="24"/>
          <w:rtl/>
        </w:rPr>
        <w:t xml:space="preserve"> </w:t>
      </w:r>
      <w:r w:rsidR="004B6F0C">
        <w:rPr>
          <w:rFonts w:cs="David" w:hint="cs"/>
          <w:sz w:val="24"/>
          <w:szCs w:val="24"/>
          <w:rtl/>
        </w:rPr>
        <w:t>החזקות אלה אינן מהוות השקעה רגילה של החברה</w:t>
      </w:r>
      <w:r w:rsidR="009D20B2">
        <w:rPr>
          <w:rFonts w:cs="David" w:hint="cs"/>
          <w:sz w:val="24"/>
          <w:szCs w:val="24"/>
          <w:rtl/>
        </w:rPr>
        <w:t xml:space="preserve"> מכספיה</w:t>
      </w:r>
      <w:r w:rsidR="0019481E">
        <w:rPr>
          <w:rFonts w:cs="David" w:hint="cs"/>
          <w:sz w:val="24"/>
          <w:szCs w:val="24"/>
          <w:rtl/>
        </w:rPr>
        <w:t>. מדובר ב</w:t>
      </w:r>
      <w:r w:rsidR="004B6F0C">
        <w:rPr>
          <w:rFonts w:cs="David" w:hint="cs"/>
          <w:sz w:val="24"/>
          <w:szCs w:val="24"/>
          <w:rtl/>
        </w:rPr>
        <w:t xml:space="preserve">השקעה של נכסי </w:t>
      </w:r>
      <w:r w:rsidR="009D20B2">
        <w:rPr>
          <w:rFonts w:cs="David" w:hint="cs"/>
          <w:sz w:val="24"/>
          <w:szCs w:val="24"/>
          <w:rtl/>
        </w:rPr>
        <w:t xml:space="preserve">הציבור. השקעה של נכסי הציבור </w:t>
      </w:r>
      <w:r w:rsidR="004B6F0C">
        <w:rPr>
          <w:rFonts w:cs="David" w:hint="cs"/>
          <w:sz w:val="24"/>
          <w:szCs w:val="24"/>
          <w:rtl/>
        </w:rPr>
        <w:t>כפופה להחלטות ועדת השקעות בלתי תלויה או להתחייבות מקבילה כלפי ה</w:t>
      </w:r>
      <w:r w:rsidR="009D20B2">
        <w:rPr>
          <w:rFonts w:cs="David" w:hint="cs"/>
          <w:sz w:val="24"/>
          <w:szCs w:val="24"/>
          <w:rtl/>
        </w:rPr>
        <w:t>משקיעים</w:t>
      </w:r>
      <w:r w:rsidR="004B6F0C">
        <w:rPr>
          <w:rFonts w:cs="David" w:hint="cs"/>
          <w:sz w:val="24"/>
          <w:szCs w:val="24"/>
          <w:rtl/>
        </w:rPr>
        <w:t xml:space="preserve">. </w:t>
      </w:r>
      <w:r w:rsidR="00AB2D78">
        <w:rPr>
          <w:rFonts w:cs="David" w:hint="cs"/>
          <w:sz w:val="24"/>
          <w:szCs w:val="24"/>
          <w:rtl/>
        </w:rPr>
        <w:t xml:space="preserve">חובת האמון בהחלטות ההשקעה הן כלפי </w:t>
      </w:r>
      <w:r w:rsidR="005D2784">
        <w:rPr>
          <w:rFonts w:cs="David" w:hint="cs"/>
          <w:sz w:val="24"/>
          <w:szCs w:val="24"/>
          <w:rtl/>
        </w:rPr>
        <w:t>הציבור שכספו מנוהל בידי הגוף הפיננסי,</w:t>
      </w:r>
      <w:r w:rsidR="00AB2D78">
        <w:rPr>
          <w:rFonts w:cs="David" w:hint="cs"/>
          <w:sz w:val="24"/>
          <w:szCs w:val="24"/>
          <w:rtl/>
        </w:rPr>
        <w:t xml:space="preserve"> ואין זה נכון שהחלטות אלה יושפעו משיקולים הנוגעים לבעל השליטה בגוף הפיננסי. </w:t>
      </w:r>
    </w:p>
    <w:p w:rsidR="00F55DD9" w:rsidRDefault="00F55DD9" w:rsidP="00571787">
      <w:pPr>
        <w:tabs>
          <w:tab w:val="left" w:pos="-51"/>
        </w:tabs>
        <w:ind w:left="357"/>
        <w:jc w:val="both"/>
        <w:rPr>
          <w:rFonts w:cs="David"/>
          <w:sz w:val="24"/>
          <w:szCs w:val="24"/>
        </w:rPr>
      </w:pPr>
    </w:p>
    <w:p w:rsidR="0019481E" w:rsidRDefault="00F55DD9" w:rsidP="00491985">
      <w:pPr>
        <w:pStyle w:val="a9"/>
        <w:numPr>
          <w:ilvl w:val="0"/>
          <w:numId w:val="17"/>
        </w:numPr>
        <w:tabs>
          <w:tab w:val="left" w:pos="-51"/>
        </w:tabs>
        <w:spacing w:line="360" w:lineRule="auto"/>
        <w:jc w:val="both"/>
        <w:rPr>
          <w:rFonts w:cs="David"/>
          <w:sz w:val="24"/>
          <w:szCs w:val="24"/>
        </w:rPr>
      </w:pPr>
      <w:r>
        <w:rPr>
          <w:rFonts w:cs="David" w:hint="cs"/>
          <w:sz w:val="24"/>
          <w:szCs w:val="24"/>
          <w:rtl/>
        </w:rPr>
        <w:lastRenderedPageBreak/>
        <w:t>על מנת למנוע תוצאה זו, ולאפשר לגופים הפיננסיים לנהל את נכסי לקוחותיהם לפי שיקולי השקעה בלתי תלויים ומקצועיים, מוצע כי החזקות כאלה של גופים פיננסיים, לא ייוחסו לגוף הפיננסי כחלק משליטתו של בעל השליטה. כלומר</w:t>
      </w:r>
      <w:r w:rsidR="005D2784">
        <w:rPr>
          <w:rFonts w:cs="David" w:hint="cs"/>
          <w:sz w:val="24"/>
          <w:szCs w:val="24"/>
          <w:rtl/>
        </w:rPr>
        <w:t xml:space="preserve"> החזקות אלה, לבדן או בצירוף יתר </w:t>
      </w:r>
      <w:proofErr w:type="spellStart"/>
      <w:r w:rsidR="005D2784">
        <w:rPr>
          <w:rFonts w:cs="David" w:hint="cs"/>
          <w:sz w:val="24"/>
          <w:szCs w:val="24"/>
          <w:rtl/>
        </w:rPr>
        <w:t>החזקותיו</w:t>
      </w:r>
      <w:proofErr w:type="spellEnd"/>
      <w:r w:rsidR="005D2784">
        <w:rPr>
          <w:rFonts w:cs="David" w:hint="cs"/>
          <w:sz w:val="24"/>
          <w:szCs w:val="24"/>
          <w:rtl/>
        </w:rPr>
        <w:t xml:space="preserve"> של בעל השליטה, </w:t>
      </w:r>
      <w:r w:rsidR="00491985">
        <w:rPr>
          <w:rFonts w:cs="David" w:hint="cs"/>
          <w:sz w:val="24"/>
          <w:szCs w:val="24"/>
          <w:rtl/>
        </w:rPr>
        <w:t>לא "יצבעו"</w:t>
      </w:r>
      <w:r w:rsidR="005D2784">
        <w:rPr>
          <w:rFonts w:cs="David" w:hint="cs"/>
          <w:sz w:val="24"/>
          <w:szCs w:val="24"/>
          <w:rtl/>
        </w:rPr>
        <w:t xml:space="preserve"> את החברה המוחזקת כחברת שכבה הנשלטת בידי הגוף הפיננסי.</w:t>
      </w:r>
    </w:p>
    <w:p w:rsidR="00477FEC" w:rsidRDefault="00477FEC" w:rsidP="00571787">
      <w:pPr>
        <w:tabs>
          <w:tab w:val="left" w:pos="-51"/>
        </w:tabs>
        <w:ind w:left="357"/>
        <w:jc w:val="both"/>
        <w:rPr>
          <w:rFonts w:cs="David"/>
          <w:sz w:val="24"/>
          <w:szCs w:val="24"/>
          <w:rtl/>
        </w:rPr>
      </w:pPr>
    </w:p>
    <w:p w:rsidR="00191653" w:rsidRDefault="00253B97" w:rsidP="003974D0">
      <w:pPr>
        <w:numPr>
          <w:ilvl w:val="0"/>
          <w:numId w:val="17"/>
        </w:numPr>
        <w:tabs>
          <w:tab w:val="left" w:pos="-51"/>
        </w:tabs>
        <w:spacing w:line="360" w:lineRule="auto"/>
        <w:jc w:val="both"/>
        <w:rPr>
          <w:rFonts w:cs="David"/>
          <w:sz w:val="24"/>
          <w:szCs w:val="24"/>
        </w:rPr>
      </w:pPr>
      <w:r>
        <w:rPr>
          <w:rFonts w:cs="David" w:hint="cs"/>
          <w:sz w:val="24"/>
          <w:szCs w:val="24"/>
          <w:rtl/>
        </w:rPr>
        <w:t xml:space="preserve">להלן פירוט הגופים </w:t>
      </w:r>
      <w:proofErr w:type="spellStart"/>
      <w:r>
        <w:rPr>
          <w:rFonts w:cs="David" w:hint="cs"/>
          <w:sz w:val="24"/>
          <w:szCs w:val="24"/>
          <w:rtl/>
        </w:rPr>
        <w:t>וההחזקות</w:t>
      </w:r>
      <w:proofErr w:type="spellEnd"/>
      <w:r>
        <w:rPr>
          <w:rFonts w:cs="David" w:hint="cs"/>
          <w:sz w:val="24"/>
          <w:szCs w:val="24"/>
          <w:rtl/>
        </w:rPr>
        <w:t xml:space="preserve"> עליהן תחול </w:t>
      </w:r>
      <w:r w:rsidR="00904F3D">
        <w:rPr>
          <w:rFonts w:cs="David" w:hint="cs"/>
          <w:sz w:val="24"/>
          <w:szCs w:val="24"/>
          <w:rtl/>
        </w:rPr>
        <w:t>ההקלה.</w:t>
      </w:r>
    </w:p>
    <w:p w:rsidR="006C582B" w:rsidRDefault="00A40A82" w:rsidP="00571787">
      <w:pPr>
        <w:tabs>
          <w:tab w:val="left" w:pos="-51"/>
        </w:tabs>
        <w:ind w:left="357"/>
        <w:jc w:val="both"/>
        <w:rPr>
          <w:rFonts w:cs="David"/>
          <w:sz w:val="24"/>
          <w:szCs w:val="24"/>
          <w:rtl/>
        </w:rPr>
      </w:pPr>
      <w:bookmarkStart w:id="0" w:name="_GoBack"/>
      <w:bookmarkEnd w:id="0"/>
      <w:r>
        <w:rPr>
          <w:rFonts w:cs="David" w:hint="cs"/>
          <w:sz w:val="24"/>
          <w:szCs w:val="24"/>
          <w:rtl/>
        </w:rPr>
        <w:t xml:space="preserve"> </w:t>
      </w:r>
    </w:p>
    <w:p w:rsidR="00191653" w:rsidRPr="000011CD" w:rsidRDefault="002D7E34" w:rsidP="000011CD">
      <w:pPr>
        <w:pStyle w:val="a9"/>
        <w:numPr>
          <w:ilvl w:val="1"/>
          <w:numId w:val="17"/>
        </w:numPr>
        <w:tabs>
          <w:tab w:val="left" w:pos="-51"/>
        </w:tabs>
        <w:spacing w:line="360" w:lineRule="auto"/>
        <w:ind w:left="799" w:hanging="284"/>
        <w:jc w:val="both"/>
        <w:rPr>
          <w:rFonts w:cs="David"/>
          <w:sz w:val="24"/>
          <w:szCs w:val="24"/>
        </w:rPr>
      </w:pPr>
      <w:r w:rsidRPr="000011CD">
        <w:rPr>
          <w:rFonts w:cs="David" w:hint="cs"/>
          <w:sz w:val="24"/>
          <w:szCs w:val="24"/>
          <w:u w:val="single"/>
          <w:rtl/>
        </w:rPr>
        <w:t xml:space="preserve">חברות ביטוח וחברות מנהלות של קופות גמל - </w:t>
      </w:r>
      <w:r w:rsidR="0096067E" w:rsidRPr="000011CD">
        <w:rPr>
          <w:rFonts w:cs="David" w:hint="cs"/>
          <w:sz w:val="24"/>
          <w:szCs w:val="24"/>
          <w:rtl/>
        </w:rPr>
        <w:t xml:space="preserve">החלטת השקעה </w:t>
      </w:r>
      <w:r w:rsidR="00996907" w:rsidRPr="000011CD">
        <w:rPr>
          <w:rFonts w:cs="David" w:hint="cs"/>
          <w:sz w:val="24"/>
          <w:szCs w:val="24"/>
          <w:rtl/>
        </w:rPr>
        <w:t xml:space="preserve">ביחס לנכסי לקוחות </w:t>
      </w:r>
      <w:r w:rsidR="0004519E" w:rsidRPr="000011CD">
        <w:rPr>
          <w:rFonts w:cs="David" w:hint="cs"/>
          <w:sz w:val="24"/>
          <w:szCs w:val="24"/>
          <w:rtl/>
        </w:rPr>
        <w:t>בחברת ביטוח</w:t>
      </w:r>
      <w:r w:rsidR="00996907" w:rsidRPr="000011CD">
        <w:rPr>
          <w:rFonts w:cs="David" w:hint="cs"/>
          <w:sz w:val="24"/>
          <w:szCs w:val="24"/>
          <w:rtl/>
        </w:rPr>
        <w:t xml:space="preserve"> (הכוונה לביטוחי מנהלים)</w:t>
      </w:r>
      <w:r w:rsidR="0004519E" w:rsidRPr="000011CD">
        <w:rPr>
          <w:rFonts w:cs="David" w:hint="cs"/>
          <w:sz w:val="24"/>
          <w:szCs w:val="24"/>
          <w:rtl/>
        </w:rPr>
        <w:t xml:space="preserve"> וחבר</w:t>
      </w:r>
      <w:r w:rsidR="005A7C1E" w:rsidRPr="000011CD">
        <w:rPr>
          <w:rFonts w:cs="David" w:hint="cs"/>
          <w:sz w:val="24"/>
          <w:szCs w:val="24"/>
          <w:rtl/>
        </w:rPr>
        <w:t>ה</w:t>
      </w:r>
      <w:r w:rsidR="0004519E" w:rsidRPr="000011CD">
        <w:rPr>
          <w:rFonts w:cs="David" w:hint="cs"/>
          <w:sz w:val="24"/>
          <w:szCs w:val="24"/>
          <w:rtl/>
        </w:rPr>
        <w:t xml:space="preserve"> מנהלת של קופות גמל </w:t>
      </w:r>
      <w:r w:rsidR="0096067E" w:rsidRPr="000011CD">
        <w:rPr>
          <w:rFonts w:cs="David" w:hint="cs"/>
          <w:sz w:val="24"/>
          <w:szCs w:val="24"/>
          <w:rtl/>
        </w:rPr>
        <w:t xml:space="preserve">מתקבלת בהליך אישור עצמאי ואובייקטיבי </w:t>
      </w:r>
      <w:r w:rsidR="005A7C1E" w:rsidRPr="000011CD">
        <w:rPr>
          <w:rFonts w:cs="David" w:hint="cs"/>
          <w:sz w:val="24"/>
          <w:szCs w:val="24"/>
          <w:rtl/>
        </w:rPr>
        <w:t>על ידי ו</w:t>
      </w:r>
      <w:r w:rsidR="0004519E" w:rsidRPr="000011CD">
        <w:rPr>
          <w:rFonts w:cs="David" w:hint="cs"/>
          <w:sz w:val="24"/>
          <w:szCs w:val="24"/>
          <w:rtl/>
        </w:rPr>
        <w:t>עדת השקעות</w:t>
      </w:r>
      <w:r w:rsidR="00996907" w:rsidRPr="000011CD">
        <w:rPr>
          <w:rFonts w:cs="David" w:hint="cs"/>
          <w:sz w:val="24"/>
          <w:szCs w:val="24"/>
          <w:rtl/>
        </w:rPr>
        <w:t>.</w:t>
      </w:r>
      <w:r w:rsidR="0004519E" w:rsidRPr="000011CD">
        <w:rPr>
          <w:rFonts w:cs="David" w:hint="cs"/>
          <w:sz w:val="24"/>
          <w:szCs w:val="24"/>
          <w:rtl/>
        </w:rPr>
        <w:t xml:space="preserve"> </w:t>
      </w:r>
      <w:r w:rsidR="00996907" w:rsidRPr="000011CD">
        <w:rPr>
          <w:rFonts w:cs="David" w:hint="cs"/>
          <w:sz w:val="24"/>
          <w:szCs w:val="24"/>
          <w:rtl/>
        </w:rPr>
        <w:t xml:space="preserve">כאמור, </w:t>
      </w:r>
      <w:r w:rsidR="0004519E" w:rsidRPr="000011CD">
        <w:rPr>
          <w:rFonts w:cs="David" w:hint="cs"/>
          <w:sz w:val="24"/>
          <w:szCs w:val="24"/>
          <w:rtl/>
        </w:rPr>
        <w:t xml:space="preserve">לא יהיה זה </w:t>
      </w:r>
      <w:r w:rsidR="00191653" w:rsidRPr="000011CD">
        <w:rPr>
          <w:rFonts w:cs="David" w:hint="cs"/>
          <w:sz w:val="24"/>
          <w:szCs w:val="24"/>
          <w:rtl/>
        </w:rPr>
        <w:t>נכון לגרום לפג</w:t>
      </w:r>
      <w:r w:rsidR="005A7C1E" w:rsidRPr="000011CD">
        <w:rPr>
          <w:rFonts w:cs="David" w:hint="cs"/>
          <w:sz w:val="24"/>
          <w:szCs w:val="24"/>
          <w:rtl/>
        </w:rPr>
        <w:t>י</w:t>
      </w:r>
      <w:r w:rsidR="00191653" w:rsidRPr="000011CD">
        <w:rPr>
          <w:rFonts w:cs="David" w:hint="cs"/>
          <w:sz w:val="24"/>
          <w:szCs w:val="24"/>
          <w:rtl/>
        </w:rPr>
        <w:t>עה בשיקול דעת</w:t>
      </w:r>
      <w:r w:rsidR="005A7C1E" w:rsidRPr="000011CD">
        <w:rPr>
          <w:rFonts w:cs="David" w:hint="cs"/>
          <w:sz w:val="24"/>
          <w:szCs w:val="24"/>
          <w:rtl/>
        </w:rPr>
        <w:t>ה</w:t>
      </w:r>
      <w:r w:rsidR="00191653" w:rsidRPr="000011CD">
        <w:rPr>
          <w:rFonts w:cs="David" w:hint="cs"/>
          <w:sz w:val="24"/>
          <w:szCs w:val="24"/>
          <w:rtl/>
        </w:rPr>
        <w:t xml:space="preserve"> של ועדת השקעות בגופים אלה ולגרום להסטת השקעות באופן שעלול לפגוע בציבור החוסכים</w:t>
      </w:r>
      <w:r w:rsidR="0004519E" w:rsidRPr="000011CD">
        <w:rPr>
          <w:rFonts w:cs="David" w:hint="cs"/>
          <w:sz w:val="24"/>
          <w:szCs w:val="24"/>
          <w:rtl/>
        </w:rPr>
        <w:t xml:space="preserve"> כתוצאה מהוראות ייחוס השליטה</w:t>
      </w:r>
      <w:r w:rsidR="00191653" w:rsidRPr="000011CD">
        <w:rPr>
          <w:rFonts w:cs="David" w:hint="cs"/>
          <w:sz w:val="24"/>
          <w:szCs w:val="24"/>
          <w:rtl/>
        </w:rPr>
        <w:t xml:space="preserve">. </w:t>
      </w:r>
    </w:p>
    <w:p w:rsidR="006C582B" w:rsidRDefault="006C582B" w:rsidP="00571787">
      <w:pPr>
        <w:tabs>
          <w:tab w:val="left" w:pos="-51"/>
        </w:tabs>
        <w:ind w:left="357"/>
        <w:jc w:val="both"/>
        <w:rPr>
          <w:rFonts w:cs="David"/>
          <w:sz w:val="24"/>
          <w:szCs w:val="24"/>
          <w:rtl/>
        </w:rPr>
      </w:pPr>
    </w:p>
    <w:p w:rsidR="00191653" w:rsidRPr="000011CD" w:rsidRDefault="00101E9F" w:rsidP="000011CD">
      <w:pPr>
        <w:pStyle w:val="a9"/>
        <w:numPr>
          <w:ilvl w:val="1"/>
          <w:numId w:val="17"/>
        </w:numPr>
        <w:tabs>
          <w:tab w:val="left" w:pos="-51"/>
        </w:tabs>
        <w:spacing w:line="360" w:lineRule="auto"/>
        <w:ind w:left="799" w:hanging="284"/>
        <w:jc w:val="both"/>
        <w:rPr>
          <w:rFonts w:cs="David"/>
          <w:sz w:val="24"/>
          <w:szCs w:val="24"/>
        </w:rPr>
      </w:pPr>
      <w:r w:rsidRPr="000011CD">
        <w:rPr>
          <w:rFonts w:cs="David" w:hint="cs"/>
          <w:sz w:val="24"/>
          <w:szCs w:val="24"/>
          <w:u w:val="single"/>
          <w:rtl/>
        </w:rPr>
        <w:t>קרנות נאמנות ותעודות סל</w:t>
      </w:r>
      <w:r w:rsidRPr="000011CD">
        <w:rPr>
          <w:rFonts w:cs="David" w:hint="cs"/>
          <w:sz w:val="24"/>
          <w:szCs w:val="24"/>
          <w:rtl/>
        </w:rPr>
        <w:t xml:space="preserve"> - </w:t>
      </w:r>
      <w:r w:rsidR="0004519E" w:rsidRPr="000011CD">
        <w:rPr>
          <w:rFonts w:cs="David" w:hint="cs"/>
          <w:sz w:val="24"/>
          <w:szCs w:val="24"/>
          <w:rtl/>
        </w:rPr>
        <w:t>חברות מנהלות של קרנות להשקעה משותפות בנאמנות וחברות המנפיקות תעודות סל קרנות מח</w:t>
      </w:r>
      <w:r w:rsidR="00191637" w:rsidRPr="000011CD">
        <w:rPr>
          <w:rFonts w:cs="David" w:hint="cs"/>
          <w:sz w:val="24"/>
          <w:szCs w:val="24"/>
          <w:rtl/>
        </w:rPr>
        <w:t>ו</w:t>
      </w:r>
      <w:r w:rsidR="0004519E" w:rsidRPr="000011CD">
        <w:rPr>
          <w:rFonts w:cs="David" w:hint="cs"/>
          <w:sz w:val="24"/>
          <w:szCs w:val="24"/>
          <w:rtl/>
        </w:rPr>
        <w:t>יבות ל</w:t>
      </w:r>
      <w:r w:rsidR="0096067E" w:rsidRPr="000011CD">
        <w:rPr>
          <w:rFonts w:cs="David" w:hint="cs"/>
          <w:sz w:val="24"/>
          <w:szCs w:val="24"/>
          <w:rtl/>
        </w:rPr>
        <w:t xml:space="preserve">החזיק </w:t>
      </w:r>
      <w:r w:rsidR="00811054" w:rsidRPr="000011CD">
        <w:rPr>
          <w:rFonts w:cs="David" w:hint="cs"/>
          <w:sz w:val="24"/>
          <w:szCs w:val="24"/>
          <w:rtl/>
        </w:rPr>
        <w:t>החזקות מסוימות ב</w:t>
      </w:r>
      <w:r w:rsidR="0096067E" w:rsidRPr="000011CD">
        <w:rPr>
          <w:rFonts w:cs="David" w:hint="cs"/>
          <w:sz w:val="24"/>
          <w:szCs w:val="24"/>
          <w:rtl/>
        </w:rPr>
        <w:t xml:space="preserve">חברות </w:t>
      </w:r>
      <w:r w:rsidR="0004519E" w:rsidRPr="000011CD">
        <w:rPr>
          <w:rFonts w:cs="David" w:hint="cs"/>
          <w:sz w:val="24"/>
          <w:szCs w:val="24"/>
          <w:rtl/>
        </w:rPr>
        <w:t>כחלק ממדיניות ההשקעות שלה</w:t>
      </w:r>
      <w:r w:rsidR="000555AF" w:rsidRPr="000011CD">
        <w:rPr>
          <w:rFonts w:cs="David" w:hint="cs"/>
          <w:sz w:val="24"/>
          <w:szCs w:val="24"/>
          <w:rtl/>
        </w:rPr>
        <w:t>ן</w:t>
      </w:r>
      <w:r w:rsidR="0004519E" w:rsidRPr="000011CD">
        <w:rPr>
          <w:rFonts w:cs="David" w:hint="cs"/>
          <w:sz w:val="24"/>
          <w:szCs w:val="24"/>
          <w:rtl/>
        </w:rPr>
        <w:t xml:space="preserve"> או לצורך הבטחת התחייבויותיה</w:t>
      </w:r>
      <w:r w:rsidR="000555AF" w:rsidRPr="000011CD">
        <w:rPr>
          <w:rFonts w:cs="David" w:hint="cs"/>
          <w:sz w:val="24"/>
          <w:szCs w:val="24"/>
          <w:rtl/>
        </w:rPr>
        <w:t>ן</w:t>
      </w:r>
      <w:r w:rsidR="0004519E" w:rsidRPr="000011CD">
        <w:rPr>
          <w:rFonts w:cs="David" w:hint="cs"/>
          <w:sz w:val="24"/>
          <w:szCs w:val="24"/>
          <w:rtl/>
        </w:rPr>
        <w:t xml:space="preserve"> למשקיעים בתעודת סל</w:t>
      </w:r>
      <w:r w:rsidR="00811054" w:rsidRPr="000011CD">
        <w:rPr>
          <w:rFonts w:cs="David" w:hint="cs"/>
          <w:sz w:val="24"/>
          <w:szCs w:val="24"/>
          <w:rtl/>
        </w:rPr>
        <w:t xml:space="preserve">. </w:t>
      </w:r>
      <w:r w:rsidR="00996907" w:rsidRPr="000011CD">
        <w:rPr>
          <w:rFonts w:cs="David" w:hint="cs"/>
          <w:sz w:val="24"/>
          <w:szCs w:val="24"/>
          <w:rtl/>
        </w:rPr>
        <w:t xml:space="preserve">גם כאן, מדובר בהתחייבות לגבי אופן ההשקעה שחריגה ממנה תהווה הפרת חובות </w:t>
      </w:r>
      <w:proofErr w:type="spellStart"/>
      <w:r w:rsidR="00996907" w:rsidRPr="000011CD">
        <w:rPr>
          <w:rFonts w:cs="David" w:hint="cs"/>
          <w:sz w:val="24"/>
          <w:szCs w:val="24"/>
          <w:rtl/>
        </w:rPr>
        <w:t>מכח</w:t>
      </w:r>
      <w:proofErr w:type="spellEnd"/>
      <w:r w:rsidR="00996907" w:rsidRPr="000011CD">
        <w:rPr>
          <w:rFonts w:cs="David" w:hint="cs"/>
          <w:sz w:val="24"/>
          <w:szCs w:val="24"/>
          <w:rtl/>
        </w:rPr>
        <w:t xml:space="preserve"> </w:t>
      </w:r>
      <w:r w:rsidR="00191653" w:rsidRPr="000011CD">
        <w:rPr>
          <w:rFonts w:cs="David" w:hint="cs"/>
          <w:sz w:val="24"/>
          <w:szCs w:val="24"/>
          <w:rtl/>
        </w:rPr>
        <w:t>מדינ</w:t>
      </w:r>
      <w:r w:rsidRPr="000011CD">
        <w:rPr>
          <w:rFonts w:cs="David" w:hint="cs"/>
          <w:sz w:val="24"/>
          <w:szCs w:val="24"/>
          <w:rtl/>
        </w:rPr>
        <w:t>י</w:t>
      </w:r>
      <w:r w:rsidR="00191653" w:rsidRPr="000011CD">
        <w:rPr>
          <w:rFonts w:cs="David" w:hint="cs"/>
          <w:sz w:val="24"/>
          <w:szCs w:val="24"/>
          <w:rtl/>
        </w:rPr>
        <w:t>ות ההשקע</w:t>
      </w:r>
      <w:r w:rsidRPr="000011CD">
        <w:rPr>
          <w:rFonts w:cs="David" w:hint="cs"/>
          <w:sz w:val="24"/>
          <w:szCs w:val="24"/>
          <w:rtl/>
        </w:rPr>
        <w:t>ה</w:t>
      </w:r>
      <w:r w:rsidR="00191653" w:rsidRPr="000011CD">
        <w:rPr>
          <w:rFonts w:cs="David" w:hint="cs"/>
          <w:sz w:val="24"/>
          <w:szCs w:val="24"/>
          <w:rtl/>
        </w:rPr>
        <w:t xml:space="preserve"> </w:t>
      </w:r>
      <w:r w:rsidR="00996907" w:rsidRPr="000011CD">
        <w:rPr>
          <w:rFonts w:cs="David" w:hint="cs"/>
          <w:sz w:val="24"/>
          <w:szCs w:val="24"/>
          <w:rtl/>
        </w:rPr>
        <w:t>או ה</w:t>
      </w:r>
      <w:r w:rsidR="00191653" w:rsidRPr="000011CD">
        <w:rPr>
          <w:rFonts w:cs="David" w:hint="cs"/>
          <w:sz w:val="24"/>
          <w:szCs w:val="24"/>
          <w:rtl/>
        </w:rPr>
        <w:t>תחייבו</w:t>
      </w:r>
      <w:r w:rsidR="0004519E" w:rsidRPr="000011CD">
        <w:rPr>
          <w:rFonts w:cs="David" w:hint="cs"/>
          <w:sz w:val="24"/>
          <w:szCs w:val="24"/>
          <w:rtl/>
        </w:rPr>
        <w:t>יו</w:t>
      </w:r>
      <w:r w:rsidR="00191653" w:rsidRPr="000011CD">
        <w:rPr>
          <w:rFonts w:cs="David" w:hint="cs"/>
          <w:sz w:val="24"/>
          <w:szCs w:val="24"/>
          <w:rtl/>
        </w:rPr>
        <w:t>ת</w:t>
      </w:r>
      <w:r w:rsidRPr="000011CD">
        <w:rPr>
          <w:rFonts w:cs="David" w:hint="cs"/>
          <w:sz w:val="24"/>
          <w:szCs w:val="24"/>
          <w:rtl/>
        </w:rPr>
        <w:t xml:space="preserve"> </w:t>
      </w:r>
      <w:proofErr w:type="spellStart"/>
      <w:r w:rsidRPr="000011CD">
        <w:rPr>
          <w:rFonts w:cs="David" w:hint="cs"/>
          <w:sz w:val="24"/>
          <w:szCs w:val="24"/>
          <w:rtl/>
        </w:rPr>
        <w:t>תשקיפיות</w:t>
      </w:r>
      <w:proofErr w:type="spellEnd"/>
      <w:r w:rsidR="00996907" w:rsidRPr="000011CD">
        <w:rPr>
          <w:rFonts w:cs="David" w:hint="cs"/>
          <w:sz w:val="24"/>
          <w:szCs w:val="24"/>
          <w:rtl/>
        </w:rPr>
        <w:t xml:space="preserve">. </w:t>
      </w:r>
      <w:r w:rsidR="007A6A90" w:rsidRPr="000011CD">
        <w:rPr>
          <w:rFonts w:cs="David" w:hint="cs"/>
          <w:sz w:val="24"/>
          <w:szCs w:val="24"/>
          <w:rtl/>
        </w:rPr>
        <w:t>גם כאן יש לשמור על כך שהשקעת נכסי הציבור לא תהיה מוטה בגלל שיקוליו של בעל השליטה</w:t>
      </w:r>
      <w:r w:rsidR="00521993" w:rsidRPr="000011CD">
        <w:rPr>
          <w:rFonts w:cs="David" w:hint="cs"/>
          <w:sz w:val="24"/>
          <w:szCs w:val="24"/>
          <w:rtl/>
        </w:rPr>
        <w:t xml:space="preserve"> לגבי חברות אחרות שבשליטתו</w:t>
      </w:r>
      <w:r w:rsidR="007A6A90" w:rsidRPr="000011CD">
        <w:rPr>
          <w:rFonts w:cs="David" w:hint="cs"/>
          <w:sz w:val="24"/>
          <w:szCs w:val="24"/>
          <w:rtl/>
        </w:rPr>
        <w:t>.</w:t>
      </w:r>
      <w:r w:rsidR="00191653" w:rsidRPr="000011CD">
        <w:rPr>
          <w:rFonts w:cs="David" w:hint="cs"/>
          <w:sz w:val="24"/>
          <w:szCs w:val="24"/>
          <w:rtl/>
        </w:rPr>
        <w:t xml:space="preserve"> </w:t>
      </w:r>
    </w:p>
    <w:p w:rsidR="00191653" w:rsidRPr="0004519E" w:rsidRDefault="00191653" w:rsidP="00571787">
      <w:pPr>
        <w:tabs>
          <w:tab w:val="left" w:pos="-51"/>
        </w:tabs>
        <w:ind w:left="357"/>
        <w:jc w:val="both"/>
        <w:rPr>
          <w:rFonts w:cs="David"/>
          <w:sz w:val="24"/>
          <w:szCs w:val="24"/>
          <w:rtl/>
        </w:rPr>
      </w:pPr>
    </w:p>
    <w:p w:rsidR="0096067E" w:rsidRDefault="00231946" w:rsidP="00C87CC3">
      <w:pPr>
        <w:numPr>
          <w:ilvl w:val="0"/>
          <w:numId w:val="17"/>
        </w:numPr>
        <w:tabs>
          <w:tab w:val="left" w:pos="-51"/>
        </w:tabs>
        <w:spacing w:line="360" w:lineRule="auto"/>
        <w:jc w:val="both"/>
        <w:rPr>
          <w:rFonts w:cs="David"/>
          <w:sz w:val="24"/>
          <w:szCs w:val="24"/>
        </w:rPr>
      </w:pPr>
      <w:r>
        <w:rPr>
          <w:rFonts w:cs="David" w:hint="cs"/>
          <w:sz w:val="24"/>
          <w:szCs w:val="24"/>
          <w:rtl/>
        </w:rPr>
        <w:t>יובהר</w:t>
      </w:r>
      <w:r w:rsidR="00191653" w:rsidRPr="00466AD2">
        <w:rPr>
          <w:rFonts w:cs="David" w:hint="cs"/>
          <w:sz w:val="24"/>
          <w:szCs w:val="24"/>
          <w:rtl/>
        </w:rPr>
        <w:t xml:space="preserve"> כי </w:t>
      </w:r>
      <w:r w:rsidR="0004519E" w:rsidRPr="00466AD2">
        <w:rPr>
          <w:rFonts w:cs="David" w:hint="cs"/>
          <w:sz w:val="24"/>
          <w:szCs w:val="24"/>
          <w:rtl/>
        </w:rPr>
        <w:t xml:space="preserve">הפטור </w:t>
      </w:r>
      <w:r w:rsidR="00E937D4" w:rsidRPr="00466AD2">
        <w:rPr>
          <w:rFonts w:cs="David" w:hint="cs"/>
          <w:sz w:val="24"/>
          <w:szCs w:val="24"/>
          <w:rtl/>
        </w:rPr>
        <w:t xml:space="preserve">המוצע </w:t>
      </w:r>
      <w:r w:rsidR="0004519E" w:rsidRPr="00466AD2">
        <w:rPr>
          <w:rFonts w:cs="David" w:hint="cs"/>
          <w:sz w:val="24"/>
          <w:szCs w:val="24"/>
          <w:rtl/>
        </w:rPr>
        <w:t xml:space="preserve">יינתן רק </w:t>
      </w:r>
      <w:proofErr w:type="spellStart"/>
      <w:r w:rsidR="0004519E" w:rsidRPr="00466AD2">
        <w:rPr>
          <w:rFonts w:cs="David" w:hint="cs"/>
          <w:sz w:val="24"/>
          <w:szCs w:val="24"/>
          <w:rtl/>
        </w:rPr>
        <w:t>להחזקות</w:t>
      </w:r>
      <w:proofErr w:type="spellEnd"/>
      <w:r w:rsidR="0004519E" w:rsidRPr="00466AD2">
        <w:rPr>
          <w:rFonts w:cs="David" w:hint="cs"/>
          <w:sz w:val="24"/>
          <w:szCs w:val="24"/>
          <w:rtl/>
        </w:rPr>
        <w:t xml:space="preserve"> של </w:t>
      </w:r>
      <w:r w:rsidR="006C582B" w:rsidRPr="00466AD2">
        <w:rPr>
          <w:rFonts w:cs="David" w:hint="cs"/>
          <w:sz w:val="24"/>
          <w:szCs w:val="24"/>
          <w:rtl/>
        </w:rPr>
        <w:t>ה</w:t>
      </w:r>
      <w:r w:rsidR="0004519E" w:rsidRPr="00466AD2">
        <w:rPr>
          <w:rFonts w:cs="David" w:hint="cs"/>
          <w:sz w:val="24"/>
          <w:szCs w:val="24"/>
          <w:rtl/>
        </w:rPr>
        <w:t xml:space="preserve">גופים </w:t>
      </w:r>
      <w:r w:rsidR="006C582B" w:rsidRPr="00466AD2">
        <w:rPr>
          <w:rFonts w:cs="David" w:hint="cs"/>
          <w:sz w:val="24"/>
          <w:szCs w:val="24"/>
          <w:rtl/>
        </w:rPr>
        <w:t>ה</w:t>
      </w:r>
      <w:r w:rsidR="0096067E" w:rsidRPr="00466AD2">
        <w:rPr>
          <w:rFonts w:cs="David" w:hint="cs"/>
          <w:sz w:val="24"/>
          <w:szCs w:val="24"/>
          <w:rtl/>
        </w:rPr>
        <w:t>פיננסיים</w:t>
      </w:r>
      <w:r w:rsidR="0004519E" w:rsidRPr="00466AD2">
        <w:rPr>
          <w:rFonts w:cs="David" w:hint="cs"/>
          <w:sz w:val="24"/>
          <w:szCs w:val="24"/>
          <w:rtl/>
        </w:rPr>
        <w:t xml:space="preserve"> </w:t>
      </w:r>
      <w:r w:rsidR="0096067E" w:rsidRPr="00466AD2">
        <w:rPr>
          <w:rFonts w:cs="David" w:hint="cs"/>
          <w:sz w:val="24"/>
          <w:szCs w:val="24"/>
          <w:rtl/>
        </w:rPr>
        <w:t>עבור הציבור</w:t>
      </w:r>
      <w:r w:rsidR="00A44815" w:rsidRPr="00466AD2">
        <w:rPr>
          <w:rFonts w:cs="David" w:hint="cs"/>
          <w:sz w:val="24"/>
          <w:szCs w:val="24"/>
          <w:rtl/>
        </w:rPr>
        <w:t>,</w:t>
      </w:r>
      <w:r w:rsidR="0096067E" w:rsidRPr="00466AD2">
        <w:rPr>
          <w:rFonts w:cs="David" w:hint="cs"/>
          <w:sz w:val="24"/>
          <w:szCs w:val="24"/>
          <w:rtl/>
        </w:rPr>
        <w:t xml:space="preserve"> ולא בחשבון ההשקעות העצמי של הגוף הפיננסי ("חשבון </w:t>
      </w:r>
      <w:proofErr w:type="spellStart"/>
      <w:r w:rsidR="0096067E" w:rsidRPr="00466AD2">
        <w:rPr>
          <w:rFonts w:cs="David" w:hint="cs"/>
          <w:sz w:val="24"/>
          <w:szCs w:val="24"/>
          <w:rtl/>
        </w:rPr>
        <w:t>הנוסטרו</w:t>
      </w:r>
      <w:proofErr w:type="spellEnd"/>
      <w:r w:rsidR="0096067E" w:rsidRPr="00466AD2">
        <w:rPr>
          <w:rFonts w:cs="David" w:hint="cs"/>
          <w:sz w:val="24"/>
          <w:szCs w:val="24"/>
          <w:rtl/>
        </w:rPr>
        <w:t>")</w:t>
      </w:r>
      <w:r w:rsidR="000555AF">
        <w:rPr>
          <w:rFonts w:cs="David" w:hint="cs"/>
          <w:sz w:val="24"/>
          <w:szCs w:val="24"/>
          <w:rtl/>
        </w:rPr>
        <w:t xml:space="preserve">. בחשבון </w:t>
      </w:r>
      <w:proofErr w:type="spellStart"/>
      <w:r w:rsidR="000555AF">
        <w:rPr>
          <w:rFonts w:cs="David" w:hint="cs"/>
          <w:sz w:val="24"/>
          <w:szCs w:val="24"/>
          <w:rtl/>
        </w:rPr>
        <w:t>הנוסטרו</w:t>
      </w:r>
      <w:proofErr w:type="spellEnd"/>
      <w:r w:rsidR="000555AF">
        <w:rPr>
          <w:rFonts w:cs="David" w:hint="cs"/>
          <w:sz w:val="24"/>
          <w:szCs w:val="24"/>
          <w:rtl/>
        </w:rPr>
        <w:t xml:space="preserve"> </w:t>
      </w:r>
      <w:r w:rsidR="00466AD2" w:rsidRPr="00466AD2">
        <w:rPr>
          <w:rFonts w:cs="David" w:hint="cs"/>
          <w:sz w:val="24"/>
          <w:szCs w:val="24"/>
          <w:rtl/>
        </w:rPr>
        <w:t xml:space="preserve">שיקול הדעת של הגוף הפיננסי </w:t>
      </w:r>
      <w:r w:rsidR="006F665F">
        <w:rPr>
          <w:rFonts w:cs="David" w:hint="cs"/>
          <w:sz w:val="24"/>
          <w:szCs w:val="24"/>
          <w:rtl/>
        </w:rPr>
        <w:t xml:space="preserve">דומה להשקעה של חברה "רגילה" </w:t>
      </w:r>
      <w:r w:rsidR="000555AF">
        <w:rPr>
          <w:rFonts w:cs="David" w:hint="cs"/>
          <w:sz w:val="24"/>
          <w:szCs w:val="24"/>
          <w:rtl/>
        </w:rPr>
        <w:t xml:space="preserve">ולכן אין הצדקה </w:t>
      </w:r>
      <w:r w:rsidR="006F665F">
        <w:rPr>
          <w:rFonts w:cs="David" w:hint="cs"/>
          <w:sz w:val="24"/>
          <w:szCs w:val="24"/>
          <w:rtl/>
        </w:rPr>
        <w:t>לתת לה הקלה בעניין זה.</w:t>
      </w:r>
    </w:p>
    <w:p w:rsidR="00C87CC3" w:rsidRDefault="00C87CC3" w:rsidP="00D31BE7">
      <w:pPr>
        <w:tabs>
          <w:tab w:val="left" w:pos="-51"/>
        </w:tabs>
        <w:ind w:left="357"/>
        <w:jc w:val="both"/>
        <w:rPr>
          <w:rFonts w:cs="David"/>
          <w:sz w:val="24"/>
          <w:szCs w:val="24"/>
        </w:rPr>
      </w:pPr>
    </w:p>
    <w:p w:rsidR="00677FCF" w:rsidRPr="003F4D1F" w:rsidRDefault="00677FCF" w:rsidP="00720466">
      <w:pPr>
        <w:tabs>
          <w:tab w:val="left" w:pos="-51"/>
        </w:tabs>
        <w:spacing w:line="360" w:lineRule="auto"/>
        <w:jc w:val="both"/>
        <w:rPr>
          <w:rFonts w:cs="David"/>
          <w:b/>
          <w:bCs/>
          <w:sz w:val="24"/>
          <w:szCs w:val="24"/>
          <w:u w:val="single"/>
          <w:rtl/>
        </w:rPr>
      </w:pPr>
    </w:p>
    <w:sectPr w:rsidR="00677FCF" w:rsidRPr="003F4D1F" w:rsidSect="005A5130">
      <w:headerReference w:type="even" r:id="rId9"/>
      <w:headerReference w:type="default" r:id="rId10"/>
      <w:footerReference w:type="default" r:id="rId11"/>
      <w:footerReference w:type="first" r:id="rId12"/>
      <w:pgSz w:w="11906" w:h="16838"/>
      <w:pgMar w:top="1440" w:right="1797" w:bottom="1440" w:left="1797"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0EB1" w:rsidRDefault="00CD0EB1">
      <w:r>
        <w:separator/>
      </w:r>
    </w:p>
  </w:endnote>
  <w:endnote w:type="continuationSeparator" w:id="0">
    <w:p w:rsidR="00CD0EB1" w:rsidRDefault="00CD0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0EB1" w:rsidRPr="00C65A27" w:rsidRDefault="00CD0EB1" w:rsidP="005A5130">
    <w:pPr>
      <w:pStyle w:val="a4"/>
      <w:jc w:val="center"/>
      <w:rPr>
        <w:rFonts w:cs="David"/>
        <w:sz w:val="24"/>
        <w:szCs w:val="24"/>
      </w:rPr>
    </w:pPr>
    <w:r>
      <w:rPr>
        <w:rFonts w:cs="David"/>
        <w:noProof/>
        <w:sz w:val="24"/>
        <w:szCs w:val="24"/>
      </w:rPr>
      <mc:AlternateContent>
        <mc:Choice Requires="wps">
          <w:drawing>
            <wp:anchor distT="4294967294" distB="4294967294" distL="114300" distR="114300" simplePos="0" relativeHeight="251657216" behindDoc="0" locked="0" layoutInCell="0" allowOverlap="1" wp14:anchorId="5BF4EAB0" wp14:editId="5DDC4AC3">
              <wp:simplePos x="0" y="0"/>
              <wp:positionH relativeFrom="column">
                <wp:posOffset>53340</wp:posOffset>
              </wp:positionH>
              <wp:positionV relativeFrom="paragraph">
                <wp:posOffset>-104141</wp:posOffset>
              </wp:positionV>
              <wp:extent cx="5257800" cy="0"/>
              <wp:effectExtent l="0" t="0" r="19050" b="1905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left:0;text-align:left;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pt,-8.2pt" to="418.2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uPAEgIAACgEAAAOAAAAZHJzL2Uyb0RvYy54bWysU8uu2jAQ3VfqP1jeQxIau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" o:allowincell="f"/>
          </w:pict>
        </mc:Fallback>
      </mc:AlternateContent>
    </w:r>
    <w:proofErr w:type="spellStart"/>
    <w:r w:rsidRPr="00C65A27">
      <w:rPr>
        <w:rFonts w:cs="David" w:hint="cs"/>
        <w:sz w:val="24"/>
        <w:szCs w:val="24"/>
        <w:rtl/>
      </w:rPr>
      <w:t>צלאח</w:t>
    </w:r>
    <w:proofErr w:type="spellEnd"/>
    <w:r w:rsidRPr="00C65A27">
      <w:rPr>
        <w:rFonts w:cs="David" w:hint="cs"/>
        <w:sz w:val="24"/>
        <w:szCs w:val="24"/>
        <w:rtl/>
      </w:rPr>
      <w:t xml:space="preserve"> א-דין 29 ת.ד. 1087 ירושלים 91010 טלפון: 02-6466</w:t>
    </w:r>
    <w:r>
      <w:rPr>
        <w:rFonts w:cs="David" w:hint="cs"/>
        <w:sz w:val="24"/>
        <w:szCs w:val="24"/>
        <w:rtl/>
      </w:rPr>
      <w:t>557</w:t>
    </w:r>
    <w:r w:rsidRPr="00C65A27">
      <w:rPr>
        <w:rFonts w:cs="David" w:hint="cs"/>
        <w:sz w:val="24"/>
        <w:szCs w:val="24"/>
        <w:rtl/>
      </w:rPr>
      <w:t xml:space="preserve"> פקס: 02-6263120</w:t>
    </w:r>
  </w:p>
  <w:p w:rsidR="00CD0EB1" w:rsidRPr="00C65A27" w:rsidRDefault="00CD0EB1">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0EB1" w:rsidRPr="00C65A27" w:rsidRDefault="00CD0EB1" w:rsidP="005A5130">
    <w:pPr>
      <w:pStyle w:val="a4"/>
      <w:jc w:val="center"/>
      <w:rPr>
        <w:rFonts w:cs="David"/>
        <w:sz w:val="24"/>
        <w:szCs w:val="24"/>
      </w:rPr>
    </w:pPr>
    <w:r>
      <w:rPr>
        <w:rFonts w:cs="David"/>
        <w:noProof/>
        <w:sz w:val="24"/>
        <w:szCs w:val="24"/>
      </w:rPr>
      <mc:AlternateContent>
        <mc:Choice Requires="wps">
          <w:drawing>
            <wp:anchor distT="4294967294" distB="4294967294" distL="114300" distR="114300" simplePos="0" relativeHeight="251658240" behindDoc="0" locked="0" layoutInCell="0" allowOverlap="1" wp14:anchorId="672CF919" wp14:editId="435D2141">
              <wp:simplePos x="0" y="0"/>
              <wp:positionH relativeFrom="column">
                <wp:posOffset>205740</wp:posOffset>
              </wp:positionH>
              <wp:positionV relativeFrom="paragraph">
                <wp:posOffset>-97791</wp:posOffset>
              </wp:positionV>
              <wp:extent cx="52578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left:0;text-align:left;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6.2pt,-7.7pt" to="430.2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5ssEA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" o:allowincell="f"/>
          </w:pict>
        </mc:Fallback>
      </mc:AlternateContent>
    </w:r>
    <w:proofErr w:type="spellStart"/>
    <w:r w:rsidRPr="00C65A27">
      <w:rPr>
        <w:rFonts w:cs="David" w:hint="cs"/>
        <w:sz w:val="24"/>
        <w:szCs w:val="24"/>
        <w:rtl/>
      </w:rPr>
      <w:t>צלאח</w:t>
    </w:r>
    <w:proofErr w:type="spellEnd"/>
    <w:r w:rsidRPr="00C65A27">
      <w:rPr>
        <w:rFonts w:cs="David" w:hint="cs"/>
        <w:sz w:val="24"/>
        <w:szCs w:val="24"/>
        <w:rtl/>
      </w:rPr>
      <w:t xml:space="preserve"> א-דין 29 ת.ד. 1087 ירושלים 91010 טלפון: 02-6466</w:t>
    </w:r>
    <w:r>
      <w:rPr>
        <w:rFonts w:cs="David" w:hint="cs"/>
        <w:sz w:val="24"/>
        <w:szCs w:val="24"/>
        <w:rtl/>
      </w:rPr>
      <w:t>557</w:t>
    </w:r>
    <w:r w:rsidRPr="00C65A27">
      <w:rPr>
        <w:rFonts w:cs="David" w:hint="cs"/>
        <w:sz w:val="24"/>
        <w:szCs w:val="24"/>
        <w:rtl/>
      </w:rPr>
      <w:t xml:space="preserve"> פקס: 02-6263120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0EB1" w:rsidRDefault="00CD0EB1">
      <w:r>
        <w:separator/>
      </w:r>
    </w:p>
  </w:footnote>
  <w:footnote w:type="continuationSeparator" w:id="0">
    <w:p w:rsidR="00CD0EB1" w:rsidRDefault="00CD0E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0EB1" w:rsidRDefault="00CD0EB1" w:rsidP="005A5130">
    <w:pPr>
      <w:pStyle w:val="a3"/>
      <w:framePr w:wrap="around" w:vAnchor="text" w:hAnchor="text" w:xAlign="center" w:y="1"/>
      <w:rPr>
        <w:rStyle w:val="a5"/>
      </w:rPr>
    </w:pPr>
    <w:r>
      <w:rPr>
        <w:rStyle w:val="a5"/>
        <w:rtl/>
      </w:rPr>
      <w:fldChar w:fldCharType="begin"/>
    </w:r>
    <w:r>
      <w:rPr>
        <w:rStyle w:val="a5"/>
      </w:rPr>
      <w:instrText xml:space="preserve">PAGE  </w:instrText>
    </w:r>
    <w:r>
      <w:rPr>
        <w:rStyle w:val="a5"/>
        <w:rtl/>
      </w:rPr>
      <w:fldChar w:fldCharType="end"/>
    </w:r>
  </w:p>
  <w:p w:rsidR="00CD0EB1" w:rsidRDefault="00CD0EB1">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0EB1" w:rsidRDefault="00CD0EB1" w:rsidP="005A5130">
    <w:pPr>
      <w:pStyle w:val="a3"/>
      <w:framePr w:wrap="around" w:vAnchor="text" w:hAnchor="text" w:xAlign="center" w:y="1"/>
      <w:rPr>
        <w:rStyle w:val="a5"/>
      </w:rPr>
    </w:pPr>
    <w:r>
      <w:rPr>
        <w:rStyle w:val="a5"/>
        <w:rtl/>
      </w:rPr>
      <w:fldChar w:fldCharType="begin"/>
    </w:r>
    <w:r>
      <w:rPr>
        <w:rStyle w:val="a5"/>
      </w:rPr>
      <w:instrText xml:space="preserve">PAGE  </w:instrText>
    </w:r>
    <w:r>
      <w:rPr>
        <w:rStyle w:val="a5"/>
        <w:rtl/>
      </w:rPr>
      <w:fldChar w:fldCharType="separate"/>
    </w:r>
    <w:r w:rsidR="000705B3">
      <w:rPr>
        <w:rStyle w:val="a5"/>
        <w:noProof/>
        <w:rtl/>
      </w:rPr>
      <w:t>6</w:t>
    </w:r>
    <w:r>
      <w:rPr>
        <w:rStyle w:val="a5"/>
        <w:rtl/>
      </w:rPr>
      <w:fldChar w:fldCharType="end"/>
    </w:r>
  </w:p>
  <w:p w:rsidR="00CD0EB1" w:rsidRDefault="00CD0EB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A1D93"/>
    <w:multiLevelType w:val="hybridMultilevel"/>
    <w:tmpl w:val="6FE8AC9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1413C44"/>
    <w:multiLevelType w:val="hybridMultilevel"/>
    <w:tmpl w:val="9ECC8884"/>
    <w:lvl w:ilvl="0" w:tplc="04090013">
      <w:start w:val="1"/>
      <w:numFmt w:val="hebrew1"/>
      <w:lvlText w:val="%1."/>
      <w:lvlJc w:val="center"/>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F50B34"/>
    <w:multiLevelType w:val="hybridMultilevel"/>
    <w:tmpl w:val="EB860638"/>
    <w:lvl w:ilvl="0" w:tplc="04090013">
      <w:start w:val="1"/>
      <w:numFmt w:val="hebrew1"/>
      <w:lvlText w:val="%1."/>
      <w:lvlJc w:val="center"/>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0A83337"/>
    <w:multiLevelType w:val="hybridMultilevel"/>
    <w:tmpl w:val="36A6F6F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112D162A"/>
    <w:multiLevelType w:val="hybridMultilevel"/>
    <w:tmpl w:val="11A8C7F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C8437A1"/>
    <w:multiLevelType w:val="hybridMultilevel"/>
    <w:tmpl w:val="D648161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E3054A1"/>
    <w:multiLevelType w:val="hybridMultilevel"/>
    <w:tmpl w:val="272E599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249A6780"/>
    <w:multiLevelType w:val="hybridMultilevel"/>
    <w:tmpl w:val="BCEAD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9FF6116"/>
    <w:multiLevelType w:val="hybridMultilevel"/>
    <w:tmpl w:val="0976665C"/>
    <w:lvl w:ilvl="0" w:tplc="0409000F">
      <w:start w:val="1"/>
      <w:numFmt w:val="decimal"/>
      <w:lvlText w:val="%1."/>
      <w:lvlJc w:val="left"/>
      <w:pPr>
        <w:tabs>
          <w:tab w:val="num" w:pos="360"/>
        </w:tabs>
        <w:ind w:left="360" w:hanging="360"/>
      </w:pPr>
    </w:lvl>
    <w:lvl w:ilvl="1" w:tplc="04090013">
      <w:start w:val="1"/>
      <w:numFmt w:val="hebrew1"/>
      <w:lvlText w:val="%2."/>
      <w:lvlJc w:val="center"/>
      <w:pPr>
        <w:tabs>
          <w:tab w:val="num" w:pos="1080"/>
        </w:tabs>
        <w:ind w:left="1080" w:hanging="360"/>
      </w:pPr>
    </w:lvl>
    <w:lvl w:ilvl="2" w:tplc="0409000F">
      <w:start w:val="1"/>
      <w:numFmt w:val="decimal"/>
      <w:lvlText w:val="%3."/>
      <w:lvlJc w:val="left"/>
      <w:pPr>
        <w:tabs>
          <w:tab w:val="num" w:pos="1980"/>
        </w:tabs>
        <w:ind w:left="1980" w:hanging="360"/>
      </w:pPr>
    </w:lvl>
    <w:lvl w:ilvl="3" w:tplc="0E96CDB4">
      <w:start w:val="1"/>
      <w:numFmt w:val="hebrew1"/>
      <w:lvlText w:val="(%4)"/>
      <w:lvlJc w:val="left"/>
      <w:pPr>
        <w:ind w:left="2520" w:hanging="360"/>
      </w:pPr>
      <w:rPr>
        <w:rFonts w:hint="default"/>
      </w:r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2A472A7E"/>
    <w:multiLevelType w:val="hybridMultilevel"/>
    <w:tmpl w:val="BCE056DE"/>
    <w:lvl w:ilvl="0" w:tplc="04090013">
      <w:start w:val="1"/>
      <w:numFmt w:val="hebrew1"/>
      <w:lvlText w:val="%1."/>
      <w:lvlJc w:val="center"/>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2D32180A"/>
    <w:multiLevelType w:val="hybridMultilevel"/>
    <w:tmpl w:val="E090A4A8"/>
    <w:lvl w:ilvl="0" w:tplc="04090013">
      <w:start w:val="1"/>
      <w:numFmt w:val="hebrew1"/>
      <w:lvlText w:val="%1."/>
      <w:lvlJc w:val="center"/>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3825346A"/>
    <w:multiLevelType w:val="hybridMultilevel"/>
    <w:tmpl w:val="1EC0F7E0"/>
    <w:lvl w:ilvl="0" w:tplc="04090013">
      <w:start w:val="1"/>
      <w:numFmt w:val="hebrew1"/>
      <w:lvlText w:val="%1."/>
      <w:lvlJc w:val="center"/>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38BC3FF5"/>
    <w:multiLevelType w:val="hybridMultilevel"/>
    <w:tmpl w:val="C7F80C6E"/>
    <w:lvl w:ilvl="0" w:tplc="0409000F">
      <w:start w:val="1"/>
      <w:numFmt w:val="decimal"/>
      <w:lvlText w:val="%1."/>
      <w:lvlJc w:val="left"/>
      <w:pPr>
        <w:tabs>
          <w:tab w:val="num" w:pos="669"/>
        </w:tabs>
        <w:ind w:left="669" w:hanging="360"/>
      </w:pPr>
    </w:lvl>
    <w:lvl w:ilvl="1" w:tplc="04090019" w:tentative="1">
      <w:start w:val="1"/>
      <w:numFmt w:val="lowerLetter"/>
      <w:lvlText w:val="%2."/>
      <w:lvlJc w:val="left"/>
      <w:pPr>
        <w:tabs>
          <w:tab w:val="num" w:pos="1389"/>
        </w:tabs>
        <w:ind w:left="1389" w:hanging="360"/>
      </w:pPr>
    </w:lvl>
    <w:lvl w:ilvl="2" w:tplc="0409001B" w:tentative="1">
      <w:start w:val="1"/>
      <w:numFmt w:val="lowerRoman"/>
      <w:lvlText w:val="%3."/>
      <w:lvlJc w:val="right"/>
      <w:pPr>
        <w:tabs>
          <w:tab w:val="num" w:pos="2109"/>
        </w:tabs>
        <w:ind w:left="2109" w:hanging="180"/>
      </w:pPr>
    </w:lvl>
    <w:lvl w:ilvl="3" w:tplc="0409000F" w:tentative="1">
      <w:start w:val="1"/>
      <w:numFmt w:val="decimal"/>
      <w:lvlText w:val="%4."/>
      <w:lvlJc w:val="left"/>
      <w:pPr>
        <w:tabs>
          <w:tab w:val="num" w:pos="2829"/>
        </w:tabs>
        <w:ind w:left="2829" w:hanging="360"/>
      </w:pPr>
    </w:lvl>
    <w:lvl w:ilvl="4" w:tplc="04090019" w:tentative="1">
      <w:start w:val="1"/>
      <w:numFmt w:val="lowerLetter"/>
      <w:lvlText w:val="%5."/>
      <w:lvlJc w:val="left"/>
      <w:pPr>
        <w:tabs>
          <w:tab w:val="num" w:pos="3549"/>
        </w:tabs>
        <w:ind w:left="3549" w:hanging="360"/>
      </w:pPr>
    </w:lvl>
    <w:lvl w:ilvl="5" w:tplc="0409001B" w:tentative="1">
      <w:start w:val="1"/>
      <w:numFmt w:val="lowerRoman"/>
      <w:lvlText w:val="%6."/>
      <w:lvlJc w:val="right"/>
      <w:pPr>
        <w:tabs>
          <w:tab w:val="num" w:pos="4269"/>
        </w:tabs>
        <w:ind w:left="4269" w:hanging="180"/>
      </w:pPr>
    </w:lvl>
    <w:lvl w:ilvl="6" w:tplc="0409000F" w:tentative="1">
      <w:start w:val="1"/>
      <w:numFmt w:val="decimal"/>
      <w:lvlText w:val="%7."/>
      <w:lvlJc w:val="left"/>
      <w:pPr>
        <w:tabs>
          <w:tab w:val="num" w:pos="4989"/>
        </w:tabs>
        <w:ind w:left="4989" w:hanging="360"/>
      </w:pPr>
    </w:lvl>
    <w:lvl w:ilvl="7" w:tplc="04090019" w:tentative="1">
      <w:start w:val="1"/>
      <w:numFmt w:val="lowerLetter"/>
      <w:lvlText w:val="%8."/>
      <w:lvlJc w:val="left"/>
      <w:pPr>
        <w:tabs>
          <w:tab w:val="num" w:pos="5709"/>
        </w:tabs>
        <w:ind w:left="5709" w:hanging="360"/>
      </w:pPr>
    </w:lvl>
    <w:lvl w:ilvl="8" w:tplc="0409001B" w:tentative="1">
      <w:start w:val="1"/>
      <w:numFmt w:val="lowerRoman"/>
      <w:lvlText w:val="%9."/>
      <w:lvlJc w:val="right"/>
      <w:pPr>
        <w:tabs>
          <w:tab w:val="num" w:pos="6429"/>
        </w:tabs>
        <w:ind w:left="6429" w:hanging="180"/>
      </w:pPr>
    </w:lvl>
  </w:abstractNum>
  <w:abstractNum w:abstractNumId="13">
    <w:nsid w:val="470301A6"/>
    <w:multiLevelType w:val="hybridMultilevel"/>
    <w:tmpl w:val="56B285C0"/>
    <w:lvl w:ilvl="0" w:tplc="0409000F">
      <w:start w:val="1"/>
      <w:numFmt w:val="decimal"/>
      <w:lvlText w:val="%1."/>
      <w:lvlJc w:val="left"/>
      <w:pPr>
        <w:ind w:left="360" w:hanging="360"/>
      </w:pPr>
    </w:lvl>
    <w:lvl w:ilvl="1" w:tplc="04090013">
      <w:start w:val="1"/>
      <w:numFmt w:val="hebrew1"/>
      <w:lvlText w:val="%2."/>
      <w:lvlJc w:val="center"/>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5088380E"/>
    <w:multiLevelType w:val="hybridMultilevel"/>
    <w:tmpl w:val="16E48EA2"/>
    <w:lvl w:ilvl="0" w:tplc="04090013">
      <w:start w:val="1"/>
      <w:numFmt w:val="hebrew1"/>
      <w:lvlText w:val="%1."/>
      <w:lvlJc w:val="center"/>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58284B82"/>
    <w:multiLevelType w:val="hybridMultilevel"/>
    <w:tmpl w:val="22348BD6"/>
    <w:lvl w:ilvl="0" w:tplc="DC9A7A88">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FD42176"/>
    <w:multiLevelType w:val="hybridMultilevel"/>
    <w:tmpl w:val="8F1C9618"/>
    <w:lvl w:ilvl="0" w:tplc="4E463FB0">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623B2EF5"/>
    <w:multiLevelType w:val="hybridMultilevel"/>
    <w:tmpl w:val="73724020"/>
    <w:lvl w:ilvl="0" w:tplc="0409000F">
      <w:start w:val="1"/>
      <w:numFmt w:val="decimal"/>
      <w:lvlText w:val="%1."/>
      <w:lvlJc w:val="left"/>
      <w:pPr>
        <w:tabs>
          <w:tab w:val="num" w:pos="1112"/>
        </w:tabs>
        <w:ind w:left="1112" w:hanging="360"/>
      </w:pPr>
    </w:lvl>
    <w:lvl w:ilvl="1" w:tplc="04090019" w:tentative="1">
      <w:start w:val="1"/>
      <w:numFmt w:val="lowerLetter"/>
      <w:lvlText w:val="%2."/>
      <w:lvlJc w:val="left"/>
      <w:pPr>
        <w:tabs>
          <w:tab w:val="num" w:pos="1832"/>
        </w:tabs>
        <w:ind w:left="1832" w:hanging="360"/>
      </w:pPr>
    </w:lvl>
    <w:lvl w:ilvl="2" w:tplc="0409001B" w:tentative="1">
      <w:start w:val="1"/>
      <w:numFmt w:val="lowerRoman"/>
      <w:lvlText w:val="%3."/>
      <w:lvlJc w:val="right"/>
      <w:pPr>
        <w:tabs>
          <w:tab w:val="num" w:pos="2552"/>
        </w:tabs>
        <w:ind w:left="2552" w:hanging="180"/>
      </w:pPr>
    </w:lvl>
    <w:lvl w:ilvl="3" w:tplc="0409000F" w:tentative="1">
      <w:start w:val="1"/>
      <w:numFmt w:val="decimal"/>
      <w:lvlText w:val="%4."/>
      <w:lvlJc w:val="left"/>
      <w:pPr>
        <w:tabs>
          <w:tab w:val="num" w:pos="3272"/>
        </w:tabs>
        <w:ind w:left="3272" w:hanging="360"/>
      </w:pPr>
    </w:lvl>
    <w:lvl w:ilvl="4" w:tplc="04090019" w:tentative="1">
      <w:start w:val="1"/>
      <w:numFmt w:val="lowerLetter"/>
      <w:lvlText w:val="%5."/>
      <w:lvlJc w:val="left"/>
      <w:pPr>
        <w:tabs>
          <w:tab w:val="num" w:pos="3992"/>
        </w:tabs>
        <w:ind w:left="3992" w:hanging="360"/>
      </w:pPr>
    </w:lvl>
    <w:lvl w:ilvl="5" w:tplc="0409001B" w:tentative="1">
      <w:start w:val="1"/>
      <w:numFmt w:val="lowerRoman"/>
      <w:lvlText w:val="%6."/>
      <w:lvlJc w:val="right"/>
      <w:pPr>
        <w:tabs>
          <w:tab w:val="num" w:pos="4712"/>
        </w:tabs>
        <w:ind w:left="4712" w:hanging="180"/>
      </w:pPr>
    </w:lvl>
    <w:lvl w:ilvl="6" w:tplc="0409000F" w:tentative="1">
      <w:start w:val="1"/>
      <w:numFmt w:val="decimal"/>
      <w:lvlText w:val="%7."/>
      <w:lvlJc w:val="left"/>
      <w:pPr>
        <w:tabs>
          <w:tab w:val="num" w:pos="5432"/>
        </w:tabs>
        <w:ind w:left="5432" w:hanging="360"/>
      </w:pPr>
    </w:lvl>
    <w:lvl w:ilvl="7" w:tplc="04090019" w:tentative="1">
      <w:start w:val="1"/>
      <w:numFmt w:val="lowerLetter"/>
      <w:lvlText w:val="%8."/>
      <w:lvlJc w:val="left"/>
      <w:pPr>
        <w:tabs>
          <w:tab w:val="num" w:pos="6152"/>
        </w:tabs>
        <w:ind w:left="6152" w:hanging="360"/>
      </w:pPr>
    </w:lvl>
    <w:lvl w:ilvl="8" w:tplc="0409001B" w:tentative="1">
      <w:start w:val="1"/>
      <w:numFmt w:val="lowerRoman"/>
      <w:lvlText w:val="%9."/>
      <w:lvlJc w:val="right"/>
      <w:pPr>
        <w:tabs>
          <w:tab w:val="num" w:pos="6872"/>
        </w:tabs>
        <w:ind w:left="6872" w:hanging="180"/>
      </w:pPr>
    </w:lvl>
  </w:abstractNum>
  <w:abstractNum w:abstractNumId="18">
    <w:nsid w:val="6768527B"/>
    <w:multiLevelType w:val="hybridMultilevel"/>
    <w:tmpl w:val="0B2022FC"/>
    <w:lvl w:ilvl="0" w:tplc="04090013">
      <w:start w:val="1"/>
      <w:numFmt w:val="hebrew1"/>
      <w:lvlText w:val="%1."/>
      <w:lvlJc w:val="center"/>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79701034"/>
    <w:multiLevelType w:val="hybridMultilevel"/>
    <w:tmpl w:val="0082BBF0"/>
    <w:lvl w:ilvl="0" w:tplc="A36A8C82">
      <w:start w:val="1"/>
      <w:numFmt w:val="hebrew1"/>
      <w:lvlText w:val="%1."/>
      <w:lvlJc w:val="left"/>
      <w:pPr>
        <w:tabs>
          <w:tab w:val="num" w:pos="752"/>
        </w:tabs>
        <w:ind w:left="752" w:hanging="360"/>
      </w:pPr>
      <w:rPr>
        <w:rFonts w:hint="default"/>
      </w:rPr>
    </w:lvl>
    <w:lvl w:ilvl="1" w:tplc="04090019" w:tentative="1">
      <w:start w:val="1"/>
      <w:numFmt w:val="lowerLetter"/>
      <w:lvlText w:val="%2."/>
      <w:lvlJc w:val="left"/>
      <w:pPr>
        <w:tabs>
          <w:tab w:val="num" w:pos="1472"/>
        </w:tabs>
        <w:ind w:left="1472" w:hanging="360"/>
      </w:pPr>
    </w:lvl>
    <w:lvl w:ilvl="2" w:tplc="0409001B" w:tentative="1">
      <w:start w:val="1"/>
      <w:numFmt w:val="lowerRoman"/>
      <w:lvlText w:val="%3."/>
      <w:lvlJc w:val="right"/>
      <w:pPr>
        <w:tabs>
          <w:tab w:val="num" w:pos="2192"/>
        </w:tabs>
        <w:ind w:left="2192" w:hanging="180"/>
      </w:pPr>
    </w:lvl>
    <w:lvl w:ilvl="3" w:tplc="0409000F" w:tentative="1">
      <w:start w:val="1"/>
      <w:numFmt w:val="decimal"/>
      <w:lvlText w:val="%4."/>
      <w:lvlJc w:val="left"/>
      <w:pPr>
        <w:tabs>
          <w:tab w:val="num" w:pos="2912"/>
        </w:tabs>
        <w:ind w:left="2912" w:hanging="360"/>
      </w:pPr>
    </w:lvl>
    <w:lvl w:ilvl="4" w:tplc="04090019" w:tentative="1">
      <w:start w:val="1"/>
      <w:numFmt w:val="lowerLetter"/>
      <w:lvlText w:val="%5."/>
      <w:lvlJc w:val="left"/>
      <w:pPr>
        <w:tabs>
          <w:tab w:val="num" w:pos="3632"/>
        </w:tabs>
        <w:ind w:left="3632" w:hanging="360"/>
      </w:pPr>
    </w:lvl>
    <w:lvl w:ilvl="5" w:tplc="0409001B" w:tentative="1">
      <w:start w:val="1"/>
      <w:numFmt w:val="lowerRoman"/>
      <w:lvlText w:val="%6."/>
      <w:lvlJc w:val="right"/>
      <w:pPr>
        <w:tabs>
          <w:tab w:val="num" w:pos="4352"/>
        </w:tabs>
        <w:ind w:left="4352" w:hanging="180"/>
      </w:pPr>
    </w:lvl>
    <w:lvl w:ilvl="6" w:tplc="0409000F" w:tentative="1">
      <w:start w:val="1"/>
      <w:numFmt w:val="decimal"/>
      <w:lvlText w:val="%7."/>
      <w:lvlJc w:val="left"/>
      <w:pPr>
        <w:tabs>
          <w:tab w:val="num" w:pos="5072"/>
        </w:tabs>
        <w:ind w:left="5072" w:hanging="360"/>
      </w:pPr>
    </w:lvl>
    <w:lvl w:ilvl="7" w:tplc="04090019" w:tentative="1">
      <w:start w:val="1"/>
      <w:numFmt w:val="lowerLetter"/>
      <w:lvlText w:val="%8."/>
      <w:lvlJc w:val="left"/>
      <w:pPr>
        <w:tabs>
          <w:tab w:val="num" w:pos="5792"/>
        </w:tabs>
        <w:ind w:left="5792" w:hanging="360"/>
      </w:pPr>
    </w:lvl>
    <w:lvl w:ilvl="8" w:tplc="0409001B" w:tentative="1">
      <w:start w:val="1"/>
      <w:numFmt w:val="lowerRoman"/>
      <w:lvlText w:val="%9."/>
      <w:lvlJc w:val="right"/>
      <w:pPr>
        <w:tabs>
          <w:tab w:val="num" w:pos="6512"/>
        </w:tabs>
        <w:ind w:left="6512" w:hanging="180"/>
      </w:pPr>
    </w:lvl>
  </w:abstractNum>
  <w:abstractNum w:abstractNumId="20">
    <w:nsid w:val="7B567140"/>
    <w:multiLevelType w:val="multilevel"/>
    <w:tmpl w:val="0C94CEB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16"/>
  </w:num>
  <w:num w:numId="2">
    <w:abstractNumId w:val="3"/>
  </w:num>
  <w:num w:numId="3">
    <w:abstractNumId w:val="15"/>
  </w:num>
  <w:num w:numId="4">
    <w:abstractNumId w:val="8"/>
  </w:num>
  <w:num w:numId="5">
    <w:abstractNumId w:val="20"/>
  </w:num>
  <w:num w:numId="6">
    <w:abstractNumId w:val="11"/>
  </w:num>
  <w:num w:numId="7">
    <w:abstractNumId w:val="12"/>
  </w:num>
  <w:num w:numId="8">
    <w:abstractNumId w:val="17"/>
  </w:num>
  <w:num w:numId="9">
    <w:abstractNumId w:val="19"/>
  </w:num>
  <w:num w:numId="10">
    <w:abstractNumId w:val="14"/>
  </w:num>
  <w:num w:numId="11">
    <w:abstractNumId w:val="2"/>
  </w:num>
  <w:num w:numId="12">
    <w:abstractNumId w:val="9"/>
  </w:num>
  <w:num w:numId="13">
    <w:abstractNumId w:val="18"/>
  </w:num>
  <w:num w:numId="14">
    <w:abstractNumId w:val="1"/>
  </w:num>
  <w:num w:numId="15">
    <w:abstractNumId w:val="10"/>
  </w:num>
  <w:num w:numId="16">
    <w:abstractNumId w:val="6"/>
  </w:num>
  <w:num w:numId="17">
    <w:abstractNumId w:val="13"/>
  </w:num>
  <w:num w:numId="18">
    <w:abstractNumId w:val="4"/>
  </w:num>
  <w:num w:numId="19">
    <w:abstractNumId w:val="0"/>
  </w:num>
  <w:num w:numId="20">
    <w:abstractNumId w:val="7"/>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00E3"/>
    <w:rsid w:val="000011CD"/>
    <w:rsid w:val="0000263F"/>
    <w:rsid w:val="00003700"/>
    <w:rsid w:val="00004494"/>
    <w:rsid w:val="000066DE"/>
    <w:rsid w:val="00006D92"/>
    <w:rsid w:val="00011347"/>
    <w:rsid w:val="00014A35"/>
    <w:rsid w:val="00015267"/>
    <w:rsid w:val="00017171"/>
    <w:rsid w:val="00017761"/>
    <w:rsid w:val="00020CB8"/>
    <w:rsid w:val="0002123E"/>
    <w:rsid w:val="00023BB9"/>
    <w:rsid w:val="00024979"/>
    <w:rsid w:val="00031FDF"/>
    <w:rsid w:val="00033C6B"/>
    <w:rsid w:val="00035CBC"/>
    <w:rsid w:val="0003727E"/>
    <w:rsid w:val="00041AE5"/>
    <w:rsid w:val="00044F8B"/>
    <w:rsid w:val="0004519E"/>
    <w:rsid w:val="00046A70"/>
    <w:rsid w:val="00046B74"/>
    <w:rsid w:val="000500BF"/>
    <w:rsid w:val="0005072B"/>
    <w:rsid w:val="00051114"/>
    <w:rsid w:val="000524E6"/>
    <w:rsid w:val="000527DB"/>
    <w:rsid w:val="00053161"/>
    <w:rsid w:val="000531F7"/>
    <w:rsid w:val="000537CA"/>
    <w:rsid w:val="000555AF"/>
    <w:rsid w:val="00055E66"/>
    <w:rsid w:val="000575EC"/>
    <w:rsid w:val="00065F16"/>
    <w:rsid w:val="00067A4D"/>
    <w:rsid w:val="00067D7D"/>
    <w:rsid w:val="000705B3"/>
    <w:rsid w:val="00071432"/>
    <w:rsid w:val="00071EEE"/>
    <w:rsid w:val="00073BF4"/>
    <w:rsid w:val="00074D0A"/>
    <w:rsid w:val="00075F90"/>
    <w:rsid w:val="00077932"/>
    <w:rsid w:val="0008329B"/>
    <w:rsid w:val="00086715"/>
    <w:rsid w:val="00087711"/>
    <w:rsid w:val="000969CD"/>
    <w:rsid w:val="000A0718"/>
    <w:rsid w:val="000A2793"/>
    <w:rsid w:val="000A58B4"/>
    <w:rsid w:val="000B0D39"/>
    <w:rsid w:val="000B1F4D"/>
    <w:rsid w:val="000B2ECA"/>
    <w:rsid w:val="000B374C"/>
    <w:rsid w:val="000B47DF"/>
    <w:rsid w:val="000B5053"/>
    <w:rsid w:val="000B5059"/>
    <w:rsid w:val="000B5D3E"/>
    <w:rsid w:val="000B6F53"/>
    <w:rsid w:val="000C0631"/>
    <w:rsid w:val="000C2D53"/>
    <w:rsid w:val="000C4B32"/>
    <w:rsid w:val="000C6772"/>
    <w:rsid w:val="000C6F85"/>
    <w:rsid w:val="000D00E3"/>
    <w:rsid w:val="000D0CE8"/>
    <w:rsid w:val="000D49E4"/>
    <w:rsid w:val="000D576A"/>
    <w:rsid w:val="000D6A38"/>
    <w:rsid w:val="000E386C"/>
    <w:rsid w:val="000E3B33"/>
    <w:rsid w:val="000E4C73"/>
    <w:rsid w:val="000E7523"/>
    <w:rsid w:val="000E79E9"/>
    <w:rsid w:val="000F3061"/>
    <w:rsid w:val="000F6020"/>
    <w:rsid w:val="00101E9F"/>
    <w:rsid w:val="00102023"/>
    <w:rsid w:val="001027BE"/>
    <w:rsid w:val="0010283A"/>
    <w:rsid w:val="00103FEF"/>
    <w:rsid w:val="00104AE7"/>
    <w:rsid w:val="0010553C"/>
    <w:rsid w:val="00105A8B"/>
    <w:rsid w:val="001071FE"/>
    <w:rsid w:val="00111FF4"/>
    <w:rsid w:val="00114FC8"/>
    <w:rsid w:val="00115A65"/>
    <w:rsid w:val="0011653E"/>
    <w:rsid w:val="00117BF8"/>
    <w:rsid w:val="0012379A"/>
    <w:rsid w:val="00125AE3"/>
    <w:rsid w:val="001263E1"/>
    <w:rsid w:val="00127BDF"/>
    <w:rsid w:val="00130703"/>
    <w:rsid w:val="00130988"/>
    <w:rsid w:val="00133127"/>
    <w:rsid w:val="00136385"/>
    <w:rsid w:val="001379C5"/>
    <w:rsid w:val="0014454C"/>
    <w:rsid w:val="0014616F"/>
    <w:rsid w:val="00147116"/>
    <w:rsid w:val="001473DC"/>
    <w:rsid w:val="00147791"/>
    <w:rsid w:val="00147C80"/>
    <w:rsid w:val="0015219B"/>
    <w:rsid w:val="00152A97"/>
    <w:rsid w:val="0015321D"/>
    <w:rsid w:val="0015329B"/>
    <w:rsid w:val="00155458"/>
    <w:rsid w:val="00155872"/>
    <w:rsid w:val="00156E1C"/>
    <w:rsid w:val="001577B1"/>
    <w:rsid w:val="001616CA"/>
    <w:rsid w:val="0016288E"/>
    <w:rsid w:val="00163878"/>
    <w:rsid w:val="00165317"/>
    <w:rsid w:val="001706E0"/>
    <w:rsid w:val="00170CC6"/>
    <w:rsid w:val="00171246"/>
    <w:rsid w:val="001716AD"/>
    <w:rsid w:val="00172B94"/>
    <w:rsid w:val="00174A6A"/>
    <w:rsid w:val="001773EA"/>
    <w:rsid w:val="001805F0"/>
    <w:rsid w:val="0018171B"/>
    <w:rsid w:val="00181955"/>
    <w:rsid w:val="001826C1"/>
    <w:rsid w:val="00183EAE"/>
    <w:rsid w:val="001864B7"/>
    <w:rsid w:val="0018785F"/>
    <w:rsid w:val="00190814"/>
    <w:rsid w:val="00191637"/>
    <w:rsid w:val="00191653"/>
    <w:rsid w:val="00193914"/>
    <w:rsid w:val="00194756"/>
    <w:rsid w:val="0019481E"/>
    <w:rsid w:val="001952BD"/>
    <w:rsid w:val="00196815"/>
    <w:rsid w:val="00197220"/>
    <w:rsid w:val="001A1E84"/>
    <w:rsid w:val="001A577D"/>
    <w:rsid w:val="001A7D9D"/>
    <w:rsid w:val="001A7DC9"/>
    <w:rsid w:val="001B1EF1"/>
    <w:rsid w:val="001B4906"/>
    <w:rsid w:val="001B4EA1"/>
    <w:rsid w:val="001B650A"/>
    <w:rsid w:val="001B7454"/>
    <w:rsid w:val="001C056D"/>
    <w:rsid w:val="001C36B8"/>
    <w:rsid w:val="001C53F9"/>
    <w:rsid w:val="001C59AF"/>
    <w:rsid w:val="001C5C20"/>
    <w:rsid w:val="001C60EE"/>
    <w:rsid w:val="001C6301"/>
    <w:rsid w:val="001C636B"/>
    <w:rsid w:val="001C7554"/>
    <w:rsid w:val="001D3A54"/>
    <w:rsid w:val="001D5613"/>
    <w:rsid w:val="001D7BBC"/>
    <w:rsid w:val="001E1432"/>
    <w:rsid w:val="001E3224"/>
    <w:rsid w:val="001E4E31"/>
    <w:rsid w:val="001E5DE4"/>
    <w:rsid w:val="001F0087"/>
    <w:rsid w:val="001F34A2"/>
    <w:rsid w:val="001F3FE3"/>
    <w:rsid w:val="001F5C04"/>
    <w:rsid w:val="001F65AE"/>
    <w:rsid w:val="002027CD"/>
    <w:rsid w:val="00202F4F"/>
    <w:rsid w:val="002056D9"/>
    <w:rsid w:val="00207CB3"/>
    <w:rsid w:val="00211D3D"/>
    <w:rsid w:val="0021325E"/>
    <w:rsid w:val="002161C4"/>
    <w:rsid w:val="00216D97"/>
    <w:rsid w:val="002218B9"/>
    <w:rsid w:val="00221F1A"/>
    <w:rsid w:val="00222A42"/>
    <w:rsid w:val="00222FA0"/>
    <w:rsid w:val="00231946"/>
    <w:rsid w:val="00234018"/>
    <w:rsid w:val="0023470D"/>
    <w:rsid w:val="00237C72"/>
    <w:rsid w:val="002407A3"/>
    <w:rsid w:val="00242229"/>
    <w:rsid w:val="00242658"/>
    <w:rsid w:val="002442C6"/>
    <w:rsid w:val="002501E9"/>
    <w:rsid w:val="00253B97"/>
    <w:rsid w:val="00253D82"/>
    <w:rsid w:val="00260923"/>
    <w:rsid w:val="002610BB"/>
    <w:rsid w:val="0026250E"/>
    <w:rsid w:val="00271277"/>
    <w:rsid w:val="002743D1"/>
    <w:rsid w:val="00274535"/>
    <w:rsid w:val="00274BF2"/>
    <w:rsid w:val="0028108B"/>
    <w:rsid w:val="002844F7"/>
    <w:rsid w:val="00284EBD"/>
    <w:rsid w:val="00287CB8"/>
    <w:rsid w:val="00290DFF"/>
    <w:rsid w:val="00290F6D"/>
    <w:rsid w:val="0029217E"/>
    <w:rsid w:val="00292B1B"/>
    <w:rsid w:val="002960D6"/>
    <w:rsid w:val="00297A61"/>
    <w:rsid w:val="00297CC0"/>
    <w:rsid w:val="002A21F6"/>
    <w:rsid w:val="002A2353"/>
    <w:rsid w:val="002A6506"/>
    <w:rsid w:val="002C04E9"/>
    <w:rsid w:val="002C066D"/>
    <w:rsid w:val="002C634B"/>
    <w:rsid w:val="002C6B17"/>
    <w:rsid w:val="002C7730"/>
    <w:rsid w:val="002D2ED0"/>
    <w:rsid w:val="002D7E34"/>
    <w:rsid w:val="002E0F21"/>
    <w:rsid w:val="002E1B3F"/>
    <w:rsid w:val="002E24A4"/>
    <w:rsid w:val="002E4B17"/>
    <w:rsid w:val="002E563E"/>
    <w:rsid w:val="002E7BE7"/>
    <w:rsid w:val="002F121A"/>
    <w:rsid w:val="002F3413"/>
    <w:rsid w:val="002F3428"/>
    <w:rsid w:val="00302E3D"/>
    <w:rsid w:val="003049D6"/>
    <w:rsid w:val="00304EBD"/>
    <w:rsid w:val="00305E97"/>
    <w:rsid w:val="003070BA"/>
    <w:rsid w:val="0031030F"/>
    <w:rsid w:val="00310538"/>
    <w:rsid w:val="00311C87"/>
    <w:rsid w:val="00312BD6"/>
    <w:rsid w:val="00314419"/>
    <w:rsid w:val="00314DDC"/>
    <w:rsid w:val="00315B88"/>
    <w:rsid w:val="00316AD2"/>
    <w:rsid w:val="00320F78"/>
    <w:rsid w:val="00321012"/>
    <w:rsid w:val="00321499"/>
    <w:rsid w:val="00324F05"/>
    <w:rsid w:val="00326D41"/>
    <w:rsid w:val="00327753"/>
    <w:rsid w:val="00327DA8"/>
    <w:rsid w:val="00330CEC"/>
    <w:rsid w:val="00332952"/>
    <w:rsid w:val="00337596"/>
    <w:rsid w:val="003406F6"/>
    <w:rsid w:val="0034080A"/>
    <w:rsid w:val="003414B4"/>
    <w:rsid w:val="003414F7"/>
    <w:rsid w:val="00346283"/>
    <w:rsid w:val="003476BB"/>
    <w:rsid w:val="00350D06"/>
    <w:rsid w:val="00351424"/>
    <w:rsid w:val="00353DB5"/>
    <w:rsid w:val="003544D8"/>
    <w:rsid w:val="00355F85"/>
    <w:rsid w:val="003603D9"/>
    <w:rsid w:val="003617E2"/>
    <w:rsid w:val="003624E2"/>
    <w:rsid w:val="00363402"/>
    <w:rsid w:val="00363EB6"/>
    <w:rsid w:val="00366189"/>
    <w:rsid w:val="003710F1"/>
    <w:rsid w:val="00374C45"/>
    <w:rsid w:val="00377772"/>
    <w:rsid w:val="00377B70"/>
    <w:rsid w:val="003815F6"/>
    <w:rsid w:val="00381B33"/>
    <w:rsid w:val="0038571B"/>
    <w:rsid w:val="00390C15"/>
    <w:rsid w:val="0039362E"/>
    <w:rsid w:val="003940D9"/>
    <w:rsid w:val="00395A00"/>
    <w:rsid w:val="00396CF8"/>
    <w:rsid w:val="003974D0"/>
    <w:rsid w:val="00397579"/>
    <w:rsid w:val="003A1546"/>
    <w:rsid w:val="003A1F8F"/>
    <w:rsid w:val="003B1D03"/>
    <w:rsid w:val="003B449D"/>
    <w:rsid w:val="003B45EB"/>
    <w:rsid w:val="003C079C"/>
    <w:rsid w:val="003C6660"/>
    <w:rsid w:val="003C6E78"/>
    <w:rsid w:val="003C716A"/>
    <w:rsid w:val="003C7F3C"/>
    <w:rsid w:val="003D1616"/>
    <w:rsid w:val="003D2FB9"/>
    <w:rsid w:val="003D431D"/>
    <w:rsid w:val="003D5FE4"/>
    <w:rsid w:val="003D7F71"/>
    <w:rsid w:val="003E10ED"/>
    <w:rsid w:val="003E2F08"/>
    <w:rsid w:val="003E2F9C"/>
    <w:rsid w:val="003E4C52"/>
    <w:rsid w:val="003E67A6"/>
    <w:rsid w:val="003F1486"/>
    <w:rsid w:val="003F4D1F"/>
    <w:rsid w:val="003F5040"/>
    <w:rsid w:val="003F67E1"/>
    <w:rsid w:val="00401755"/>
    <w:rsid w:val="00401FE4"/>
    <w:rsid w:val="004033CB"/>
    <w:rsid w:val="00404052"/>
    <w:rsid w:val="00405CD0"/>
    <w:rsid w:val="0041086A"/>
    <w:rsid w:val="0041549A"/>
    <w:rsid w:val="0041553D"/>
    <w:rsid w:val="00417359"/>
    <w:rsid w:val="00420BBA"/>
    <w:rsid w:val="004211D8"/>
    <w:rsid w:val="0042207F"/>
    <w:rsid w:val="00423665"/>
    <w:rsid w:val="004363CF"/>
    <w:rsid w:val="00437C2F"/>
    <w:rsid w:val="00437F39"/>
    <w:rsid w:val="00441898"/>
    <w:rsid w:val="0044223A"/>
    <w:rsid w:val="004437C5"/>
    <w:rsid w:val="004521A3"/>
    <w:rsid w:val="00452D20"/>
    <w:rsid w:val="00456EAF"/>
    <w:rsid w:val="004605E7"/>
    <w:rsid w:val="004653A0"/>
    <w:rsid w:val="00466AD2"/>
    <w:rsid w:val="004730FA"/>
    <w:rsid w:val="00475FE2"/>
    <w:rsid w:val="00477FEC"/>
    <w:rsid w:val="00482417"/>
    <w:rsid w:val="004837A4"/>
    <w:rsid w:val="00484E33"/>
    <w:rsid w:val="004850F3"/>
    <w:rsid w:val="0048746D"/>
    <w:rsid w:val="00491985"/>
    <w:rsid w:val="00493276"/>
    <w:rsid w:val="0049727E"/>
    <w:rsid w:val="004A0719"/>
    <w:rsid w:val="004A09E2"/>
    <w:rsid w:val="004A1CB7"/>
    <w:rsid w:val="004A4B7A"/>
    <w:rsid w:val="004A5458"/>
    <w:rsid w:val="004A7412"/>
    <w:rsid w:val="004A774C"/>
    <w:rsid w:val="004B0C62"/>
    <w:rsid w:val="004B2327"/>
    <w:rsid w:val="004B4A2F"/>
    <w:rsid w:val="004B6273"/>
    <w:rsid w:val="004B6F0C"/>
    <w:rsid w:val="004C1D27"/>
    <w:rsid w:val="004C2998"/>
    <w:rsid w:val="004C3505"/>
    <w:rsid w:val="004D0AC9"/>
    <w:rsid w:val="004D11ED"/>
    <w:rsid w:val="004D541A"/>
    <w:rsid w:val="004D7060"/>
    <w:rsid w:val="004E0B11"/>
    <w:rsid w:val="004E2702"/>
    <w:rsid w:val="004E4D0F"/>
    <w:rsid w:val="004E5094"/>
    <w:rsid w:val="004E5782"/>
    <w:rsid w:val="004E6E49"/>
    <w:rsid w:val="004E7140"/>
    <w:rsid w:val="004F12AF"/>
    <w:rsid w:val="00500EE5"/>
    <w:rsid w:val="005056FB"/>
    <w:rsid w:val="0050651C"/>
    <w:rsid w:val="00507DE7"/>
    <w:rsid w:val="00513A73"/>
    <w:rsid w:val="00515BC4"/>
    <w:rsid w:val="005208D4"/>
    <w:rsid w:val="00521993"/>
    <w:rsid w:val="005252A1"/>
    <w:rsid w:val="0053177A"/>
    <w:rsid w:val="0053250A"/>
    <w:rsid w:val="005361D1"/>
    <w:rsid w:val="0054043F"/>
    <w:rsid w:val="00543668"/>
    <w:rsid w:val="00544EC4"/>
    <w:rsid w:val="0054726A"/>
    <w:rsid w:val="005508E8"/>
    <w:rsid w:val="00550D5D"/>
    <w:rsid w:val="005531CF"/>
    <w:rsid w:val="005536B8"/>
    <w:rsid w:val="0055558B"/>
    <w:rsid w:val="0056167B"/>
    <w:rsid w:val="00562624"/>
    <w:rsid w:val="0056426C"/>
    <w:rsid w:val="00564659"/>
    <w:rsid w:val="005649DD"/>
    <w:rsid w:val="0057064C"/>
    <w:rsid w:val="00570DE3"/>
    <w:rsid w:val="00571787"/>
    <w:rsid w:val="00574A08"/>
    <w:rsid w:val="005760BD"/>
    <w:rsid w:val="0057683F"/>
    <w:rsid w:val="00576E72"/>
    <w:rsid w:val="00577A54"/>
    <w:rsid w:val="005810F6"/>
    <w:rsid w:val="00584302"/>
    <w:rsid w:val="005866F5"/>
    <w:rsid w:val="00586A1A"/>
    <w:rsid w:val="00586AA5"/>
    <w:rsid w:val="00591008"/>
    <w:rsid w:val="0059395A"/>
    <w:rsid w:val="00593DAD"/>
    <w:rsid w:val="00593F9B"/>
    <w:rsid w:val="00594817"/>
    <w:rsid w:val="005953B5"/>
    <w:rsid w:val="00595ADD"/>
    <w:rsid w:val="005A1BFB"/>
    <w:rsid w:val="005A5130"/>
    <w:rsid w:val="005A5886"/>
    <w:rsid w:val="005A6995"/>
    <w:rsid w:val="005A6A6A"/>
    <w:rsid w:val="005A6C1C"/>
    <w:rsid w:val="005A7C1E"/>
    <w:rsid w:val="005B0335"/>
    <w:rsid w:val="005B04A7"/>
    <w:rsid w:val="005B3DAD"/>
    <w:rsid w:val="005B4052"/>
    <w:rsid w:val="005B5588"/>
    <w:rsid w:val="005B7C8C"/>
    <w:rsid w:val="005C1628"/>
    <w:rsid w:val="005C6E63"/>
    <w:rsid w:val="005C7351"/>
    <w:rsid w:val="005D009F"/>
    <w:rsid w:val="005D2784"/>
    <w:rsid w:val="005D3163"/>
    <w:rsid w:val="005D4436"/>
    <w:rsid w:val="005E2350"/>
    <w:rsid w:val="005F2E42"/>
    <w:rsid w:val="005F3164"/>
    <w:rsid w:val="005F594F"/>
    <w:rsid w:val="005F699D"/>
    <w:rsid w:val="00601045"/>
    <w:rsid w:val="0060240F"/>
    <w:rsid w:val="00606841"/>
    <w:rsid w:val="00607CD8"/>
    <w:rsid w:val="006116EC"/>
    <w:rsid w:val="006208DD"/>
    <w:rsid w:val="00622A57"/>
    <w:rsid w:val="00623821"/>
    <w:rsid w:val="00627E83"/>
    <w:rsid w:val="0063246E"/>
    <w:rsid w:val="00642AA0"/>
    <w:rsid w:val="00642C5C"/>
    <w:rsid w:val="00650E11"/>
    <w:rsid w:val="00651CD8"/>
    <w:rsid w:val="00654B7C"/>
    <w:rsid w:val="0065546C"/>
    <w:rsid w:val="0065654D"/>
    <w:rsid w:val="00662C54"/>
    <w:rsid w:val="00662CC0"/>
    <w:rsid w:val="00663220"/>
    <w:rsid w:val="00663870"/>
    <w:rsid w:val="00673DF3"/>
    <w:rsid w:val="00677FCF"/>
    <w:rsid w:val="00682746"/>
    <w:rsid w:val="00684012"/>
    <w:rsid w:val="00687D36"/>
    <w:rsid w:val="00690B2D"/>
    <w:rsid w:val="00691AAF"/>
    <w:rsid w:val="006927EC"/>
    <w:rsid w:val="0069336F"/>
    <w:rsid w:val="006945EB"/>
    <w:rsid w:val="006966CE"/>
    <w:rsid w:val="006A3D8F"/>
    <w:rsid w:val="006B0961"/>
    <w:rsid w:val="006B22EC"/>
    <w:rsid w:val="006B2FE8"/>
    <w:rsid w:val="006B4D12"/>
    <w:rsid w:val="006B685E"/>
    <w:rsid w:val="006B6E50"/>
    <w:rsid w:val="006B7A19"/>
    <w:rsid w:val="006C080B"/>
    <w:rsid w:val="006C121F"/>
    <w:rsid w:val="006C3EDD"/>
    <w:rsid w:val="006C582B"/>
    <w:rsid w:val="006C6B2C"/>
    <w:rsid w:val="006C6E1D"/>
    <w:rsid w:val="006C7741"/>
    <w:rsid w:val="006D08D5"/>
    <w:rsid w:val="006D0C84"/>
    <w:rsid w:val="006D1187"/>
    <w:rsid w:val="006D15D4"/>
    <w:rsid w:val="006D31CA"/>
    <w:rsid w:val="006D5171"/>
    <w:rsid w:val="006D5545"/>
    <w:rsid w:val="006D62B5"/>
    <w:rsid w:val="006E1D82"/>
    <w:rsid w:val="006E499D"/>
    <w:rsid w:val="006F18ED"/>
    <w:rsid w:val="006F2509"/>
    <w:rsid w:val="006F2782"/>
    <w:rsid w:val="006F2C4F"/>
    <w:rsid w:val="006F3D2B"/>
    <w:rsid w:val="006F42A9"/>
    <w:rsid w:val="006F4C77"/>
    <w:rsid w:val="006F665F"/>
    <w:rsid w:val="00701CFB"/>
    <w:rsid w:val="007033E1"/>
    <w:rsid w:val="00705CA9"/>
    <w:rsid w:val="00710B41"/>
    <w:rsid w:val="00711102"/>
    <w:rsid w:val="007128F8"/>
    <w:rsid w:val="00712BB1"/>
    <w:rsid w:val="00720466"/>
    <w:rsid w:val="00722179"/>
    <w:rsid w:val="007235F2"/>
    <w:rsid w:val="0072360D"/>
    <w:rsid w:val="00723645"/>
    <w:rsid w:val="00725927"/>
    <w:rsid w:val="0072772B"/>
    <w:rsid w:val="007314AC"/>
    <w:rsid w:val="00735F76"/>
    <w:rsid w:val="007403D4"/>
    <w:rsid w:val="00741041"/>
    <w:rsid w:val="007432F9"/>
    <w:rsid w:val="00747D35"/>
    <w:rsid w:val="00751C7B"/>
    <w:rsid w:val="00752020"/>
    <w:rsid w:val="007538F3"/>
    <w:rsid w:val="00754C1E"/>
    <w:rsid w:val="007557C6"/>
    <w:rsid w:val="00755F02"/>
    <w:rsid w:val="0075651D"/>
    <w:rsid w:val="00756FAF"/>
    <w:rsid w:val="007609CB"/>
    <w:rsid w:val="0076230C"/>
    <w:rsid w:val="00772F40"/>
    <w:rsid w:val="00776445"/>
    <w:rsid w:val="00776ADF"/>
    <w:rsid w:val="00783E51"/>
    <w:rsid w:val="0078462A"/>
    <w:rsid w:val="007853D4"/>
    <w:rsid w:val="0078593F"/>
    <w:rsid w:val="00786114"/>
    <w:rsid w:val="007901BA"/>
    <w:rsid w:val="00792A1D"/>
    <w:rsid w:val="007967B1"/>
    <w:rsid w:val="00797235"/>
    <w:rsid w:val="007A4768"/>
    <w:rsid w:val="007A4DA4"/>
    <w:rsid w:val="007A548C"/>
    <w:rsid w:val="007A62F7"/>
    <w:rsid w:val="007A6A90"/>
    <w:rsid w:val="007A7503"/>
    <w:rsid w:val="007A798D"/>
    <w:rsid w:val="007A7BE1"/>
    <w:rsid w:val="007B595E"/>
    <w:rsid w:val="007B6350"/>
    <w:rsid w:val="007B6AA4"/>
    <w:rsid w:val="007B6F83"/>
    <w:rsid w:val="007C657A"/>
    <w:rsid w:val="007C673C"/>
    <w:rsid w:val="007C76F1"/>
    <w:rsid w:val="007C77DE"/>
    <w:rsid w:val="007D1248"/>
    <w:rsid w:val="007D18D2"/>
    <w:rsid w:val="007D4199"/>
    <w:rsid w:val="007D633A"/>
    <w:rsid w:val="007D7174"/>
    <w:rsid w:val="007D7C0E"/>
    <w:rsid w:val="007E2DB6"/>
    <w:rsid w:val="007E53F6"/>
    <w:rsid w:val="007F046B"/>
    <w:rsid w:val="007F0474"/>
    <w:rsid w:val="007F25CA"/>
    <w:rsid w:val="007F56F3"/>
    <w:rsid w:val="007F5A6A"/>
    <w:rsid w:val="007F6049"/>
    <w:rsid w:val="00801B48"/>
    <w:rsid w:val="00802F54"/>
    <w:rsid w:val="00803E68"/>
    <w:rsid w:val="008054CD"/>
    <w:rsid w:val="00805845"/>
    <w:rsid w:val="00807B1E"/>
    <w:rsid w:val="00810857"/>
    <w:rsid w:val="00811054"/>
    <w:rsid w:val="00812E0B"/>
    <w:rsid w:val="0081408C"/>
    <w:rsid w:val="00817E12"/>
    <w:rsid w:val="008202A1"/>
    <w:rsid w:val="00821189"/>
    <w:rsid w:val="0082151A"/>
    <w:rsid w:val="008232A1"/>
    <w:rsid w:val="00824403"/>
    <w:rsid w:val="00826D79"/>
    <w:rsid w:val="00832244"/>
    <w:rsid w:val="00832C82"/>
    <w:rsid w:val="0083339A"/>
    <w:rsid w:val="00833C25"/>
    <w:rsid w:val="00836068"/>
    <w:rsid w:val="008377AC"/>
    <w:rsid w:val="00845242"/>
    <w:rsid w:val="0084629A"/>
    <w:rsid w:val="008500CA"/>
    <w:rsid w:val="00854C92"/>
    <w:rsid w:val="00855300"/>
    <w:rsid w:val="00855593"/>
    <w:rsid w:val="00855671"/>
    <w:rsid w:val="00856324"/>
    <w:rsid w:val="00856DF1"/>
    <w:rsid w:val="008627A8"/>
    <w:rsid w:val="00863DA4"/>
    <w:rsid w:val="008641BF"/>
    <w:rsid w:val="00866153"/>
    <w:rsid w:val="00866F33"/>
    <w:rsid w:val="008738AC"/>
    <w:rsid w:val="00873FFF"/>
    <w:rsid w:val="00875A65"/>
    <w:rsid w:val="00877C73"/>
    <w:rsid w:val="00881856"/>
    <w:rsid w:val="00883512"/>
    <w:rsid w:val="00885F67"/>
    <w:rsid w:val="00891D18"/>
    <w:rsid w:val="0089491B"/>
    <w:rsid w:val="00895968"/>
    <w:rsid w:val="008A09A0"/>
    <w:rsid w:val="008A193E"/>
    <w:rsid w:val="008A1FB5"/>
    <w:rsid w:val="008A2754"/>
    <w:rsid w:val="008A287A"/>
    <w:rsid w:val="008A2A1A"/>
    <w:rsid w:val="008A68D3"/>
    <w:rsid w:val="008A6CEA"/>
    <w:rsid w:val="008B16CD"/>
    <w:rsid w:val="008B2D1B"/>
    <w:rsid w:val="008B368B"/>
    <w:rsid w:val="008B594C"/>
    <w:rsid w:val="008C2838"/>
    <w:rsid w:val="008C3DB6"/>
    <w:rsid w:val="008C53D9"/>
    <w:rsid w:val="008C6393"/>
    <w:rsid w:val="008D178E"/>
    <w:rsid w:val="008D41C8"/>
    <w:rsid w:val="008D64DD"/>
    <w:rsid w:val="008D7BDD"/>
    <w:rsid w:val="008E0D69"/>
    <w:rsid w:val="008E2716"/>
    <w:rsid w:val="008E416C"/>
    <w:rsid w:val="008E424C"/>
    <w:rsid w:val="008E51FF"/>
    <w:rsid w:val="008F11BE"/>
    <w:rsid w:val="008F183B"/>
    <w:rsid w:val="008F1C68"/>
    <w:rsid w:val="008F2911"/>
    <w:rsid w:val="008F3D28"/>
    <w:rsid w:val="008F4B03"/>
    <w:rsid w:val="00900C6A"/>
    <w:rsid w:val="00902597"/>
    <w:rsid w:val="0090462D"/>
    <w:rsid w:val="00904F3D"/>
    <w:rsid w:val="00907D71"/>
    <w:rsid w:val="00911C32"/>
    <w:rsid w:val="00912661"/>
    <w:rsid w:val="00913797"/>
    <w:rsid w:val="00917DCE"/>
    <w:rsid w:val="00921F12"/>
    <w:rsid w:val="0092572D"/>
    <w:rsid w:val="009279C3"/>
    <w:rsid w:val="009313A5"/>
    <w:rsid w:val="00931A4F"/>
    <w:rsid w:val="00932317"/>
    <w:rsid w:val="00933902"/>
    <w:rsid w:val="00941B2F"/>
    <w:rsid w:val="009430EA"/>
    <w:rsid w:val="00943FDC"/>
    <w:rsid w:val="0094509C"/>
    <w:rsid w:val="00950395"/>
    <w:rsid w:val="009506A2"/>
    <w:rsid w:val="00951798"/>
    <w:rsid w:val="009522E3"/>
    <w:rsid w:val="00955889"/>
    <w:rsid w:val="00955FB7"/>
    <w:rsid w:val="0096067E"/>
    <w:rsid w:val="0097522F"/>
    <w:rsid w:val="00982D3E"/>
    <w:rsid w:val="009856A6"/>
    <w:rsid w:val="00985964"/>
    <w:rsid w:val="009867BC"/>
    <w:rsid w:val="00987E63"/>
    <w:rsid w:val="0099138F"/>
    <w:rsid w:val="0099189B"/>
    <w:rsid w:val="00994CE1"/>
    <w:rsid w:val="009950FB"/>
    <w:rsid w:val="0099539B"/>
    <w:rsid w:val="00996907"/>
    <w:rsid w:val="009A02CE"/>
    <w:rsid w:val="009A1A54"/>
    <w:rsid w:val="009A7E34"/>
    <w:rsid w:val="009B0B76"/>
    <w:rsid w:val="009B13C4"/>
    <w:rsid w:val="009B3579"/>
    <w:rsid w:val="009B4360"/>
    <w:rsid w:val="009B4E52"/>
    <w:rsid w:val="009C24A6"/>
    <w:rsid w:val="009C2AAD"/>
    <w:rsid w:val="009C3D15"/>
    <w:rsid w:val="009C3F16"/>
    <w:rsid w:val="009C4D72"/>
    <w:rsid w:val="009C5980"/>
    <w:rsid w:val="009C7EE6"/>
    <w:rsid w:val="009D0F7D"/>
    <w:rsid w:val="009D1C80"/>
    <w:rsid w:val="009D20B2"/>
    <w:rsid w:val="009D3804"/>
    <w:rsid w:val="009D58F5"/>
    <w:rsid w:val="009D5A03"/>
    <w:rsid w:val="009D6C9E"/>
    <w:rsid w:val="009D7AB2"/>
    <w:rsid w:val="009E1D46"/>
    <w:rsid w:val="009E75E4"/>
    <w:rsid w:val="009E76F9"/>
    <w:rsid w:val="009F1B59"/>
    <w:rsid w:val="009F293D"/>
    <w:rsid w:val="009F3142"/>
    <w:rsid w:val="009F4444"/>
    <w:rsid w:val="009F6134"/>
    <w:rsid w:val="00A02670"/>
    <w:rsid w:val="00A11435"/>
    <w:rsid w:val="00A12034"/>
    <w:rsid w:val="00A1225F"/>
    <w:rsid w:val="00A12B0E"/>
    <w:rsid w:val="00A14522"/>
    <w:rsid w:val="00A1698C"/>
    <w:rsid w:val="00A204A6"/>
    <w:rsid w:val="00A2518B"/>
    <w:rsid w:val="00A2593E"/>
    <w:rsid w:val="00A26166"/>
    <w:rsid w:val="00A26BC7"/>
    <w:rsid w:val="00A30A9D"/>
    <w:rsid w:val="00A35D11"/>
    <w:rsid w:val="00A37A43"/>
    <w:rsid w:val="00A40A82"/>
    <w:rsid w:val="00A40E5C"/>
    <w:rsid w:val="00A40FA6"/>
    <w:rsid w:val="00A43B0C"/>
    <w:rsid w:val="00A44815"/>
    <w:rsid w:val="00A44A95"/>
    <w:rsid w:val="00A45858"/>
    <w:rsid w:val="00A46AD4"/>
    <w:rsid w:val="00A47162"/>
    <w:rsid w:val="00A47BD6"/>
    <w:rsid w:val="00A50CE7"/>
    <w:rsid w:val="00A544F7"/>
    <w:rsid w:val="00A546B4"/>
    <w:rsid w:val="00A54715"/>
    <w:rsid w:val="00A54A81"/>
    <w:rsid w:val="00A553E0"/>
    <w:rsid w:val="00A558DC"/>
    <w:rsid w:val="00A637AA"/>
    <w:rsid w:val="00A6388D"/>
    <w:rsid w:val="00A648B6"/>
    <w:rsid w:val="00A65E2D"/>
    <w:rsid w:val="00A67C2F"/>
    <w:rsid w:val="00A704FC"/>
    <w:rsid w:val="00A7084B"/>
    <w:rsid w:val="00A70E02"/>
    <w:rsid w:val="00A72810"/>
    <w:rsid w:val="00A7563F"/>
    <w:rsid w:val="00A811F0"/>
    <w:rsid w:val="00A827E3"/>
    <w:rsid w:val="00A82F99"/>
    <w:rsid w:val="00A83134"/>
    <w:rsid w:val="00A84FBA"/>
    <w:rsid w:val="00A85034"/>
    <w:rsid w:val="00A878FC"/>
    <w:rsid w:val="00A9102C"/>
    <w:rsid w:val="00A923EC"/>
    <w:rsid w:val="00A92659"/>
    <w:rsid w:val="00A93F16"/>
    <w:rsid w:val="00A93FA9"/>
    <w:rsid w:val="00A95FA8"/>
    <w:rsid w:val="00A966B8"/>
    <w:rsid w:val="00AA0A6E"/>
    <w:rsid w:val="00AA1C31"/>
    <w:rsid w:val="00AA3B45"/>
    <w:rsid w:val="00AA5183"/>
    <w:rsid w:val="00AA7580"/>
    <w:rsid w:val="00AB07B9"/>
    <w:rsid w:val="00AB22AA"/>
    <w:rsid w:val="00AB2347"/>
    <w:rsid w:val="00AB2D78"/>
    <w:rsid w:val="00AB4037"/>
    <w:rsid w:val="00AC0ACE"/>
    <w:rsid w:val="00AC2262"/>
    <w:rsid w:val="00AC29BA"/>
    <w:rsid w:val="00AC2AFC"/>
    <w:rsid w:val="00AC3736"/>
    <w:rsid w:val="00AC4DCC"/>
    <w:rsid w:val="00AC618C"/>
    <w:rsid w:val="00AD253E"/>
    <w:rsid w:val="00AD39D4"/>
    <w:rsid w:val="00AD4325"/>
    <w:rsid w:val="00AD6530"/>
    <w:rsid w:val="00AE0017"/>
    <w:rsid w:val="00AE335E"/>
    <w:rsid w:val="00AF341E"/>
    <w:rsid w:val="00AF56D3"/>
    <w:rsid w:val="00B0020C"/>
    <w:rsid w:val="00B00551"/>
    <w:rsid w:val="00B0059B"/>
    <w:rsid w:val="00B00A81"/>
    <w:rsid w:val="00B00CD9"/>
    <w:rsid w:val="00B03BBC"/>
    <w:rsid w:val="00B106C6"/>
    <w:rsid w:val="00B10869"/>
    <w:rsid w:val="00B1766F"/>
    <w:rsid w:val="00B201A0"/>
    <w:rsid w:val="00B27045"/>
    <w:rsid w:val="00B32533"/>
    <w:rsid w:val="00B34FE0"/>
    <w:rsid w:val="00B35311"/>
    <w:rsid w:val="00B41DC3"/>
    <w:rsid w:val="00B4201B"/>
    <w:rsid w:val="00B44BE0"/>
    <w:rsid w:val="00B44C33"/>
    <w:rsid w:val="00B51CC1"/>
    <w:rsid w:val="00B51D83"/>
    <w:rsid w:val="00B57E0E"/>
    <w:rsid w:val="00B60143"/>
    <w:rsid w:val="00B6071F"/>
    <w:rsid w:val="00B61E6B"/>
    <w:rsid w:val="00B62EFC"/>
    <w:rsid w:val="00B636C2"/>
    <w:rsid w:val="00B649F4"/>
    <w:rsid w:val="00B71472"/>
    <w:rsid w:val="00B72423"/>
    <w:rsid w:val="00B73D54"/>
    <w:rsid w:val="00B757C5"/>
    <w:rsid w:val="00B76048"/>
    <w:rsid w:val="00B8163D"/>
    <w:rsid w:val="00B84362"/>
    <w:rsid w:val="00B85032"/>
    <w:rsid w:val="00B87ABA"/>
    <w:rsid w:val="00B908BF"/>
    <w:rsid w:val="00B90B98"/>
    <w:rsid w:val="00B9253F"/>
    <w:rsid w:val="00B92D60"/>
    <w:rsid w:val="00B94821"/>
    <w:rsid w:val="00BA3063"/>
    <w:rsid w:val="00BA7244"/>
    <w:rsid w:val="00BB0058"/>
    <w:rsid w:val="00BB03EF"/>
    <w:rsid w:val="00BB0C19"/>
    <w:rsid w:val="00BB10AF"/>
    <w:rsid w:val="00BB32D1"/>
    <w:rsid w:val="00BB4CF7"/>
    <w:rsid w:val="00BB51FB"/>
    <w:rsid w:val="00BB60B6"/>
    <w:rsid w:val="00BB6D04"/>
    <w:rsid w:val="00BB70C0"/>
    <w:rsid w:val="00BB7371"/>
    <w:rsid w:val="00BC4617"/>
    <w:rsid w:val="00BC5342"/>
    <w:rsid w:val="00BC6B80"/>
    <w:rsid w:val="00BD64E4"/>
    <w:rsid w:val="00BD702E"/>
    <w:rsid w:val="00BE21D2"/>
    <w:rsid w:val="00BE2DAD"/>
    <w:rsid w:val="00BE71E4"/>
    <w:rsid w:val="00BF1809"/>
    <w:rsid w:val="00BF2567"/>
    <w:rsid w:val="00BF5B7F"/>
    <w:rsid w:val="00BF6B5F"/>
    <w:rsid w:val="00BF6C32"/>
    <w:rsid w:val="00BF6FCE"/>
    <w:rsid w:val="00C00F8E"/>
    <w:rsid w:val="00C050F7"/>
    <w:rsid w:val="00C052DD"/>
    <w:rsid w:val="00C057DB"/>
    <w:rsid w:val="00C06347"/>
    <w:rsid w:val="00C0690E"/>
    <w:rsid w:val="00C13993"/>
    <w:rsid w:val="00C13BC0"/>
    <w:rsid w:val="00C14408"/>
    <w:rsid w:val="00C16A20"/>
    <w:rsid w:val="00C1726C"/>
    <w:rsid w:val="00C20441"/>
    <w:rsid w:val="00C2146B"/>
    <w:rsid w:val="00C21E30"/>
    <w:rsid w:val="00C21EFF"/>
    <w:rsid w:val="00C222B1"/>
    <w:rsid w:val="00C22E6B"/>
    <w:rsid w:val="00C243C7"/>
    <w:rsid w:val="00C27E50"/>
    <w:rsid w:val="00C31AEA"/>
    <w:rsid w:val="00C31E8D"/>
    <w:rsid w:val="00C36FEE"/>
    <w:rsid w:val="00C4319E"/>
    <w:rsid w:val="00C447E9"/>
    <w:rsid w:val="00C44980"/>
    <w:rsid w:val="00C451B2"/>
    <w:rsid w:val="00C46168"/>
    <w:rsid w:val="00C47D18"/>
    <w:rsid w:val="00C520D7"/>
    <w:rsid w:val="00C52B90"/>
    <w:rsid w:val="00C549E4"/>
    <w:rsid w:val="00C565DF"/>
    <w:rsid w:val="00C57A44"/>
    <w:rsid w:val="00C57A7F"/>
    <w:rsid w:val="00C57BEB"/>
    <w:rsid w:val="00C64D76"/>
    <w:rsid w:val="00C65CB7"/>
    <w:rsid w:val="00C66F01"/>
    <w:rsid w:val="00C70CCC"/>
    <w:rsid w:val="00C71815"/>
    <w:rsid w:val="00C763E6"/>
    <w:rsid w:val="00C77DF0"/>
    <w:rsid w:val="00C80884"/>
    <w:rsid w:val="00C83329"/>
    <w:rsid w:val="00C84B8E"/>
    <w:rsid w:val="00C854E4"/>
    <w:rsid w:val="00C85C6C"/>
    <w:rsid w:val="00C86B4A"/>
    <w:rsid w:val="00C87CC3"/>
    <w:rsid w:val="00C947F6"/>
    <w:rsid w:val="00C9579C"/>
    <w:rsid w:val="00CA55C0"/>
    <w:rsid w:val="00CA68EB"/>
    <w:rsid w:val="00CA70CD"/>
    <w:rsid w:val="00CB0638"/>
    <w:rsid w:val="00CB1F09"/>
    <w:rsid w:val="00CB2220"/>
    <w:rsid w:val="00CB508D"/>
    <w:rsid w:val="00CB5095"/>
    <w:rsid w:val="00CB5C6E"/>
    <w:rsid w:val="00CB73A3"/>
    <w:rsid w:val="00CC0290"/>
    <w:rsid w:val="00CC1571"/>
    <w:rsid w:val="00CC1F90"/>
    <w:rsid w:val="00CD0EB1"/>
    <w:rsid w:val="00CD25E2"/>
    <w:rsid w:val="00CD5CF2"/>
    <w:rsid w:val="00CD73D3"/>
    <w:rsid w:val="00CE4441"/>
    <w:rsid w:val="00CE510A"/>
    <w:rsid w:val="00CE552A"/>
    <w:rsid w:val="00CF03C5"/>
    <w:rsid w:val="00CF2B16"/>
    <w:rsid w:val="00CF2FF8"/>
    <w:rsid w:val="00CF404F"/>
    <w:rsid w:val="00CF41C5"/>
    <w:rsid w:val="00CF4505"/>
    <w:rsid w:val="00CF56A5"/>
    <w:rsid w:val="00CF62E6"/>
    <w:rsid w:val="00CF7099"/>
    <w:rsid w:val="00CF749D"/>
    <w:rsid w:val="00D00F36"/>
    <w:rsid w:val="00D0287C"/>
    <w:rsid w:val="00D0593C"/>
    <w:rsid w:val="00D064A9"/>
    <w:rsid w:val="00D15626"/>
    <w:rsid w:val="00D15740"/>
    <w:rsid w:val="00D17D42"/>
    <w:rsid w:val="00D20A1D"/>
    <w:rsid w:val="00D210C7"/>
    <w:rsid w:val="00D25F79"/>
    <w:rsid w:val="00D270F0"/>
    <w:rsid w:val="00D27C42"/>
    <w:rsid w:val="00D3080F"/>
    <w:rsid w:val="00D31BE7"/>
    <w:rsid w:val="00D32376"/>
    <w:rsid w:val="00D37015"/>
    <w:rsid w:val="00D37079"/>
    <w:rsid w:val="00D42029"/>
    <w:rsid w:val="00D441AE"/>
    <w:rsid w:val="00D4434C"/>
    <w:rsid w:val="00D4738C"/>
    <w:rsid w:val="00D47A58"/>
    <w:rsid w:val="00D5136B"/>
    <w:rsid w:val="00D542B2"/>
    <w:rsid w:val="00D5530B"/>
    <w:rsid w:val="00D57B7F"/>
    <w:rsid w:val="00D61AF6"/>
    <w:rsid w:val="00D6594C"/>
    <w:rsid w:val="00D6609C"/>
    <w:rsid w:val="00D70816"/>
    <w:rsid w:val="00D76305"/>
    <w:rsid w:val="00D81B60"/>
    <w:rsid w:val="00D832DC"/>
    <w:rsid w:val="00D83590"/>
    <w:rsid w:val="00D85B70"/>
    <w:rsid w:val="00D85E20"/>
    <w:rsid w:val="00D8652D"/>
    <w:rsid w:val="00D86A64"/>
    <w:rsid w:val="00D86CB9"/>
    <w:rsid w:val="00D905DE"/>
    <w:rsid w:val="00D9077B"/>
    <w:rsid w:val="00D94A04"/>
    <w:rsid w:val="00D962AB"/>
    <w:rsid w:val="00D97099"/>
    <w:rsid w:val="00DA059E"/>
    <w:rsid w:val="00DA1476"/>
    <w:rsid w:val="00DA427B"/>
    <w:rsid w:val="00DA5218"/>
    <w:rsid w:val="00DA54D5"/>
    <w:rsid w:val="00DA5AE3"/>
    <w:rsid w:val="00DB088E"/>
    <w:rsid w:val="00DB24C1"/>
    <w:rsid w:val="00DB51AD"/>
    <w:rsid w:val="00DC00DF"/>
    <w:rsid w:val="00DC459C"/>
    <w:rsid w:val="00DC5256"/>
    <w:rsid w:val="00DC61AD"/>
    <w:rsid w:val="00DC7E8A"/>
    <w:rsid w:val="00DD102A"/>
    <w:rsid w:val="00DD275D"/>
    <w:rsid w:val="00DD2A97"/>
    <w:rsid w:val="00DD3E2D"/>
    <w:rsid w:val="00DD4E41"/>
    <w:rsid w:val="00DD61FD"/>
    <w:rsid w:val="00DD6B0B"/>
    <w:rsid w:val="00DE0020"/>
    <w:rsid w:val="00DE00A4"/>
    <w:rsid w:val="00DE3859"/>
    <w:rsid w:val="00DE6C2D"/>
    <w:rsid w:val="00DE73FB"/>
    <w:rsid w:val="00DF11A9"/>
    <w:rsid w:val="00DF328A"/>
    <w:rsid w:val="00DF3856"/>
    <w:rsid w:val="00DF6FFD"/>
    <w:rsid w:val="00E03CE2"/>
    <w:rsid w:val="00E040E4"/>
    <w:rsid w:val="00E045DF"/>
    <w:rsid w:val="00E05961"/>
    <w:rsid w:val="00E06566"/>
    <w:rsid w:val="00E10085"/>
    <w:rsid w:val="00E127A6"/>
    <w:rsid w:val="00E14248"/>
    <w:rsid w:val="00E14FDF"/>
    <w:rsid w:val="00E16D7B"/>
    <w:rsid w:val="00E20662"/>
    <w:rsid w:val="00E2404B"/>
    <w:rsid w:val="00E24A82"/>
    <w:rsid w:val="00E2684E"/>
    <w:rsid w:val="00E27D3C"/>
    <w:rsid w:val="00E3255F"/>
    <w:rsid w:val="00E33EF4"/>
    <w:rsid w:val="00E3414C"/>
    <w:rsid w:val="00E34298"/>
    <w:rsid w:val="00E5086E"/>
    <w:rsid w:val="00E51230"/>
    <w:rsid w:val="00E55616"/>
    <w:rsid w:val="00E556DA"/>
    <w:rsid w:val="00E57154"/>
    <w:rsid w:val="00E609EC"/>
    <w:rsid w:val="00E61816"/>
    <w:rsid w:val="00E62D17"/>
    <w:rsid w:val="00E6406A"/>
    <w:rsid w:val="00E64076"/>
    <w:rsid w:val="00E64CA7"/>
    <w:rsid w:val="00E6533E"/>
    <w:rsid w:val="00E661D6"/>
    <w:rsid w:val="00E70850"/>
    <w:rsid w:val="00E81EB2"/>
    <w:rsid w:val="00E82361"/>
    <w:rsid w:val="00E82B75"/>
    <w:rsid w:val="00E82FF4"/>
    <w:rsid w:val="00E8472C"/>
    <w:rsid w:val="00E87E6D"/>
    <w:rsid w:val="00E9052F"/>
    <w:rsid w:val="00E91845"/>
    <w:rsid w:val="00E937D4"/>
    <w:rsid w:val="00E93D51"/>
    <w:rsid w:val="00E940EA"/>
    <w:rsid w:val="00E9579D"/>
    <w:rsid w:val="00EA04DA"/>
    <w:rsid w:val="00EA3940"/>
    <w:rsid w:val="00EA3D70"/>
    <w:rsid w:val="00EA7111"/>
    <w:rsid w:val="00EA78C6"/>
    <w:rsid w:val="00EA7A67"/>
    <w:rsid w:val="00EA7B7C"/>
    <w:rsid w:val="00EA7BF9"/>
    <w:rsid w:val="00EA7E19"/>
    <w:rsid w:val="00EB0F27"/>
    <w:rsid w:val="00EB0F94"/>
    <w:rsid w:val="00EB1401"/>
    <w:rsid w:val="00EB363C"/>
    <w:rsid w:val="00EB3E07"/>
    <w:rsid w:val="00EB4C1A"/>
    <w:rsid w:val="00EB620D"/>
    <w:rsid w:val="00EC0965"/>
    <w:rsid w:val="00EC0B66"/>
    <w:rsid w:val="00EC238E"/>
    <w:rsid w:val="00EC2DDD"/>
    <w:rsid w:val="00EC3292"/>
    <w:rsid w:val="00EC36F0"/>
    <w:rsid w:val="00EC48FD"/>
    <w:rsid w:val="00EC5E69"/>
    <w:rsid w:val="00ED1362"/>
    <w:rsid w:val="00ED17C8"/>
    <w:rsid w:val="00ED1E0D"/>
    <w:rsid w:val="00ED22C4"/>
    <w:rsid w:val="00ED489C"/>
    <w:rsid w:val="00ED704D"/>
    <w:rsid w:val="00EE04B2"/>
    <w:rsid w:val="00EE26F4"/>
    <w:rsid w:val="00EE6636"/>
    <w:rsid w:val="00F017E8"/>
    <w:rsid w:val="00F01ED3"/>
    <w:rsid w:val="00F04FA6"/>
    <w:rsid w:val="00F06B60"/>
    <w:rsid w:val="00F07147"/>
    <w:rsid w:val="00F12A9F"/>
    <w:rsid w:val="00F131BD"/>
    <w:rsid w:val="00F132DC"/>
    <w:rsid w:val="00F16B2E"/>
    <w:rsid w:val="00F171FC"/>
    <w:rsid w:val="00F17AFC"/>
    <w:rsid w:val="00F217E6"/>
    <w:rsid w:val="00F21A62"/>
    <w:rsid w:val="00F36A97"/>
    <w:rsid w:val="00F36EB1"/>
    <w:rsid w:val="00F43084"/>
    <w:rsid w:val="00F44B30"/>
    <w:rsid w:val="00F44C26"/>
    <w:rsid w:val="00F455CE"/>
    <w:rsid w:val="00F471CC"/>
    <w:rsid w:val="00F47E93"/>
    <w:rsid w:val="00F526E8"/>
    <w:rsid w:val="00F53A48"/>
    <w:rsid w:val="00F5480D"/>
    <w:rsid w:val="00F558A2"/>
    <w:rsid w:val="00F55DD9"/>
    <w:rsid w:val="00F62199"/>
    <w:rsid w:val="00F631B7"/>
    <w:rsid w:val="00F6418D"/>
    <w:rsid w:val="00F64ACC"/>
    <w:rsid w:val="00F704EA"/>
    <w:rsid w:val="00F7425F"/>
    <w:rsid w:val="00F75616"/>
    <w:rsid w:val="00F77E5F"/>
    <w:rsid w:val="00F848D4"/>
    <w:rsid w:val="00F84918"/>
    <w:rsid w:val="00F87E32"/>
    <w:rsid w:val="00F92ECC"/>
    <w:rsid w:val="00F93B4B"/>
    <w:rsid w:val="00F9454E"/>
    <w:rsid w:val="00F94A29"/>
    <w:rsid w:val="00FA2AF5"/>
    <w:rsid w:val="00FA32A2"/>
    <w:rsid w:val="00FA34E0"/>
    <w:rsid w:val="00FA6ABB"/>
    <w:rsid w:val="00FA7F5E"/>
    <w:rsid w:val="00FB1B20"/>
    <w:rsid w:val="00FB7AF5"/>
    <w:rsid w:val="00FC0E62"/>
    <w:rsid w:val="00FC34E6"/>
    <w:rsid w:val="00FC3780"/>
    <w:rsid w:val="00FC5F75"/>
    <w:rsid w:val="00FC6BEA"/>
    <w:rsid w:val="00FC7C81"/>
    <w:rsid w:val="00FD06AF"/>
    <w:rsid w:val="00FD166B"/>
    <w:rsid w:val="00FD3DD2"/>
    <w:rsid w:val="00FE0EB9"/>
    <w:rsid w:val="00FE2ADE"/>
    <w:rsid w:val="00FE30C1"/>
    <w:rsid w:val="00FE35E3"/>
    <w:rsid w:val="00FE410E"/>
    <w:rsid w:val="00FE4EC7"/>
    <w:rsid w:val="00FE7482"/>
    <w:rsid w:val="00FE7857"/>
    <w:rsid w:val="00FF14DA"/>
    <w:rsid w:val="00FF25D8"/>
    <w:rsid w:val="00FF2C0D"/>
    <w:rsid w:val="00FF657D"/>
    <w:rsid w:val="00FF72C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D00E3"/>
    <w:pPr>
      <w:bidi/>
    </w:pPr>
    <w:rPr>
      <w:rFonts w:cs="Miriam"/>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0D00E3"/>
    <w:pPr>
      <w:tabs>
        <w:tab w:val="center" w:pos="4153"/>
        <w:tab w:val="right" w:pos="8306"/>
      </w:tabs>
    </w:pPr>
  </w:style>
  <w:style w:type="paragraph" w:styleId="a4">
    <w:name w:val="footer"/>
    <w:basedOn w:val="a"/>
    <w:rsid w:val="000D00E3"/>
    <w:pPr>
      <w:tabs>
        <w:tab w:val="center" w:pos="4153"/>
        <w:tab w:val="right" w:pos="8306"/>
      </w:tabs>
    </w:pPr>
  </w:style>
  <w:style w:type="character" w:styleId="a5">
    <w:name w:val="page number"/>
    <w:basedOn w:val="a0"/>
    <w:rsid w:val="000D00E3"/>
  </w:style>
  <w:style w:type="paragraph" w:styleId="a6">
    <w:name w:val="footnote text"/>
    <w:basedOn w:val="a"/>
    <w:semiHidden/>
    <w:rsid w:val="00C13BC0"/>
  </w:style>
  <w:style w:type="character" w:styleId="a7">
    <w:name w:val="footnote reference"/>
    <w:semiHidden/>
    <w:rsid w:val="00C13BC0"/>
    <w:rPr>
      <w:vertAlign w:val="superscript"/>
    </w:rPr>
  </w:style>
  <w:style w:type="paragraph" w:customStyle="1" w:styleId="TableBlock">
    <w:name w:val="Table Block"/>
    <w:basedOn w:val="a"/>
    <w:rsid w:val="00BB51FB"/>
    <w:pPr>
      <w:keepLines/>
      <w:widowControl w:val="0"/>
      <w:tabs>
        <w:tab w:val="left" w:pos="624"/>
        <w:tab w:val="left" w:pos="1247"/>
      </w:tabs>
      <w:autoSpaceDE w:val="0"/>
      <w:autoSpaceDN w:val="0"/>
      <w:adjustRightInd w:val="0"/>
      <w:snapToGrid w:val="0"/>
      <w:spacing w:line="360" w:lineRule="auto"/>
      <w:jc w:val="both"/>
      <w:textAlignment w:val="center"/>
    </w:pPr>
    <w:rPr>
      <w:rFonts w:ascii="Arial" w:eastAsia="Arial Unicode MS" w:hAnsi="Arial" w:cs="David"/>
      <w:snapToGrid w:val="0"/>
      <w:color w:val="000000"/>
      <w:szCs w:val="26"/>
      <w:lang w:eastAsia="ja-JP"/>
    </w:rPr>
  </w:style>
  <w:style w:type="character" w:customStyle="1" w:styleId="default">
    <w:name w:val="default"/>
    <w:rsid w:val="00EB1401"/>
    <w:rPr>
      <w:rFonts w:ascii="Times New Roman" w:hAnsi="Times New Roman" w:cs="Times New Roman"/>
      <w:sz w:val="20"/>
      <w:szCs w:val="26"/>
    </w:rPr>
  </w:style>
  <w:style w:type="paragraph" w:customStyle="1" w:styleId="P00">
    <w:name w:val="P00"/>
    <w:rsid w:val="00EB1401"/>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cs="FrankRuehl"/>
      <w:noProof/>
      <w:szCs w:val="26"/>
      <w:lang w:eastAsia="he-IL"/>
    </w:rPr>
  </w:style>
  <w:style w:type="paragraph" w:styleId="a8">
    <w:name w:val="Balloon Text"/>
    <w:basedOn w:val="a"/>
    <w:semiHidden/>
    <w:rsid w:val="00705CA9"/>
    <w:rPr>
      <w:rFonts w:ascii="Tahoma" w:hAnsi="Tahoma" w:cs="Tahoma"/>
      <w:sz w:val="16"/>
      <w:szCs w:val="16"/>
    </w:rPr>
  </w:style>
  <w:style w:type="paragraph" w:styleId="a9">
    <w:name w:val="List Paragraph"/>
    <w:basedOn w:val="a"/>
    <w:uiPriority w:val="34"/>
    <w:qFormat/>
    <w:rsid w:val="001F0087"/>
    <w:pPr>
      <w:ind w:left="720"/>
    </w:pPr>
  </w:style>
  <w:style w:type="character" w:styleId="aa">
    <w:name w:val="annotation reference"/>
    <w:rsid w:val="00396CF8"/>
    <w:rPr>
      <w:sz w:val="16"/>
      <w:szCs w:val="16"/>
    </w:rPr>
  </w:style>
  <w:style w:type="paragraph" w:styleId="ab">
    <w:name w:val="annotation text"/>
    <w:basedOn w:val="a"/>
    <w:link w:val="ac"/>
    <w:rsid w:val="00396CF8"/>
    <w:rPr>
      <w:rFonts w:cs="Times New Roman"/>
    </w:rPr>
  </w:style>
  <w:style w:type="character" w:customStyle="1" w:styleId="ac">
    <w:name w:val="טקסט הערה תו"/>
    <w:link w:val="ab"/>
    <w:rsid w:val="00396CF8"/>
    <w:rPr>
      <w:rFonts w:cs="Miriam"/>
    </w:rPr>
  </w:style>
  <w:style w:type="paragraph" w:styleId="ad">
    <w:name w:val="annotation subject"/>
    <w:basedOn w:val="ab"/>
    <w:next w:val="ab"/>
    <w:link w:val="ae"/>
    <w:rsid w:val="00396CF8"/>
    <w:rPr>
      <w:b/>
      <w:bCs/>
    </w:rPr>
  </w:style>
  <w:style w:type="character" w:customStyle="1" w:styleId="ae">
    <w:name w:val="נושא הערה תו"/>
    <w:link w:val="ad"/>
    <w:rsid w:val="00396CF8"/>
    <w:rPr>
      <w:rFonts w:cs="Miriam"/>
      <w:b/>
      <w:bCs/>
    </w:rPr>
  </w:style>
  <w:style w:type="paragraph" w:customStyle="1" w:styleId="TableBlockOutdent">
    <w:name w:val="Table BlockOutdent"/>
    <w:basedOn w:val="TableBlock"/>
    <w:rsid w:val="00E16D7B"/>
    <w:pPr>
      <w:ind w:left="624" w:hanging="624"/>
    </w:pPr>
  </w:style>
  <w:style w:type="paragraph" w:styleId="af">
    <w:name w:val="Revision"/>
    <w:hidden/>
    <w:uiPriority w:val="99"/>
    <w:semiHidden/>
    <w:rsid w:val="00020CB8"/>
    <w:rPr>
      <w:rFonts w:cs="Miriam"/>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D00E3"/>
    <w:pPr>
      <w:bidi/>
    </w:pPr>
    <w:rPr>
      <w:rFonts w:cs="Miriam"/>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0D00E3"/>
    <w:pPr>
      <w:tabs>
        <w:tab w:val="center" w:pos="4153"/>
        <w:tab w:val="right" w:pos="8306"/>
      </w:tabs>
    </w:pPr>
  </w:style>
  <w:style w:type="paragraph" w:styleId="a4">
    <w:name w:val="footer"/>
    <w:basedOn w:val="a"/>
    <w:rsid w:val="000D00E3"/>
    <w:pPr>
      <w:tabs>
        <w:tab w:val="center" w:pos="4153"/>
        <w:tab w:val="right" w:pos="8306"/>
      </w:tabs>
    </w:pPr>
  </w:style>
  <w:style w:type="character" w:styleId="a5">
    <w:name w:val="page number"/>
    <w:basedOn w:val="a0"/>
    <w:rsid w:val="000D00E3"/>
  </w:style>
  <w:style w:type="paragraph" w:styleId="a6">
    <w:name w:val="footnote text"/>
    <w:basedOn w:val="a"/>
    <w:semiHidden/>
    <w:rsid w:val="00C13BC0"/>
  </w:style>
  <w:style w:type="character" w:styleId="a7">
    <w:name w:val="footnote reference"/>
    <w:semiHidden/>
    <w:rsid w:val="00C13BC0"/>
    <w:rPr>
      <w:vertAlign w:val="superscript"/>
    </w:rPr>
  </w:style>
  <w:style w:type="paragraph" w:customStyle="1" w:styleId="TableBlock">
    <w:name w:val="Table Block"/>
    <w:basedOn w:val="a"/>
    <w:rsid w:val="00BB51FB"/>
    <w:pPr>
      <w:keepLines/>
      <w:widowControl w:val="0"/>
      <w:tabs>
        <w:tab w:val="left" w:pos="624"/>
        <w:tab w:val="left" w:pos="1247"/>
      </w:tabs>
      <w:autoSpaceDE w:val="0"/>
      <w:autoSpaceDN w:val="0"/>
      <w:adjustRightInd w:val="0"/>
      <w:snapToGrid w:val="0"/>
      <w:spacing w:line="360" w:lineRule="auto"/>
      <w:jc w:val="both"/>
      <w:textAlignment w:val="center"/>
    </w:pPr>
    <w:rPr>
      <w:rFonts w:ascii="Arial" w:eastAsia="Arial Unicode MS" w:hAnsi="Arial" w:cs="David"/>
      <w:snapToGrid w:val="0"/>
      <w:color w:val="000000"/>
      <w:szCs w:val="26"/>
      <w:lang w:eastAsia="ja-JP"/>
    </w:rPr>
  </w:style>
  <w:style w:type="character" w:customStyle="1" w:styleId="default">
    <w:name w:val="default"/>
    <w:rsid w:val="00EB1401"/>
    <w:rPr>
      <w:rFonts w:ascii="Times New Roman" w:hAnsi="Times New Roman" w:cs="Times New Roman"/>
      <w:sz w:val="20"/>
      <w:szCs w:val="26"/>
    </w:rPr>
  </w:style>
  <w:style w:type="paragraph" w:customStyle="1" w:styleId="P00">
    <w:name w:val="P00"/>
    <w:rsid w:val="00EB1401"/>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cs="FrankRuehl"/>
      <w:noProof/>
      <w:szCs w:val="26"/>
      <w:lang w:eastAsia="he-IL"/>
    </w:rPr>
  </w:style>
  <w:style w:type="paragraph" w:styleId="a8">
    <w:name w:val="Balloon Text"/>
    <w:basedOn w:val="a"/>
    <w:semiHidden/>
    <w:rsid w:val="00705CA9"/>
    <w:rPr>
      <w:rFonts w:ascii="Tahoma" w:hAnsi="Tahoma" w:cs="Tahoma"/>
      <w:sz w:val="16"/>
      <w:szCs w:val="16"/>
    </w:rPr>
  </w:style>
  <w:style w:type="paragraph" w:styleId="a9">
    <w:name w:val="List Paragraph"/>
    <w:basedOn w:val="a"/>
    <w:uiPriority w:val="34"/>
    <w:qFormat/>
    <w:rsid w:val="001F0087"/>
    <w:pPr>
      <w:ind w:left="720"/>
    </w:pPr>
  </w:style>
  <w:style w:type="character" w:styleId="aa">
    <w:name w:val="annotation reference"/>
    <w:rsid w:val="00396CF8"/>
    <w:rPr>
      <w:sz w:val="16"/>
      <w:szCs w:val="16"/>
    </w:rPr>
  </w:style>
  <w:style w:type="paragraph" w:styleId="ab">
    <w:name w:val="annotation text"/>
    <w:basedOn w:val="a"/>
    <w:link w:val="ac"/>
    <w:rsid w:val="00396CF8"/>
    <w:rPr>
      <w:rFonts w:cs="Times New Roman"/>
    </w:rPr>
  </w:style>
  <w:style w:type="character" w:customStyle="1" w:styleId="ac">
    <w:name w:val="טקסט הערה תו"/>
    <w:link w:val="ab"/>
    <w:rsid w:val="00396CF8"/>
    <w:rPr>
      <w:rFonts w:cs="Miriam"/>
    </w:rPr>
  </w:style>
  <w:style w:type="paragraph" w:styleId="ad">
    <w:name w:val="annotation subject"/>
    <w:basedOn w:val="ab"/>
    <w:next w:val="ab"/>
    <w:link w:val="ae"/>
    <w:rsid w:val="00396CF8"/>
    <w:rPr>
      <w:b/>
      <w:bCs/>
    </w:rPr>
  </w:style>
  <w:style w:type="character" w:customStyle="1" w:styleId="ae">
    <w:name w:val="נושא הערה תו"/>
    <w:link w:val="ad"/>
    <w:rsid w:val="00396CF8"/>
    <w:rPr>
      <w:rFonts w:cs="Miriam"/>
      <w:b/>
      <w:bCs/>
    </w:rPr>
  </w:style>
  <w:style w:type="paragraph" w:customStyle="1" w:styleId="TableBlockOutdent">
    <w:name w:val="Table BlockOutdent"/>
    <w:basedOn w:val="TableBlock"/>
    <w:rsid w:val="00E16D7B"/>
    <w:pPr>
      <w:ind w:left="624" w:hanging="624"/>
    </w:pPr>
  </w:style>
  <w:style w:type="paragraph" w:styleId="af">
    <w:name w:val="Revision"/>
    <w:hidden/>
    <w:uiPriority w:val="99"/>
    <w:semiHidden/>
    <w:rsid w:val="00020CB8"/>
    <w:rPr>
      <w:rFonts w:cs="Miri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6553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5F1C71-CC5A-4399-8F9A-BD229A3D641D}"/>
</file>

<file path=customXml/itemProps2.xml><?xml version="1.0" encoding="utf-8"?>
<ds:datastoreItem xmlns:ds="http://schemas.openxmlformats.org/officeDocument/2006/customXml" ds:itemID="{9B1D0C7B-BD70-459E-A682-229482B69BC2}"/>
</file>

<file path=customXml/itemProps3.xml><?xml version="1.0" encoding="utf-8"?>
<ds:datastoreItem xmlns:ds="http://schemas.openxmlformats.org/officeDocument/2006/customXml" ds:itemID="{1A703E6F-72D0-49AD-A825-30676DFA3D9E}"/>
</file>

<file path=customXml/itemProps4.xml><?xml version="1.0" encoding="utf-8"?>
<ds:datastoreItem xmlns:ds="http://schemas.openxmlformats.org/officeDocument/2006/customXml" ds:itemID="{9ECF5A4D-0BCE-4C4D-BFCA-EAF538E89362}"/>
</file>

<file path=docProps/app.xml><?xml version="1.0" encoding="utf-8"?>
<Properties xmlns="http://schemas.openxmlformats.org/officeDocument/2006/extended-properties" xmlns:vt="http://schemas.openxmlformats.org/officeDocument/2006/docPropsVTypes">
  <Template>Normal</Template>
  <TotalTime>11</TotalTime>
  <Pages>6</Pages>
  <Words>1924</Words>
  <Characters>9236</Characters>
  <Application>Microsoft Office Word</Application>
  <DocSecurity>0</DocSecurity>
  <Lines>76</Lines>
  <Paragraphs>22</Paragraphs>
  <ScaleCrop>false</ScaleCrop>
  <HeadingPairs>
    <vt:vector size="2" baseType="variant">
      <vt:variant>
        <vt:lpstr>שם</vt:lpstr>
      </vt:variant>
      <vt:variant>
        <vt:i4>1</vt:i4>
      </vt:variant>
    </vt:vector>
  </HeadingPairs>
  <TitlesOfParts>
    <vt:vector size="1" baseType="lpstr">
      <vt:lpstr>‏‏ט' טבת תשע"ב</vt:lpstr>
    </vt:vector>
  </TitlesOfParts>
  <Company>MOJ</Company>
  <LinksUpToDate>false</LinksUpToDate>
  <CharactersWithSpaces>11138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‏‏ט' טבת תשע"ב</dc:title>
  <dc:creator>MOJ</dc:creator>
  <cp:lastModifiedBy>Ronnie Talmore</cp:lastModifiedBy>
  <cp:revision>8</cp:revision>
  <cp:lastPrinted>2014-03-16T11:31:00Z</cp:lastPrinted>
  <dcterms:created xsi:type="dcterms:W3CDTF">2014-05-21T06:51:00Z</dcterms:created>
  <dcterms:modified xsi:type="dcterms:W3CDTF">2014-05-21T07:08:00Z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