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A9B" w:rsidRPr="00257A9B" w:rsidRDefault="00257A9B" w:rsidP="00694EEF">
      <w:pPr>
        <w:spacing w:line="360" w:lineRule="auto"/>
        <w:jc w:val="both"/>
        <w:rPr>
          <w:rFonts w:cs="David"/>
          <w:b/>
          <w:bCs/>
          <w:sz w:val="24"/>
          <w:szCs w:val="24"/>
          <w:u w:val="single"/>
          <w:rtl/>
        </w:rPr>
      </w:pPr>
      <w:bookmarkStart w:id="0" w:name="_GoBack"/>
      <w:bookmarkEnd w:id="0"/>
      <w:r w:rsidRPr="00257A9B">
        <w:rPr>
          <w:rFonts w:cs="David" w:hint="cs"/>
          <w:b/>
          <w:bCs/>
          <w:sz w:val="24"/>
          <w:szCs w:val="24"/>
          <w:u w:val="single"/>
          <w:rtl/>
        </w:rPr>
        <w:t>נייר עמדה לקראת הדיון בכנסת</w:t>
      </w:r>
      <w:r w:rsidR="00694EEF">
        <w:rPr>
          <w:rFonts w:cs="David" w:hint="cs"/>
          <w:b/>
          <w:bCs/>
          <w:sz w:val="24"/>
          <w:szCs w:val="24"/>
          <w:u w:val="single"/>
          <w:rtl/>
        </w:rPr>
        <w:t xml:space="preserve"> ועדה למעמד האישה 8.7.14</w:t>
      </w:r>
      <w:r w:rsidRPr="00257A9B">
        <w:rPr>
          <w:rFonts w:cs="David" w:hint="cs"/>
          <w:b/>
          <w:bCs/>
          <w:sz w:val="24"/>
          <w:szCs w:val="24"/>
          <w:u w:val="single"/>
          <w:rtl/>
        </w:rPr>
        <w:t xml:space="preserve"> </w:t>
      </w:r>
      <w:r w:rsidRPr="00257A9B">
        <w:rPr>
          <w:rFonts w:cs="David"/>
          <w:b/>
          <w:bCs/>
          <w:sz w:val="24"/>
          <w:szCs w:val="24"/>
          <w:u w:val="single"/>
          <w:rtl/>
        </w:rPr>
        <w:t>–</w:t>
      </w:r>
      <w:r w:rsidRPr="00257A9B">
        <w:rPr>
          <w:rFonts w:cs="David" w:hint="cs"/>
          <w:b/>
          <w:bCs/>
          <w:sz w:val="24"/>
          <w:szCs w:val="24"/>
          <w:u w:val="single"/>
          <w:rtl/>
        </w:rPr>
        <w:t xml:space="preserve"> נשים ומוגבלות </w:t>
      </w:r>
      <w:r w:rsidRPr="00257A9B">
        <w:rPr>
          <w:rFonts w:cs="David"/>
          <w:b/>
          <w:bCs/>
          <w:sz w:val="24"/>
          <w:szCs w:val="24"/>
          <w:u w:val="single"/>
          <w:rtl/>
        </w:rPr>
        <w:t>–</w:t>
      </w:r>
      <w:r w:rsidR="00694EEF">
        <w:rPr>
          <w:rFonts w:cs="David" w:hint="cs"/>
          <w:b/>
          <w:bCs/>
          <w:sz w:val="24"/>
          <w:szCs w:val="24"/>
          <w:u w:val="single"/>
          <w:rtl/>
        </w:rPr>
        <w:t xml:space="preserve"> בין הדרה כפולה לשילוב והעצמה/ </w:t>
      </w:r>
      <w:r w:rsidR="007E3452">
        <w:rPr>
          <w:rFonts w:cs="David" w:hint="cs"/>
          <w:b/>
          <w:bCs/>
          <w:sz w:val="24"/>
          <w:szCs w:val="24"/>
          <w:u w:val="single"/>
          <w:rtl/>
        </w:rPr>
        <w:t xml:space="preserve">המרכז לעיוור בישראל - </w:t>
      </w:r>
      <w:proofErr w:type="spellStart"/>
      <w:r w:rsidR="007E3452">
        <w:rPr>
          <w:rFonts w:cs="David" w:hint="cs"/>
          <w:b/>
          <w:bCs/>
          <w:sz w:val="24"/>
          <w:szCs w:val="24"/>
          <w:u w:val="single"/>
          <w:rtl/>
        </w:rPr>
        <w:t>דו</w:t>
      </w:r>
      <w:r w:rsidRPr="00257A9B">
        <w:rPr>
          <w:rFonts w:cs="David" w:hint="cs"/>
          <w:b/>
          <w:bCs/>
          <w:sz w:val="24"/>
          <w:szCs w:val="24"/>
          <w:u w:val="single"/>
          <w:rtl/>
        </w:rPr>
        <w:t>ע</w:t>
      </w:r>
      <w:r w:rsidR="007E3452">
        <w:rPr>
          <w:rFonts w:cs="David" w:hint="cs"/>
          <w:b/>
          <w:bCs/>
          <w:sz w:val="24"/>
          <w:szCs w:val="24"/>
          <w:u w:val="single"/>
          <w:rtl/>
        </w:rPr>
        <w:t>א</w:t>
      </w:r>
      <w:proofErr w:type="spellEnd"/>
      <w:r w:rsidRPr="00257A9B">
        <w:rPr>
          <w:rFonts w:cs="David" w:hint="cs"/>
          <w:b/>
          <w:bCs/>
          <w:sz w:val="24"/>
          <w:szCs w:val="24"/>
          <w:u w:val="single"/>
          <w:rtl/>
        </w:rPr>
        <w:t xml:space="preserve"> אבו </w:t>
      </w:r>
      <w:proofErr w:type="spellStart"/>
      <w:r w:rsidRPr="00257A9B">
        <w:rPr>
          <w:rFonts w:cs="David" w:hint="cs"/>
          <w:b/>
          <w:bCs/>
          <w:sz w:val="24"/>
          <w:szCs w:val="24"/>
          <w:u w:val="single"/>
          <w:rtl/>
        </w:rPr>
        <w:t>אליונס</w:t>
      </w:r>
      <w:proofErr w:type="spellEnd"/>
    </w:p>
    <w:p w:rsidR="00257A9B" w:rsidRPr="00624453" w:rsidRDefault="00257A9B" w:rsidP="00257A9B">
      <w:pPr>
        <w:spacing w:line="360" w:lineRule="auto"/>
        <w:jc w:val="both"/>
        <w:rPr>
          <w:rFonts w:cs="David"/>
          <w:sz w:val="24"/>
          <w:szCs w:val="24"/>
          <w:rtl/>
        </w:rPr>
      </w:pPr>
      <w:r w:rsidRPr="00624453">
        <w:rPr>
          <w:rFonts w:cs="David" w:hint="cs"/>
          <w:sz w:val="24"/>
          <w:szCs w:val="24"/>
          <w:rtl/>
        </w:rPr>
        <w:t>אין מחלוקת, כי נשים נ</w:t>
      </w:r>
      <w:r>
        <w:rPr>
          <w:rFonts w:cs="David" w:hint="cs"/>
          <w:sz w:val="24"/>
          <w:szCs w:val="24"/>
          <w:rtl/>
        </w:rPr>
        <w:t>י</w:t>
      </w:r>
      <w:r w:rsidRPr="00624453">
        <w:rPr>
          <w:rFonts w:cs="David" w:hint="cs"/>
          <w:sz w:val="24"/>
          <w:szCs w:val="24"/>
          <w:rtl/>
        </w:rPr>
        <w:t>צ</w:t>
      </w:r>
      <w:r>
        <w:rPr>
          <w:rFonts w:cs="David" w:hint="cs"/>
          <w:sz w:val="24"/>
          <w:szCs w:val="24"/>
          <w:rtl/>
        </w:rPr>
        <w:t>בו</w:t>
      </w:r>
      <w:r w:rsidRPr="00624453">
        <w:rPr>
          <w:rFonts w:cs="David" w:hint="cs"/>
          <w:sz w:val="24"/>
          <w:szCs w:val="24"/>
          <w:rtl/>
        </w:rPr>
        <w:t>ת בחיי היום יום מול חסמים רבים המערימים קשיים על שילובן בחיי הקהילה, בתעסוקה, בתפקודן כא</w:t>
      </w:r>
      <w:r>
        <w:rPr>
          <w:rFonts w:cs="David" w:hint="cs"/>
          <w:sz w:val="24"/>
          <w:szCs w:val="24"/>
          <w:rtl/>
        </w:rPr>
        <w:t>י</w:t>
      </w:r>
      <w:r w:rsidRPr="00624453">
        <w:rPr>
          <w:rFonts w:cs="David" w:hint="cs"/>
          <w:sz w:val="24"/>
          <w:szCs w:val="24"/>
          <w:rtl/>
        </w:rPr>
        <w:t>מהות ונשות משפחה ועוד. נקודת הפתיחה של נשים וגברים איננה שוויונית ובכל תחומי החיים נשים מופלות על רקע השתייכותם המגדרית. אלו הן עובדות ידועות ועל כן אין צורך להכביר במילים אודות</w:t>
      </w:r>
      <w:r>
        <w:rPr>
          <w:rFonts w:cs="David" w:hint="cs"/>
          <w:sz w:val="24"/>
          <w:szCs w:val="24"/>
          <w:rtl/>
        </w:rPr>
        <w:t>יה</w:t>
      </w:r>
      <w:r w:rsidRPr="00624453">
        <w:rPr>
          <w:rFonts w:cs="David" w:hint="cs"/>
          <w:sz w:val="24"/>
          <w:szCs w:val="24"/>
          <w:rtl/>
        </w:rPr>
        <w:t xml:space="preserve">ן. אולם, לדאבון הלב, נשים המשתייכות לקבוצה מוחלשת נוספת בחברה </w:t>
      </w:r>
      <w:r w:rsidRPr="00624453">
        <w:rPr>
          <w:rFonts w:cs="David"/>
          <w:sz w:val="24"/>
          <w:szCs w:val="24"/>
          <w:rtl/>
        </w:rPr>
        <w:t>–</w:t>
      </w:r>
      <w:r>
        <w:rPr>
          <w:rFonts w:cs="David" w:hint="cs"/>
          <w:sz w:val="24"/>
          <w:szCs w:val="24"/>
          <w:rtl/>
        </w:rPr>
        <w:t xml:space="preserve"> הלוא</w:t>
      </w:r>
      <w:r w:rsidRPr="00624453">
        <w:rPr>
          <w:rFonts w:cs="David" w:hint="cs"/>
          <w:sz w:val="24"/>
          <w:szCs w:val="24"/>
          <w:rtl/>
        </w:rPr>
        <w:t xml:space="preserve"> אלה נשים עם מוגבלות</w:t>
      </w:r>
      <w:r>
        <w:rPr>
          <w:rFonts w:cs="David" w:hint="cs"/>
          <w:sz w:val="24"/>
          <w:szCs w:val="24"/>
          <w:rtl/>
        </w:rPr>
        <w:t xml:space="preserve"> בכלל ונשים עם עיוורון ולקויות ראייה בפרט</w:t>
      </w:r>
      <w:r w:rsidRPr="00624453">
        <w:rPr>
          <w:rFonts w:cs="David" w:hint="cs"/>
          <w:sz w:val="24"/>
          <w:szCs w:val="24"/>
          <w:rtl/>
        </w:rPr>
        <w:t xml:space="preserve"> </w:t>
      </w:r>
      <w:r w:rsidRPr="00624453">
        <w:rPr>
          <w:rFonts w:cs="David"/>
          <w:sz w:val="24"/>
          <w:szCs w:val="24"/>
          <w:rtl/>
        </w:rPr>
        <w:t>–</w:t>
      </w:r>
      <w:r w:rsidRPr="00624453">
        <w:rPr>
          <w:rFonts w:cs="David" w:hint="cs"/>
          <w:sz w:val="24"/>
          <w:szCs w:val="24"/>
          <w:rtl/>
        </w:rPr>
        <w:t xml:space="preserve"> נתקלות בחסמים רבים ונוספים על אלה שמתמודדות עמן נשים ללא מוגבלות. מעמדן של נשים עם מוגבלויות מקובע כנכות, אם בניהול חיי עבודה פרודוקטיבי</w:t>
      </w:r>
      <w:r>
        <w:rPr>
          <w:rFonts w:cs="David" w:hint="cs"/>
          <w:sz w:val="24"/>
          <w:szCs w:val="24"/>
          <w:rtl/>
        </w:rPr>
        <w:t>י</w:t>
      </w:r>
      <w:r w:rsidRPr="00624453">
        <w:rPr>
          <w:rFonts w:cs="David" w:hint="cs"/>
          <w:sz w:val="24"/>
          <w:szCs w:val="24"/>
          <w:rtl/>
        </w:rPr>
        <w:t>ם או חיי משפחה, אם כבני זוג אוהבים ומיניים ואם כהורים. התפיסה היא שאותן נשים נחשבות כ</w:t>
      </w:r>
      <w:r>
        <w:rPr>
          <w:rFonts w:cs="David" w:hint="cs"/>
          <w:sz w:val="24"/>
          <w:szCs w:val="24"/>
          <w:rtl/>
        </w:rPr>
        <w:t xml:space="preserve">פגומות </w:t>
      </w:r>
      <w:r w:rsidRPr="00624453">
        <w:rPr>
          <w:rFonts w:cs="David" w:hint="cs"/>
          <w:sz w:val="24"/>
          <w:szCs w:val="24"/>
          <w:rtl/>
        </w:rPr>
        <w:t xml:space="preserve">בתדמיות המקובלות והמוגדרות כנורמות ועל כן הן סובלות מעמדות של קיפוח בעולם המציב מחסומים בתחומים שונים וחוות אפליה כפולה על רקע נשיותן ומוגבלותן. </w:t>
      </w:r>
    </w:p>
    <w:p w:rsidR="00257A9B" w:rsidRPr="00624453" w:rsidRDefault="00257A9B" w:rsidP="00257A9B">
      <w:pPr>
        <w:spacing w:line="360" w:lineRule="auto"/>
        <w:jc w:val="both"/>
        <w:rPr>
          <w:rFonts w:cs="David"/>
          <w:sz w:val="24"/>
          <w:szCs w:val="24"/>
          <w:rtl/>
        </w:rPr>
      </w:pPr>
      <w:r w:rsidRPr="00624453">
        <w:rPr>
          <w:rFonts w:cs="David" w:hint="cs"/>
          <w:sz w:val="24"/>
          <w:szCs w:val="24"/>
          <w:rtl/>
        </w:rPr>
        <w:t xml:space="preserve">בשנים האחרונות ניכר תחילתו של שינוי ביחס לאנשים עם מוגבלויות, שינוי אשר </w:t>
      </w:r>
      <w:proofErr w:type="spellStart"/>
      <w:r w:rsidRPr="00624453">
        <w:rPr>
          <w:rFonts w:cs="David" w:hint="cs"/>
          <w:sz w:val="24"/>
          <w:szCs w:val="24"/>
          <w:rtl/>
        </w:rPr>
        <w:t>מגושש</w:t>
      </w:r>
      <w:proofErr w:type="spellEnd"/>
      <w:r w:rsidRPr="00624453">
        <w:rPr>
          <w:rFonts w:cs="David" w:hint="cs"/>
          <w:sz w:val="24"/>
          <w:szCs w:val="24"/>
          <w:rtl/>
        </w:rPr>
        <w:t xml:space="preserve"> דרכו אל עבר ספרי החוק, בתי המשפט ותוכניות פעולה לקידום זכויותיהם של אנשים עם מו</w:t>
      </w:r>
      <w:r>
        <w:rPr>
          <w:rFonts w:cs="David" w:hint="cs"/>
          <w:sz w:val="24"/>
          <w:szCs w:val="24"/>
          <w:rtl/>
        </w:rPr>
        <w:t xml:space="preserve">גבלויות. ברם, בפועל היישום הוא </w:t>
      </w:r>
      <w:r w:rsidRPr="00624453">
        <w:rPr>
          <w:rFonts w:cs="David" w:hint="cs"/>
          <w:sz w:val="24"/>
          <w:szCs w:val="24"/>
          <w:rtl/>
        </w:rPr>
        <w:t xml:space="preserve">חלקי, והחברה עודנה מפלה אנשים עם מוגבלויות בכלל ונשים </w:t>
      </w:r>
      <w:r>
        <w:rPr>
          <w:rFonts w:cs="David" w:hint="cs"/>
          <w:sz w:val="24"/>
          <w:szCs w:val="24"/>
          <w:rtl/>
        </w:rPr>
        <w:t xml:space="preserve">עם עיוורון ולקויות ראייה </w:t>
      </w:r>
      <w:r w:rsidRPr="00624453">
        <w:rPr>
          <w:rFonts w:cs="David" w:hint="cs"/>
          <w:sz w:val="24"/>
          <w:szCs w:val="24"/>
          <w:rtl/>
        </w:rPr>
        <w:t>בפרט, ומרחיקה אות</w:t>
      </w:r>
      <w:r>
        <w:rPr>
          <w:rFonts w:cs="David" w:hint="cs"/>
          <w:sz w:val="24"/>
          <w:szCs w:val="24"/>
          <w:rtl/>
        </w:rPr>
        <w:t>ן</w:t>
      </w:r>
      <w:r w:rsidRPr="00624453">
        <w:rPr>
          <w:rFonts w:cs="David" w:hint="cs"/>
          <w:sz w:val="24"/>
          <w:szCs w:val="24"/>
          <w:rtl/>
        </w:rPr>
        <w:t xml:space="preserve"> מתוכה. למעשה, קבוצה זו עדיין נושאת על גבה סטיגמות וסטריאוטיפים היוצרים חייץ בין האדם עם המגבלה לסביבה הבנויה והמוסדרת. </w:t>
      </w:r>
    </w:p>
    <w:p w:rsidR="00257A9B" w:rsidRPr="00624453" w:rsidRDefault="00257A9B" w:rsidP="00257A9B">
      <w:pPr>
        <w:spacing w:line="360" w:lineRule="auto"/>
        <w:jc w:val="both"/>
        <w:rPr>
          <w:rFonts w:cs="David"/>
          <w:sz w:val="24"/>
          <w:szCs w:val="24"/>
          <w:rtl/>
        </w:rPr>
      </w:pPr>
      <w:r w:rsidRPr="00624453">
        <w:rPr>
          <w:rFonts w:cs="David" w:hint="cs"/>
          <w:sz w:val="24"/>
          <w:szCs w:val="24"/>
          <w:rtl/>
        </w:rPr>
        <w:t xml:space="preserve">אם בעבור כל אדם הדרך אל הפסגה רצופה מהמורות וקשיים הרי שבעבור נשים עם מוגבלות הדרך אף תלולה ומפותלת יותר, אולם צליחת האתגר היא אפשרית. המפתח לשיטתנו </w:t>
      </w:r>
      <w:r>
        <w:rPr>
          <w:rFonts w:cs="David" w:hint="cs"/>
          <w:sz w:val="24"/>
          <w:szCs w:val="24"/>
          <w:rtl/>
        </w:rPr>
        <w:t>ט</w:t>
      </w:r>
      <w:r w:rsidRPr="00624453">
        <w:rPr>
          <w:rFonts w:cs="David" w:hint="cs"/>
          <w:sz w:val="24"/>
          <w:szCs w:val="24"/>
          <w:rtl/>
        </w:rPr>
        <w:t xml:space="preserve">מון </w:t>
      </w:r>
      <w:r>
        <w:rPr>
          <w:rFonts w:cs="David" w:hint="cs"/>
          <w:sz w:val="24"/>
          <w:szCs w:val="24"/>
          <w:rtl/>
        </w:rPr>
        <w:t xml:space="preserve">לדעתנו </w:t>
      </w:r>
      <w:r w:rsidRPr="00624453">
        <w:rPr>
          <w:rFonts w:cs="David" w:hint="cs"/>
          <w:sz w:val="24"/>
          <w:szCs w:val="24"/>
          <w:rtl/>
        </w:rPr>
        <w:t xml:space="preserve">בהשקעת המשאבים במקומות הנכונים והתייחסות לצורכיהן הייחודיים של נשים עם מוגבלות. כך, ניתן להבחין כי נרטיב קבלת ההחלטות ועיצוב תכניות הפעולה לקידום נשים או בעלי מוגבלויות מוכתב כולו על ידי אנשים ללא מוגבלויות אשר להם הכוח הכמעט מוחלט בהתוויית הדרך. בשיח זה, קולן של נשים עם מוגבלויות לא נשמע, אם כי לגישתנו, החברה השואפת להביא לשילוב מלא ומוצלח של א/נשים עם מוגבלויות בתוכה עליה להתחשב גם בקולן, שאיפותיהן ורצונותיהן. </w:t>
      </w:r>
    </w:p>
    <w:p w:rsidR="00257A9B" w:rsidRPr="00624453" w:rsidRDefault="004A5BB7" w:rsidP="00257A9B">
      <w:pPr>
        <w:spacing w:line="360" w:lineRule="auto"/>
        <w:jc w:val="both"/>
        <w:rPr>
          <w:rFonts w:cs="David"/>
          <w:sz w:val="24"/>
          <w:szCs w:val="24"/>
          <w:rtl/>
        </w:rPr>
      </w:pPr>
      <w:r>
        <w:rPr>
          <w:rFonts w:cs="David" w:hint="cs"/>
          <w:sz w:val="24"/>
          <w:szCs w:val="24"/>
          <w:rtl/>
        </w:rPr>
        <w:t>אנו סבורים כי נדרש</w:t>
      </w:r>
      <w:r w:rsidR="00257A9B">
        <w:rPr>
          <w:rFonts w:cs="David" w:hint="cs"/>
          <w:sz w:val="24"/>
          <w:szCs w:val="24"/>
          <w:rtl/>
        </w:rPr>
        <w:t xml:space="preserve"> שילוב נשים עם מוגבלויות בכלל ונשים עם עיוורון ולקויות ראייה</w:t>
      </w:r>
      <w:r>
        <w:rPr>
          <w:rFonts w:cs="David" w:hint="cs"/>
          <w:sz w:val="24"/>
          <w:szCs w:val="24"/>
          <w:rtl/>
        </w:rPr>
        <w:t xml:space="preserve"> בפרט בעמדות קבלת ההחלטות,</w:t>
      </w:r>
      <w:r w:rsidR="00257A9B">
        <w:rPr>
          <w:rFonts w:cs="David" w:hint="cs"/>
          <w:sz w:val="24"/>
          <w:szCs w:val="24"/>
          <w:rtl/>
        </w:rPr>
        <w:t xml:space="preserve"> וכן הט</w:t>
      </w:r>
      <w:r w:rsidR="00257A9B" w:rsidRPr="00624453">
        <w:rPr>
          <w:rFonts w:cs="David" w:hint="cs"/>
          <w:sz w:val="24"/>
          <w:szCs w:val="24"/>
          <w:rtl/>
        </w:rPr>
        <w:t>מעת חשיבה בנושא נשים עם מוגב</w:t>
      </w:r>
      <w:r>
        <w:rPr>
          <w:rFonts w:cs="David" w:hint="cs"/>
          <w:sz w:val="24"/>
          <w:szCs w:val="24"/>
          <w:rtl/>
        </w:rPr>
        <w:t>לויות במשרדי הממשלה השונים, ו</w:t>
      </w:r>
      <w:r w:rsidR="00257A9B" w:rsidRPr="00624453">
        <w:rPr>
          <w:rFonts w:cs="David" w:hint="cs"/>
          <w:sz w:val="24"/>
          <w:szCs w:val="24"/>
          <w:rtl/>
        </w:rPr>
        <w:t>בנציבות שוויון זכויות לאנשים עם מוגבלות, זאת משום שב</w:t>
      </w:r>
      <w:r w:rsidR="00257A9B">
        <w:rPr>
          <w:rFonts w:cs="David" w:hint="cs"/>
          <w:sz w:val="24"/>
          <w:szCs w:val="24"/>
          <w:rtl/>
        </w:rPr>
        <w:t>פועל אין ת</w:t>
      </w:r>
      <w:r w:rsidR="00257A9B" w:rsidRPr="00624453">
        <w:rPr>
          <w:rFonts w:cs="David" w:hint="cs"/>
          <w:sz w:val="24"/>
          <w:szCs w:val="24"/>
          <w:rtl/>
        </w:rPr>
        <w:t>כניות ייעודיות השמות את הדגש על נשים עם מוג</w:t>
      </w:r>
      <w:r w:rsidR="00257A9B">
        <w:rPr>
          <w:rFonts w:cs="David" w:hint="cs"/>
          <w:sz w:val="24"/>
          <w:szCs w:val="24"/>
          <w:rtl/>
        </w:rPr>
        <w:t>בלות. יצוי</w:t>
      </w:r>
      <w:r w:rsidR="00257A9B" w:rsidRPr="00624453">
        <w:rPr>
          <w:rFonts w:cs="David" w:hint="cs"/>
          <w:sz w:val="24"/>
          <w:szCs w:val="24"/>
          <w:rtl/>
        </w:rPr>
        <w:t xml:space="preserve">ן כי בצד הדגש על הנשיות והמוגבלות, אנו רואים חשיבות בהתייחסות גם למגוון נשים, השונות במצבן הכלכלי, בלאום, בעדה, בוותק בארץ, אזור מגורים וכדומה. השתייכותן של נשים </w:t>
      </w:r>
      <w:r w:rsidR="00257A9B">
        <w:rPr>
          <w:rFonts w:cs="David" w:hint="cs"/>
          <w:sz w:val="24"/>
          <w:szCs w:val="24"/>
          <w:rtl/>
        </w:rPr>
        <w:t xml:space="preserve">עם </w:t>
      </w:r>
      <w:r w:rsidR="00257A9B" w:rsidRPr="00624453">
        <w:rPr>
          <w:rFonts w:cs="David" w:hint="cs"/>
          <w:sz w:val="24"/>
          <w:szCs w:val="24"/>
          <w:rtl/>
        </w:rPr>
        <w:t xml:space="preserve">מוגבלות לקבוצות מיעוט נוספות יוצרת אפליה משולשת שגם אליה יש לתת את הדעת. </w:t>
      </w:r>
    </w:p>
    <w:p w:rsidR="00257A9B" w:rsidRPr="00624453" w:rsidRDefault="00257A9B" w:rsidP="00257A9B">
      <w:pPr>
        <w:spacing w:line="360" w:lineRule="auto"/>
        <w:jc w:val="both"/>
        <w:rPr>
          <w:rFonts w:cs="David"/>
          <w:sz w:val="24"/>
          <w:szCs w:val="24"/>
        </w:rPr>
      </w:pPr>
    </w:p>
    <w:p w:rsidR="00566E4B" w:rsidRPr="00257A9B" w:rsidRDefault="00566E4B" w:rsidP="00257A9B">
      <w:pPr>
        <w:rPr>
          <w:rtl/>
        </w:rPr>
      </w:pPr>
    </w:p>
    <w:sectPr w:rsidR="00566E4B" w:rsidRPr="00257A9B" w:rsidSect="006C29CB">
      <w:headerReference w:type="default" r:id="rId9"/>
      <w:footerReference w:type="default" r:id="rId10"/>
      <w:pgSz w:w="11906" w:h="16838"/>
      <w:pgMar w:top="1134"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341" w:rsidRDefault="001B3341">
      <w:r>
        <w:separator/>
      </w:r>
    </w:p>
  </w:endnote>
  <w:endnote w:type="continuationSeparator" w:id="0">
    <w:p w:rsidR="001B3341" w:rsidRDefault="001B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D5D" w:rsidRDefault="00F06D5D" w:rsidP="000F5A97">
    <w:pPr>
      <w:pStyle w:val="a4"/>
      <w:jc w:val="center"/>
      <w:rPr>
        <w:rtl/>
      </w:rPr>
    </w:pPr>
    <w:r w:rsidRPr="000F5A97">
      <w:rPr>
        <w:rFonts w:hint="cs"/>
        <w:b/>
        <w:bCs/>
        <w:sz w:val="32"/>
        <w:szCs w:val="32"/>
        <w:rtl/>
      </w:rPr>
      <w:t>המרכז לעיוור בישראל</w:t>
    </w:r>
    <w:r>
      <w:rPr>
        <w:rFonts w:hint="cs"/>
        <w:b/>
        <w:bCs/>
        <w:sz w:val="32"/>
        <w:szCs w:val="32"/>
        <w:rtl/>
      </w:rPr>
      <w:t xml:space="preserve"> </w:t>
    </w:r>
    <w:r w:rsidRPr="000F5A97">
      <w:rPr>
        <w:rFonts w:hint="cs"/>
        <w:rtl/>
      </w:rPr>
      <w:t xml:space="preserve"> רח' דוד חכמי 10, ת.ד. 16643 תל אביב 61166. </w:t>
    </w:r>
  </w:p>
  <w:p w:rsidR="00F06D5D" w:rsidRPr="000F5A97" w:rsidRDefault="00F06D5D" w:rsidP="009323E0">
    <w:pPr>
      <w:pStyle w:val="a4"/>
      <w:jc w:val="center"/>
    </w:pPr>
    <w:r w:rsidRPr="000F5A97">
      <w:rPr>
        <w:rFonts w:hint="cs"/>
        <w:rtl/>
      </w:rPr>
      <w:t>טל' 03-7915555</w:t>
    </w:r>
    <w:r>
      <w:rPr>
        <w:rFonts w:hint="cs"/>
        <w:rtl/>
      </w:rPr>
      <w:t xml:space="preserve">, פקס- 5423711- 03. אתר המרכז- </w:t>
    </w:r>
    <w:r>
      <w:t>www.</w:t>
    </w:r>
    <w:r w:rsidR="009323E0">
      <w:t>ibcu</w:t>
    </w:r>
    <w:r>
      <w:t>.org.il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341" w:rsidRDefault="001B3341">
      <w:r>
        <w:separator/>
      </w:r>
    </w:p>
  </w:footnote>
  <w:footnote w:type="continuationSeparator" w:id="0">
    <w:p w:rsidR="001B3341" w:rsidRDefault="001B33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C62" w:rsidRDefault="00257A9B">
    <w:pPr>
      <w:pStyle w:val="a3"/>
    </w:pPr>
    <w:r>
      <w:rPr>
        <w:rFonts w:cs="David" w:hint="cs"/>
        <w:noProof/>
        <w:lang w:eastAsia="en-US"/>
      </w:rPr>
      <w:drawing>
        <wp:inline distT="0" distB="0" distL="0" distR="0">
          <wp:extent cx="5514975" cy="1466850"/>
          <wp:effectExtent l="0" t="0" r="9525" b="0"/>
          <wp:docPr id="1" name="תמונה 1" descr="לוגו חד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חדש"/>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4975" cy="1466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949A8"/>
    <w:multiLevelType w:val="hybridMultilevel"/>
    <w:tmpl w:val="7F4A9B28"/>
    <w:lvl w:ilvl="0" w:tplc="74821F70">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8E330B"/>
    <w:multiLevelType w:val="hybridMultilevel"/>
    <w:tmpl w:val="962EF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8173A8"/>
    <w:multiLevelType w:val="hybridMultilevel"/>
    <w:tmpl w:val="9244A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51205D"/>
    <w:multiLevelType w:val="hybridMultilevel"/>
    <w:tmpl w:val="79D44DDA"/>
    <w:lvl w:ilvl="0" w:tplc="850480E2">
      <w:start w:val="1"/>
      <w:numFmt w:val="decimal"/>
      <w:lvlText w:val="%1."/>
      <w:lvlJc w:val="left"/>
      <w:pPr>
        <w:tabs>
          <w:tab w:val="num" w:pos="1148"/>
        </w:tabs>
        <w:ind w:left="114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6640DE"/>
    <w:multiLevelType w:val="hybridMultilevel"/>
    <w:tmpl w:val="D674BF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A9831F6"/>
    <w:multiLevelType w:val="hybridMultilevel"/>
    <w:tmpl w:val="4F805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CB6199"/>
    <w:multiLevelType w:val="hybridMultilevel"/>
    <w:tmpl w:val="3F82C59C"/>
    <w:lvl w:ilvl="0" w:tplc="620CC4D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A16B39"/>
    <w:multiLevelType w:val="hybridMultilevel"/>
    <w:tmpl w:val="CBCE3872"/>
    <w:lvl w:ilvl="0" w:tplc="A00EB80A">
      <w:numFmt w:val="bullet"/>
      <w:lvlText w:val=""/>
      <w:lvlJc w:val="left"/>
      <w:pPr>
        <w:ind w:left="1080" w:hanging="360"/>
      </w:pPr>
      <w:rPr>
        <w:rFonts w:ascii="Symbol" w:eastAsia="Calibr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E4B4104"/>
    <w:multiLevelType w:val="hybridMultilevel"/>
    <w:tmpl w:val="2EB65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8E2874"/>
    <w:multiLevelType w:val="multilevel"/>
    <w:tmpl w:val="79D44DDA"/>
    <w:lvl w:ilvl="0">
      <w:start w:val="1"/>
      <w:numFmt w:val="decimal"/>
      <w:lvlText w:val="%1."/>
      <w:lvlJc w:val="left"/>
      <w:pPr>
        <w:tabs>
          <w:tab w:val="num" w:pos="1148"/>
        </w:tabs>
        <w:ind w:left="114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00736F2"/>
    <w:multiLevelType w:val="hybridMultilevel"/>
    <w:tmpl w:val="1A0E011E"/>
    <w:lvl w:ilvl="0" w:tplc="0409000F">
      <w:start w:val="1"/>
      <w:numFmt w:val="decimal"/>
      <w:lvlText w:val="%1."/>
      <w:lvlJc w:val="left"/>
      <w:pPr>
        <w:ind w:left="720" w:hanging="36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74B7BE6"/>
    <w:multiLevelType w:val="hybridMultilevel"/>
    <w:tmpl w:val="F4BC74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3A3A7297"/>
    <w:multiLevelType w:val="hybridMultilevel"/>
    <w:tmpl w:val="C6B81CC8"/>
    <w:lvl w:ilvl="0" w:tplc="D76A858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C584A65"/>
    <w:multiLevelType w:val="hybridMultilevel"/>
    <w:tmpl w:val="7182F556"/>
    <w:lvl w:ilvl="0" w:tplc="0409000F">
      <w:start w:val="1"/>
      <w:numFmt w:val="decimal"/>
      <w:lvlText w:val="%1."/>
      <w:lvlJc w:val="left"/>
      <w:pPr>
        <w:tabs>
          <w:tab w:val="num" w:pos="720"/>
        </w:tabs>
        <w:ind w:left="720" w:hanging="360"/>
      </w:pPr>
      <w:rPr>
        <w:rFonts w:hint="default"/>
      </w:rPr>
    </w:lvl>
    <w:lvl w:ilvl="1" w:tplc="690A2642">
      <w:start w:val="1"/>
      <w:numFmt w:val="hebrew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F3953CA"/>
    <w:multiLevelType w:val="hybridMultilevel"/>
    <w:tmpl w:val="C0B45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083A77"/>
    <w:multiLevelType w:val="hybridMultilevel"/>
    <w:tmpl w:val="6DA85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5F3F13"/>
    <w:multiLevelType w:val="hybridMultilevel"/>
    <w:tmpl w:val="2D046B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A866C38"/>
    <w:multiLevelType w:val="hybridMultilevel"/>
    <w:tmpl w:val="AF04A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ADD7317"/>
    <w:multiLevelType w:val="hybridMultilevel"/>
    <w:tmpl w:val="C0B45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FBE1763"/>
    <w:multiLevelType w:val="hybridMultilevel"/>
    <w:tmpl w:val="ED78A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5B576DC"/>
    <w:multiLevelType w:val="hybridMultilevel"/>
    <w:tmpl w:val="051C4F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8617709"/>
    <w:multiLevelType w:val="hybridMultilevel"/>
    <w:tmpl w:val="3AFC2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3"/>
  </w:num>
  <w:num w:numId="4">
    <w:abstractNumId w:val="1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20"/>
  </w:num>
  <w:num w:numId="9">
    <w:abstractNumId w:val="8"/>
  </w:num>
  <w:num w:numId="10">
    <w:abstractNumId w:val="17"/>
  </w:num>
  <w:num w:numId="11">
    <w:abstractNumId w:val="1"/>
  </w:num>
  <w:num w:numId="12">
    <w:abstractNumId w:val="15"/>
  </w:num>
  <w:num w:numId="13">
    <w:abstractNumId w:val="2"/>
  </w:num>
  <w:num w:numId="14">
    <w:abstractNumId w:val="5"/>
  </w:num>
  <w:num w:numId="15">
    <w:abstractNumId w:val="21"/>
  </w:num>
  <w:num w:numId="16">
    <w:abstractNumId w:val="19"/>
  </w:num>
  <w:num w:numId="17">
    <w:abstractNumId w:val="18"/>
  </w:num>
  <w:num w:numId="18">
    <w:abstractNumId w:val="14"/>
  </w:num>
  <w:num w:numId="19">
    <w:abstractNumId w:val="16"/>
  </w:num>
  <w:num w:numId="20">
    <w:abstractNumId w:val="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CB"/>
    <w:rsid w:val="00004859"/>
    <w:rsid w:val="000C65FC"/>
    <w:rsid w:val="000D131D"/>
    <w:rsid w:val="000F5A97"/>
    <w:rsid w:val="00126BFA"/>
    <w:rsid w:val="001606E4"/>
    <w:rsid w:val="00196BB1"/>
    <w:rsid w:val="001B3341"/>
    <w:rsid w:val="00222A4A"/>
    <w:rsid w:val="00255E51"/>
    <w:rsid w:val="00257A9B"/>
    <w:rsid w:val="00260408"/>
    <w:rsid w:val="00261BCD"/>
    <w:rsid w:val="002C6518"/>
    <w:rsid w:val="002D7E6C"/>
    <w:rsid w:val="002E30EB"/>
    <w:rsid w:val="002E5083"/>
    <w:rsid w:val="00367B59"/>
    <w:rsid w:val="003C5F5B"/>
    <w:rsid w:val="00461F29"/>
    <w:rsid w:val="004A5BB7"/>
    <w:rsid w:val="004B22C0"/>
    <w:rsid w:val="00515ACC"/>
    <w:rsid w:val="00530BFA"/>
    <w:rsid w:val="005356FA"/>
    <w:rsid w:val="00560FBE"/>
    <w:rsid w:val="00566E4B"/>
    <w:rsid w:val="005B2FB9"/>
    <w:rsid w:val="005E6F48"/>
    <w:rsid w:val="00611873"/>
    <w:rsid w:val="00621D78"/>
    <w:rsid w:val="00631786"/>
    <w:rsid w:val="00654AE2"/>
    <w:rsid w:val="00655E38"/>
    <w:rsid w:val="00667A01"/>
    <w:rsid w:val="00694EEF"/>
    <w:rsid w:val="006C29CB"/>
    <w:rsid w:val="0071686E"/>
    <w:rsid w:val="007648AE"/>
    <w:rsid w:val="00773A17"/>
    <w:rsid w:val="007C4C62"/>
    <w:rsid w:val="007E3452"/>
    <w:rsid w:val="00880DF8"/>
    <w:rsid w:val="0089750E"/>
    <w:rsid w:val="008C1988"/>
    <w:rsid w:val="008C6ACC"/>
    <w:rsid w:val="008D6F9B"/>
    <w:rsid w:val="009323E0"/>
    <w:rsid w:val="009B5216"/>
    <w:rsid w:val="009D1FAE"/>
    <w:rsid w:val="00A44748"/>
    <w:rsid w:val="00AB78E7"/>
    <w:rsid w:val="00AC72AD"/>
    <w:rsid w:val="00AD5B1C"/>
    <w:rsid w:val="00AF7D08"/>
    <w:rsid w:val="00B06AFC"/>
    <w:rsid w:val="00B334E6"/>
    <w:rsid w:val="00B56477"/>
    <w:rsid w:val="00B92D88"/>
    <w:rsid w:val="00BC0685"/>
    <w:rsid w:val="00BF6D74"/>
    <w:rsid w:val="00C229DD"/>
    <w:rsid w:val="00C71D10"/>
    <w:rsid w:val="00D05F00"/>
    <w:rsid w:val="00D25550"/>
    <w:rsid w:val="00D27C20"/>
    <w:rsid w:val="00D91EAD"/>
    <w:rsid w:val="00DA193B"/>
    <w:rsid w:val="00DC7139"/>
    <w:rsid w:val="00E77AD4"/>
    <w:rsid w:val="00EA4B13"/>
    <w:rsid w:val="00F0511E"/>
    <w:rsid w:val="00F06D5D"/>
    <w:rsid w:val="00F22632"/>
    <w:rsid w:val="00F53DAA"/>
    <w:rsid w:val="00F63740"/>
    <w:rsid w:val="00F817B6"/>
    <w:rsid w:val="00FC33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9CB"/>
    <w:pPr>
      <w:bidi/>
    </w:pPr>
    <w:rPr>
      <w:rFonts w:cs="FrankRuehl"/>
      <w:sz w:val="28"/>
      <w:szCs w:val="28"/>
      <w:lang w:eastAsia="he-IL"/>
    </w:rPr>
  </w:style>
  <w:style w:type="paragraph" w:styleId="2">
    <w:name w:val="heading 2"/>
    <w:basedOn w:val="a"/>
    <w:next w:val="a"/>
    <w:qFormat/>
    <w:rsid w:val="002E30EB"/>
    <w:pPr>
      <w:keepNext/>
      <w:overflowPunct w:val="0"/>
      <w:autoSpaceDE w:val="0"/>
      <w:autoSpaceDN w:val="0"/>
      <w:adjustRightInd w:val="0"/>
      <w:jc w:val="center"/>
      <w:textAlignment w:val="baseline"/>
      <w:outlineLvl w:val="1"/>
    </w:pPr>
    <w:rPr>
      <w:b/>
      <w:bCs/>
      <w:sz w:val="32"/>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F5A97"/>
    <w:pPr>
      <w:tabs>
        <w:tab w:val="center" w:pos="4153"/>
        <w:tab w:val="right" w:pos="8306"/>
      </w:tabs>
    </w:pPr>
  </w:style>
  <w:style w:type="paragraph" w:styleId="a4">
    <w:name w:val="footer"/>
    <w:basedOn w:val="a"/>
    <w:rsid w:val="000F5A97"/>
    <w:pPr>
      <w:tabs>
        <w:tab w:val="center" w:pos="4153"/>
        <w:tab w:val="right" w:pos="8306"/>
      </w:tabs>
    </w:pPr>
  </w:style>
  <w:style w:type="character" w:styleId="Hyperlink">
    <w:name w:val="Hyperlink"/>
    <w:rsid w:val="00A44748"/>
    <w:rPr>
      <w:color w:val="0000FF"/>
      <w:u w:val="single"/>
    </w:rPr>
  </w:style>
  <w:style w:type="paragraph" w:styleId="a5">
    <w:name w:val="Balloon Text"/>
    <w:basedOn w:val="a"/>
    <w:semiHidden/>
    <w:rsid w:val="00A44748"/>
    <w:rPr>
      <w:rFonts w:ascii="Tahoma" w:hAnsi="Tahoma" w:cs="Tahoma"/>
      <w:sz w:val="16"/>
      <w:szCs w:val="16"/>
    </w:rPr>
  </w:style>
  <w:style w:type="table" w:styleId="a6">
    <w:name w:val="Table Grid"/>
    <w:basedOn w:val="a1"/>
    <w:uiPriority w:val="59"/>
    <w:rsid w:val="00F53DAA"/>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67A01"/>
    <w:pPr>
      <w:ind w:left="720"/>
    </w:pPr>
    <w:rPr>
      <w:rFonts w:ascii="Calibri" w:eastAsia="Calibri" w:hAnsi="Calibri" w:cs="Calibri"/>
      <w:sz w:val="22"/>
      <w:szCs w:val="22"/>
      <w:lang w:eastAsia="en-US"/>
    </w:rPr>
  </w:style>
  <w:style w:type="character" w:styleId="a8">
    <w:name w:val="annotation reference"/>
    <w:rsid w:val="005356FA"/>
    <w:rPr>
      <w:sz w:val="16"/>
      <w:szCs w:val="16"/>
    </w:rPr>
  </w:style>
  <w:style w:type="paragraph" w:customStyle="1" w:styleId="TableText">
    <w:name w:val="Table Text"/>
    <w:basedOn w:val="a"/>
    <w:link w:val="TableText0"/>
    <w:rsid w:val="005356FA"/>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5356FA"/>
    <w:pPr>
      <w:ind w:right="0"/>
      <w:jc w:val="both"/>
    </w:pPr>
  </w:style>
  <w:style w:type="paragraph" w:customStyle="1" w:styleId="TableSideHeading">
    <w:name w:val="Table SideHeading"/>
    <w:basedOn w:val="TableText"/>
    <w:rsid w:val="005356FA"/>
  </w:style>
  <w:style w:type="character" w:customStyle="1" w:styleId="TableText0">
    <w:name w:val="Table Text תו"/>
    <w:link w:val="TableText"/>
    <w:locked/>
    <w:rsid w:val="005356FA"/>
    <w:rPr>
      <w:rFonts w:ascii="Arial" w:eastAsia="Arial Unicode MS" w:hAnsi="Arial" w:cs="David"/>
      <w:snapToGrid w:val="0"/>
      <w:color w:val="000000"/>
      <w:szCs w:val="26"/>
      <w:lang w:eastAsia="ja-JP"/>
    </w:rPr>
  </w:style>
  <w:style w:type="character" w:customStyle="1" w:styleId="TableBlock0">
    <w:name w:val="Table Block תו"/>
    <w:link w:val="TableBlock"/>
    <w:locked/>
    <w:rsid w:val="005356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29CB"/>
    <w:pPr>
      <w:bidi/>
    </w:pPr>
    <w:rPr>
      <w:rFonts w:cs="FrankRuehl"/>
      <w:sz w:val="28"/>
      <w:szCs w:val="28"/>
      <w:lang w:eastAsia="he-IL"/>
    </w:rPr>
  </w:style>
  <w:style w:type="paragraph" w:styleId="2">
    <w:name w:val="heading 2"/>
    <w:basedOn w:val="a"/>
    <w:next w:val="a"/>
    <w:qFormat/>
    <w:rsid w:val="002E30EB"/>
    <w:pPr>
      <w:keepNext/>
      <w:overflowPunct w:val="0"/>
      <w:autoSpaceDE w:val="0"/>
      <w:autoSpaceDN w:val="0"/>
      <w:adjustRightInd w:val="0"/>
      <w:jc w:val="center"/>
      <w:textAlignment w:val="baseline"/>
      <w:outlineLvl w:val="1"/>
    </w:pPr>
    <w:rPr>
      <w:b/>
      <w:bCs/>
      <w:sz w:val="32"/>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F5A97"/>
    <w:pPr>
      <w:tabs>
        <w:tab w:val="center" w:pos="4153"/>
        <w:tab w:val="right" w:pos="8306"/>
      </w:tabs>
    </w:pPr>
  </w:style>
  <w:style w:type="paragraph" w:styleId="a4">
    <w:name w:val="footer"/>
    <w:basedOn w:val="a"/>
    <w:rsid w:val="000F5A97"/>
    <w:pPr>
      <w:tabs>
        <w:tab w:val="center" w:pos="4153"/>
        <w:tab w:val="right" w:pos="8306"/>
      </w:tabs>
    </w:pPr>
  </w:style>
  <w:style w:type="character" w:styleId="Hyperlink">
    <w:name w:val="Hyperlink"/>
    <w:rsid w:val="00A44748"/>
    <w:rPr>
      <w:color w:val="0000FF"/>
      <w:u w:val="single"/>
    </w:rPr>
  </w:style>
  <w:style w:type="paragraph" w:styleId="a5">
    <w:name w:val="Balloon Text"/>
    <w:basedOn w:val="a"/>
    <w:semiHidden/>
    <w:rsid w:val="00A44748"/>
    <w:rPr>
      <w:rFonts w:ascii="Tahoma" w:hAnsi="Tahoma" w:cs="Tahoma"/>
      <w:sz w:val="16"/>
      <w:szCs w:val="16"/>
    </w:rPr>
  </w:style>
  <w:style w:type="table" w:styleId="a6">
    <w:name w:val="Table Grid"/>
    <w:basedOn w:val="a1"/>
    <w:uiPriority w:val="59"/>
    <w:rsid w:val="00F53DAA"/>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67A01"/>
    <w:pPr>
      <w:ind w:left="720"/>
    </w:pPr>
    <w:rPr>
      <w:rFonts w:ascii="Calibri" w:eastAsia="Calibri" w:hAnsi="Calibri" w:cs="Calibri"/>
      <w:sz w:val="22"/>
      <w:szCs w:val="22"/>
      <w:lang w:eastAsia="en-US"/>
    </w:rPr>
  </w:style>
  <w:style w:type="character" w:styleId="a8">
    <w:name w:val="annotation reference"/>
    <w:rsid w:val="005356FA"/>
    <w:rPr>
      <w:sz w:val="16"/>
      <w:szCs w:val="16"/>
    </w:rPr>
  </w:style>
  <w:style w:type="paragraph" w:customStyle="1" w:styleId="TableText">
    <w:name w:val="Table Text"/>
    <w:basedOn w:val="a"/>
    <w:link w:val="TableText0"/>
    <w:rsid w:val="005356FA"/>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5356FA"/>
    <w:pPr>
      <w:ind w:right="0"/>
      <w:jc w:val="both"/>
    </w:pPr>
  </w:style>
  <w:style w:type="paragraph" w:customStyle="1" w:styleId="TableSideHeading">
    <w:name w:val="Table SideHeading"/>
    <w:basedOn w:val="TableText"/>
    <w:rsid w:val="005356FA"/>
  </w:style>
  <w:style w:type="character" w:customStyle="1" w:styleId="TableText0">
    <w:name w:val="Table Text תו"/>
    <w:link w:val="TableText"/>
    <w:locked/>
    <w:rsid w:val="005356FA"/>
    <w:rPr>
      <w:rFonts w:ascii="Arial" w:eastAsia="Arial Unicode MS" w:hAnsi="Arial" w:cs="David"/>
      <w:snapToGrid w:val="0"/>
      <w:color w:val="000000"/>
      <w:szCs w:val="26"/>
      <w:lang w:eastAsia="ja-JP"/>
    </w:rPr>
  </w:style>
  <w:style w:type="character" w:customStyle="1" w:styleId="TableBlock0">
    <w:name w:val="Table Block תו"/>
    <w:link w:val="TableBlock"/>
    <w:locked/>
    <w:rsid w:val="00535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747649">
      <w:bodyDiv w:val="1"/>
      <w:marLeft w:val="0"/>
      <w:marRight w:val="0"/>
      <w:marTop w:val="0"/>
      <w:marBottom w:val="0"/>
      <w:divBdr>
        <w:top w:val="none" w:sz="0" w:space="0" w:color="auto"/>
        <w:left w:val="none" w:sz="0" w:space="0" w:color="auto"/>
        <w:bottom w:val="none" w:sz="0" w:space="0" w:color="auto"/>
        <w:right w:val="none" w:sz="0" w:space="0" w:color="auto"/>
      </w:divBdr>
    </w:div>
    <w:div w:id="1295716497">
      <w:bodyDiv w:val="1"/>
      <w:marLeft w:val="0"/>
      <w:marRight w:val="0"/>
      <w:marTop w:val="0"/>
      <w:marBottom w:val="0"/>
      <w:divBdr>
        <w:top w:val="none" w:sz="0" w:space="0" w:color="auto"/>
        <w:left w:val="none" w:sz="0" w:space="0" w:color="auto"/>
        <w:bottom w:val="none" w:sz="0" w:space="0" w:color="auto"/>
        <w:right w:val="none" w:sz="0" w:space="0" w:color="auto"/>
      </w:divBdr>
    </w:div>
    <w:div w:id="1548254140">
      <w:bodyDiv w:val="1"/>
      <w:marLeft w:val="0"/>
      <w:marRight w:val="0"/>
      <w:marTop w:val="0"/>
      <w:marBottom w:val="0"/>
      <w:divBdr>
        <w:top w:val="none" w:sz="0" w:space="0" w:color="auto"/>
        <w:left w:val="none" w:sz="0" w:space="0" w:color="auto"/>
        <w:bottom w:val="none" w:sz="0" w:space="0" w:color="auto"/>
        <w:right w:val="none" w:sz="0" w:space="0" w:color="auto"/>
      </w:divBdr>
      <w:divsChild>
        <w:div w:id="492990277">
          <w:marLeft w:val="0"/>
          <w:marRight w:val="0"/>
          <w:marTop w:val="0"/>
          <w:marBottom w:val="0"/>
          <w:divBdr>
            <w:top w:val="none" w:sz="0" w:space="0" w:color="auto"/>
            <w:left w:val="none" w:sz="0" w:space="0" w:color="auto"/>
            <w:bottom w:val="none" w:sz="0" w:space="0" w:color="auto"/>
            <w:right w:val="none" w:sz="0" w:space="0" w:color="auto"/>
          </w:divBdr>
        </w:div>
        <w:div w:id="1225531725">
          <w:marLeft w:val="0"/>
          <w:marRight w:val="0"/>
          <w:marTop w:val="0"/>
          <w:marBottom w:val="0"/>
          <w:divBdr>
            <w:top w:val="none" w:sz="0" w:space="0" w:color="auto"/>
            <w:left w:val="none" w:sz="0" w:space="0" w:color="auto"/>
            <w:bottom w:val="none" w:sz="0" w:space="0" w:color="auto"/>
            <w:right w:val="none" w:sz="0" w:space="0" w:color="auto"/>
          </w:divBdr>
        </w:div>
        <w:div w:id="1474756688">
          <w:marLeft w:val="0"/>
          <w:marRight w:val="0"/>
          <w:marTop w:val="0"/>
          <w:marBottom w:val="0"/>
          <w:divBdr>
            <w:top w:val="none" w:sz="0" w:space="0" w:color="auto"/>
            <w:left w:val="none" w:sz="0" w:space="0" w:color="auto"/>
            <w:bottom w:val="none" w:sz="0" w:space="0" w:color="auto"/>
            <w:right w:val="none" w:sz="0" w:space="0" w:color="auto"/>
          </w:divBdr>
        </w:div>
        <w:div w:id="1697539588">
          <w:marLeft w:val="0"/>
          <w:marRight w:val="0"/>
          <w:marTop w:val="0"/>
          <w:marBottom w:val="0"/>
          <w:divBdr>
            <w:top w:val="none" w:sz="0" w:space="0" w:color="auto"/>
            <w:left w:val="none" w:sz="0" w:space="0" w:color="auto"/>
            <w:bottom w:val="none" w:sz="0" w:space="0" w:color="auto"/>
            <w:right w:val="none" w:sz="0" w:space="0" w:color="auto"/>
          </w:divBdr>
        </w:div>
        <w:div w:id="1708331078">
          <w:marLeft w:val="0"/>
          <w:marRight w:val="0"/>
          <w:marTop w:val="0"/>
          <w:marBottom w:val="0"/>
          <w:divBdr>
            <w:top w:val="none" w:sz="0" w:space="0" w:color="auto"/>
            <w:left w:val="none" w:sz="0" w:space="0" w:color="auto"/>
            <w:bottom w:val="none" w:sz="0" w:space="0" w:color="auto"/>
            <w:right w:val="none" w:sz="0" w:space="0" w:color="auto"/>
          </w:divBdr>
        </w:div>
        <w:div w:id="1750688527">
          <w:marLeft w:val="0"/>
          <w:marRight w:val="0"/>
          <w:marTop w:val="0"/>
          <w:marBottom w:val="0"/>
          <w:divBdr>
            <w:top w:val="none" w:sz="0" w:space="0" w:color="auto"/>
            <w:left w:val="none" w:sz="0" w:space="0" w:color="auto"/>
            <w:bottom w:val="none" w:sz="0" w:space="0" w:color="auto"/>
            <w:right w:val="none" w:sz="0" w:space="0" w:color="auto"/>
          </w:divBdr>
        </w:div>
        <w:div w:id="2063208689">
          <w:marLeft w:val="0"/>
          <w:marRight w:val="0"/>
          <w:marTop w:val="0"/>
          <w:marBottom w:val="0"/>
          <w:divBdr>
            <w:top w:val="none" w:sz="0" w:space="0" w:color="auto"/>
            <w:left w:val="none" w:sz="0" w:space="0" w:color="auto"/>
            <w:bottom w:val="none" w:sz="0" w:space="0" w:color="auto"/>
            <w:right w:val="none" w:sz="0" w:space="0" w:color="auto"/>
          </w:divBdr>
        </w:div>
      </w:divsChild>
    </w:div>
    <w:div w:id="1627127909">
      <w:bodyDiv w:val="1"/>
      <w:marLeft w:val="0"/>
      <w:marRight w:val="0"/>
      <w:marTop w:val="0"/>
      <w:marBottom w:val="0"/>
      <w:divBdr>
        <w:top w:val="none" w:sz="0" w:space="0" w:color="auto"/>
        <w:left w:val="none" w:sz="0" w:space="0" w:color="auto"/>
        <w:bottom w:val="none" w:sz="0" w:space="0" w:color="auto"/>
        <w:right w:val="none" w:sz="0" w:space="0" w:color="auto"/>
      </w:divBdr>
      <w:divsChild>
        <w:div w:id="216860430">
          <w:marLeft w:val="0"/>
          <w:marRight w:val="0"/>
          <w:marTop w:val="0"/>
          <w:marBottom w:val="0"/>
          <w:divBdr>
            <w:top w:val="none" w:sz="0" w:space="0" w:color="auto"/>
            <w:left w:val="none" w:sz="0" w:space="0" w:color="auto"/>
            <w:bottom w:val="none" w:sz="0" w:space="0" w:color="auto"/>
            <w:right w:val="none" w:sz="0" w:space="0" w:color="auto"/>
          </w:divBdr>
        </w:div>
        <w:div w:id="537358246">
          <w:marLeft w:val="0"/>
          <w:marRight w:val="0"/>
          <w:marTop w:val="0"/>
          <w:marBottom w:val="0"/>
          <w:divBdr>
            <w:top w:val="none" w:sz="0" w:space="0" w:color="auto"/>
            <w:left w:val="none" w:sz="0" w:space="0" w:color="auto"/>
            <w:bottom w:val="none" w:sz="0" w:space="0" w:color="auto"/>
            <w:right w:val="none" w:sz="0" w:space="0" w:color="auto"/>
          </w:divBdr>
        </w:div>
        <w:div w:id="581068886">
          <w:marLeft w:val="0"/>
          <w:marRight w:val="0"/>
          <w:marTop w:val="0"/>
          <w:marBottom w:val="0"/>
          <w:divBdr>
            <w:top w:val="none" w:sz="0" w:space="0" w:color="auto"/>
            <w:left w:val="none" w:sz="0" w:space="0" w:color="auto"/>
            <w:bottom w:val="none" w:sz="0" w:space="0" w:color="auto"/>
            <w:right w:val="none" w:sz="0" w:space="0" w:color="auto"/>
          </w:divBdr>
        </w:div>
        <w:div w:id="796146866">
          <w:marLeft w:val="0"/>
          <w:marRight w:val="0"/>
          <w:marTop w:val="0"/>
          <w:marBottom w:val="0"/>
          <w:divBdr>
            <w:top w:val="none" w:sz="0" w:space="0" w:color="auto"/>
            <w:left w:val="none" w:sz="0" w:space="0" w:color="auto"/>
            <w:bottom w:val="none" w:sz="0" w:space="0" w:color="auto"/>
            <w:right w:val="none" w:sz="0" w:space="0" w:color="auto"/>
          </w:divBdr>
        </w:div>
        <w:div w:id="936523994">
          <w:marLeft w:val="0"/>
          <w:marRight w:val="0"/>
          <w:marTop w:val="0"/>
          <w:marBottom w:val="0"/>
          <w:divBdr>
            <w:top w:val="none" w:sz="0" w:space="0" w:color="auto"/>
            <w:left w:val="none" w:sz="0" w:space="0" w:color="auto"/>
            <w:bottom w:val="none" w:sz="0" w:space="0" w:color="auto"/>
            <w:right w:val="none" w:sz="0" w:space="0" w:color="auto"/>
          </w:divBdr>
        </w:div>
        <w:div w:id="1216233344">
          <w:marLeft w:val="0"/>
          <w:marRight w:val="0"/>
          <w:marTop w:val="0"/>
          <w:marBottom w:val="0"/>
          <w:divBdr>
            <w:top w:val="none" w:sz="0" w:space="0" w:color="auto"/>
            <w:left w:val="none" w:sz="0" w:space="0" w:color="auto"/>
            <w:bottom w:val="none" w:sz="0" w:space="0" w:color="auto"/>
            <w:right w:val="none" w:sz="0" w:space="0" w:color="auto"/>
          </w:divBdr>
        </w:div>
        <w:div w:id="1538817126">
          <w:marLeft w:val="0"/>
          <w:marRight w:val="0"/>
          <w:marTop w:val="0"/>
          <w:marBottom w:val="0"/>
          <w:divBdr>
            <w:top w:val="none" w:sz="0" w:space="0" w:color="auto"/>
            <w:left w:val="none" w:sz="0" w:space="0" w:color="auto"/>
            <w:bottom w:val="none" w:sz="0" w:space="0" w:color="auto"/>
            <w:right w:val="none" w:sz="0" w:space="0" w:color="auto"/>
          </w:divBdr>
        </w:div>
      </w:divsChild>
    </w:div>
    <w:div w:id="1637447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2736F9-AD69-4CC0-BE9E-84ED96A22F91}"/>
</file>

<file path=customXml/itemProps2.xml><?xml version="1.0" encoding="utf-8"?>
<ds:datastoreItem xmlns:ds="http://schemas.openxmlformats.org/officeDocument/2006/customXml" ds:itemID="{11DD9E7C-877F-4B2D-A8DA-0D3445BD9E7D}"/>
</file>

<file path=customXml/itemProps3.xml><?xml version="1.0" encoding="utf-8"?>
<ds:datastoreItem xmlns:ds="http://schemas.openxmlformats.org/officeDocument/2006/customXml" ds:itemID="{24009493-F5FF-455B-AF9F-6975C51049B8}"/>
</file>

<file path=customXml/itemProps4.xml><?xml version="1.0" encoding="utf-8"?>
<ds:datastoreItem xmlns:ds="http://schemas.openxmlformats.org/officeDocument/2006/customXml" ds:itemID="{E2DAC31C-4FC0-4413-A8F0-B245A7D9B2C6}"/>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2039</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a</Company>
  <LinksUpToDate>false</LinksUpToDate>
  <CharactersWithSpaces>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dc:creator>
  <cp:lastModifiedBy>merav hirsh</cp:lastModifiedBy>
  <cp:revision>2</cp:revision>
  <cp:lastPrinted>2012-10-29T11:58:00Z</cp:lastPrinted>
  <dcterms:created xsi:type="dcterms:W3CDTF">2014-07-07T08:16:00Z</dcterms:created>
  <dcterms:modified xsi:type="dcterms:W3CDTF">2014-07-07T08:16:00Z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