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EC2" w:rsidRPr="006D7D44" w:rsidRDefault="00A77BFF" w:rsidP="006D7D44">
      <w:pPr>
        <w:spacing w:after="0" w:line="240" w:lineRule="auto"/>
        <w:jc w:val="right"/>
        <w:rPr>
          <w:rFonts w:cs="David"/>
          <w:sz w:val="24"/>
          <w:szCs w:val="24"/>
          <w:rtl/>
        </w:rPr>
      </w:pPr>
      <w:bookmarkStart w:id="0" w:name="_GoBack"/>
      <w:bookmarkEnd w:id="0"/>
      <w:r w:rsidRPr="006D7D44">
        <w:rPr>
          <w:rFonts w:cs="David" w:hint="cs"/>
          <w:sz w:val="24"/>
          <w:szCs w:val="24"/>
          <w:rtl/>
        </w:rPr>
        <w:t>כ"</w:t>
      </w:r>
      <w:r w:rsidR="006D7D44" w:rsidRPr="006D7D44">
        <w:rPr>
          <w:rFonts w:cs="David" w:hint="cs"/>
          <w:sz w:val="24"/>
          <w:szCs w:val="24"/>
          <w:rtl/>
        </w:rPr>
        <w:t>ו</w:t>
      </w:r>
      <w:r w:rsidR="00167704" w:rsidRPr="006D7D44">
        <w:rPr>
          <w:rFonts w:cs="David" w:hint="cs"/>
          <w:sz w:val="24"/>
          <w:szCs w:val="24"/>
          <w:rtl/>
        </w:rPr>
        <w:t xml:space="preserve"> בתמוז</w:t>
      </w:r>
      <w:r w:rsidR="00465EC2" w:rsidRPr="006D7D44">
        <w:rPr>
          <w:rFonts w:cs="David" w:hint="cs"/>
          <w:sz w:val="24"/>
          <w:szCs w:val="24"/>
          <w:rtl/>
        </w:rPr>
        <w:t xml:space="preserve"> </w:t>
      </w:r>
      <w:proofErr w:type="spellStart"/>
      <w:r w:rsidR="00465EC2" w:rsidRPr="006D7D44">
        <w:rPr>
          <w:rFonts w:cs="David" w:hint="cs"/>
          <w:sz w:val="24"/>
          <w:szCs w:val="24"/>
          <w:rtl/>
        </w:rPr>
        <w:t>התשע"ג</w:t>
      </w:r>
      <w:proofErr w:type="spellEnd"/>
    </w:p>
    <w:p w:rsidR="00465EC2" w:rsidRPr="006D7D44" w:rsidRDefault="006D7D44" w:rsidP="00A77BFF">
      <w:pPr>
        <w:spacing w:after="0" w:line="240" w:lineRule="auto"/>
        <w:jc w:val="right"/>
        <w:rPr>
          <w:rFonts w:cs="David"/>
          <w:sz w:val="24"/>
          <w:szCs w:val="24"/>
          <w:rtl/>
        </w:rPr>
      </w:pPr>
      <w:r w:rsidRPr="006D7D44">
        <w:rPr>
          <w:rFonts w:cs="David" w:hint="cs"/>
          <w:sz w:val="24"/>
          <w:szCs w:val="24"/>
          <w:rtl/>
        </w:rPr>
        <w:t>4</w:t>
      </w:r>
      <w:r w:rsidR="00167704" w:rsidRPr="006D7D44">
        <w:rPr>
          <w:rFonts w:cs="David" w:hint="cs"/>
          <w:sz w:val="24"/>
          <w:szCs w:val="24"/>
          <w:rtl/>
        </w:rPr>
        <w:t xml:space="preserve"> ביו</w:t>
      </w:r>
      <w:r w:rsidR="00A77BFF" w:rsidRPr="006D7D44">
        <w:rPr>
          <w:rFonts w:cs="David" w:hint="cs"/>
          <w:sz w:val="24"/>
          <w:szCs w:val="24"/>
          <w:rtl/>
        </w:rPr>
        <w:t>ל</w:t>
      </w:r>
      <w:r w:rsidR="00167704" w:rsidRPr="006D7D44">
        <w:rPr>
          <w:rFonts w:cs="David" w:hint="cs"/>
          <w:sz w:val="24"/>
          <w:szCs w:val="24"/>
          <w:rtl/>
        </w:rPr>
        <w:t>י</w:t>
      </w:r>
      <w:r w:rsidR="00465EC2" w:rsidRPr="006D7D44">
        <w:rPr>
          <w:rFonts w:cs="David" w:hint="cs"/>
          <w:sz w:val="24"/>
          <w:szCs w:val="24"/>
          <w:rtl/>
        </w:rPr>
        <w:t xml:space="preserve"> 2013</w:t>
      </w:r>
    </w:p>
    <w:p w:rsidR="00465EC2" w:rsidRPr="00ED5495" w:rsidRDefault="00465EC2" w:rsidP="00465EC2">
      <w:pPr>
        <w:spacing w:after="0" w:line="240" w:lineRule="auto"/>
        <w:jc w:val="both"/>
        <w:rPr>
          <w:rFonts w:cs="David"/>
          <w:sz w:val="24"/>
          <w:szCs w:val="24"/>
          <w:rtl/>
        </w:rPr>
      </w:pPr>
      <w:r w:rsidRPr="006D7D44">
        <w:rPr>
          <w:rFonts w:cs="David" w:hint="cs"/>
          <w:sz w:val="24"/>
          <w:szCs w:val="24"/>
          <w:u w:val="single"/>
          <w:rtl/>
        </w:rPr>
        <w:t>אל</w:t>
      </w:r>
      <w:r w:rsidRPr="006D7D44">
        <w:rPr>
          <w:rFonts w:cs="David" w:hint="cs"/>
          <w:sz w:val="24"/>
          <w:szCs w:val="24"/>
          <w:rtl/>
        </w:rPr>
        <w:t>: חברי ועדת החוקה, חוק ומשפט</w:t>
      </w:r>
    </w:p>
    <w:p w:rsidR="00465EC2" w:rsidRPr="00ED5495" w:rsidRDefault="00465EC2" w:rsidP="00465EC2">
      <w:pPr>
        <w:spacing w:after="0" w:line="240" w:lineRule="auto"/>
        <w:jc w:val="both"/>
        <w:rPr>
          <w:rFonts w:cs="David"/>
          <w:sz w:val="24"/>
          <w:szCs w:val="24"/>
          <w:rtl/>
        </w:rPr>
      </w:pPr>
      <w:r w:rsidRPr="00911BD6">
        <w:rPr>
          <w:rFonts w:cs="David" w:hint="cs"/>
          <w:sz w:val="24"/>
          <w:szCs w:val="24"/>
          <w:u w:val="single"/>
          <w:rtl/>
        </w:rPr>
        <w:t>מאת</w:t>
      </w:r>
      <w:r w:rsidRPr="00ED5495">
        <w:rPr>
          <w:rFonts w:cs="David" w:hint="cs"/>
          <w:sz w:val="24"/>
          <w:szCs w:val="24"/>
          <w:rtl/>
        </w:rPr>
        <w:t>: הייעוץ המשפטי לוועדה</w:t>
      </w:r>
    </w:p>
    <w:p w:rsidR="00465EC2" w:rsidRDefault="00465EC2" w:rsidP="00465EC2">
      <w:pPr>
        <w:spacing w:after="0" w:line="240" w:lineRule="auto"/>
        <w:jc w:val="both"/>
        <w:rPr>
          <w:rFonts w:cs="David"/>
          <w:rtl/>
        </w:rPr>
      </w:pPr>
    </w:p>
    <w:p w:rsidR="007967E3" w:rsidRPr="00465EC2" w:rsidRDefault="007967E3" w:rsidP="00465EC2">
      <w:pPr>
        <w:spacing w:after="0" w:line="240" w:lineRule="auto"/>
        <w:jc w:val="both"/>
        <w:rPr>
          <w:rFonts w:cs="David"/>
          <w:rtl/>
        </w:rPr>
      </w:pPr>
    </w:p>
    <w:p w:rsidR="00465EC2" w:rsidRPr="00465EC2" w:rsidRDefault="00A77BFF" w:rsidP="004E48C8">
      <w:pPr>
        <w:spacing w:after="240" w:line="240" w:lineRule="auto"/>
        <w:jc w:val="center"/>
        <w:rPr>
          <w:rFonts w:cs="David"/>
          <w:b/>
          <w:bCs/>
          <w:sz w:val="28"/>
          <w:szCs w:val="28"/>
          <w:u w:val="single"/>
          <w:rtl/>
        </w:rPr>
      </w:pPr>
      <w:r>
        <w:rPr>
          <w:rFonts w:cs="David" w:hint="cs"/>
          <w:b/>
          <w:bCs/>
          <w:sz w:val="28"/>
          <w:szCs w:val="28"/>
          <w:u w:val="single"/>
          <w:rtl/>
        </w:rPr>
        <w:t>ה</w:t>
      </w:r>
      <w:r w:rsidR="00167704">
        <w:rPr>
          <w:rFonts w:cs="David" w:hint="cs"/>
          <w:b/>
          <w:bCs/>
          <w:sz w:val="28"/>
          <w:szCs w:val="28"/>
          <w:u w:val="single"/>
          <w:rtl/>
        </w:rPr>
        <w:t xml:space="preserve">צעת </w:t>
      </w:r>
      <w:r w:rsidR="00167704" w:rsidRPr="00167704">
        <w:rPr>
          <w:rFonts w:cs="David" w:hint="cs"/>
          <w:b/>
          <w:bCs/>
          <w:sz w:val="28"/>
          <w:szCs w:val="28"/>
          <w:u w:val="single"/>
          <w:rtl/>
        </w:rPr>
        <w:t>חוק לתיקון פקודת הנישואין והגירושין (רישום) (מס' 3) (אזורי רישום לנישואין של בני זוג יהודים), התשע"ב-2012</w:t>
      </w:r>
      <w:r w:rsidR="00A33A10">
        <w:rPr>
          <w:rFonts w:cs="David" w:hint="cs"/>
          <w:b/>
          <w:bCs/>
          <w:sz w:val="28"/>
          <w:szCs w:val="28"/>
          <w:u w:val="single"/>
          <w:rtl/>
        </w:rPr>
        <w:t xml:space="preserve"> </w:t>
      </w:r>
      <w:r w:rsidR="00A33A10">
        <w:rPr>
          <w:rFonts w:cs="David"/>
          <w:b/>
          <w:bCs/>
          <w:sz w:val="28"/>
          <w:szCs w:val="28"/>
          <w:u w:val="single"/>
          <w:rtl/>
        </w:rPr>
        <w:t>–</w:t>
      </w:r>
      <w:r w:rsidR="00A33A10">
        <w:rPr>
          <w:rFonts w:cs="David" w:hint="cs"/>
          <w:b/>
          <w:bCs/>
          <w:sz w:val="28"/>
          <w:szCs w:val="28"/>
          <w:u w:val="single"/>
          <w:rtl/>
        </w:rPr>
        <w:t xml:space="preserve"> נקודות לדיון</w:t>
      </w:r>
    </w:p>
    <w:p w:rsidR="00793057" w:rsidRPr="00793057" w:rsidRDefault="00793057" w:rsidP="000E4E05">
      <w:pPr>
        <w:spacing w:after="120" w:line="240" w:lineRule="auto"/>
        <w:jc w:val="both"/>
        <w:rPr>
          <w:rFonts w:cs="David"/>
          <w:b/>
          <w:bCs/>
          <w:sz w:val="24"/>
          <w:szCs w:val="24"/>
          <w:u w:val="single"/>
          <w:rtl/>
        </w:rPr>
      </w:pPr>
      <w:r w:rsidRPr="00793057">
        <w:rPr>
          <w:rFonts w:cs="David" w:hint="cs"/>
          <w:b/>
          <w:bCs/>
          <w:sz w:val="24"/>
          <w:szCs w:val="24"/>
          <w:u w:val="single"/>
          <w:rtl/>
        </w:rPr>
        <w:t>כללי</w:t>
      </w:r>
    </w:p>
    <w:p w:rsidR="007D5B0F" w:rsidRDefault="007D5B0F" w:rsidP="007D5B0F">
      <w:pPr>
        <w:spacing w:after="120" w:line="360" w:lineRule="auto"/>
        <w:jc w:val="both"/>
        <w:rPr>
          <w:rFonts w:cs="David"/>
          <w:sz w:val="24"/>
          <w:szCs w:val="24"/>
          <w:rtl/>
        </w:rPr>
      </w:pPr>
      <w:r>
        <w:rPr>
          <w:rFonts w:cs="David" w:hint="cs"/>
          <w:sz w:val="24"/>
          <w:szCs w:val="24"/>
          <w:rtl/>
        </w:rPr>
        <w:t xml:space="preserve">ס' 7 לפקודת הנישואין והגירושין (רישום) (להלן </w:t>
      </w:r>
      <w:r>
        <w:rPr>
          <w:rFonts w:cs="David"/>
          <w:sz w:val="24"/>
          <w:szCs w:val="24"/>
          <w:rtl/>
        </w:rPr>
        <w:t>–</w:t>
      </w:r>
      <w:r>
        <w:rPr>
          <w:rFonts w:cs="David" w:hint="cs"/>
          <w:sz w:val="24"/>
          <w:szCs w:val="24"/>
          <w:rtl/>
        </w:rPr>
        <w:t xml:space="preserve"> "הפקודה"), קובע כי </w:t>
      </w:r>
      <w:r w:rsidR="00080444">
        <w:rPr>
          <w:rFonts w:cs="David" w:hint="cs"/>
          <w:sz w:val="24"/>
          <w:szCs w:val="24"/>
          <w:rtl/>
        </w:rPr>
        <w:t xml:space="preserve">בני זוג המבקשים להינשא </w:t>
      </w:r>
      <w:r w:rsidR="00D42740">
        <w:rPr>
          <w:rFonts w:cs="David" w:hint="cs"/>
          <w:sz w:val="24"/>
          <w:szCs w:val="24"/>
          <w:rtl/>
        </w:rPr>
        <w:t>או להתגרש, מחויבים לדאוג לכך שהנישואין או הגירושין יירשמו על ידי "הרשות הרושמת"</w:t>
      </w:r>
      <w:r w:rsidR="007263C3" w:rsidRPr="007263C3">
        <w:rPr>
          <w:rStyle w:val="a3"/>
          <w:rFonts w:cs="David"/>
          <w:sz w:val="20"/>
          <w:szCs w:val="20"/>
          <w:rtl/>
        </w:rPr>
        <w:footnoteReference w:id="1"/>
      </w:r>
      <w:r>
        <w:rPr>
          <w:rFonts w:cs="David" w:hint="cs"/>
          <w:sz w:val="24"/>
          <w:szCs w:val="24"/>
          <w:rtl/>
        </w:rPr>
        <w:t>,</w:t>
      </w:r>
      <w:r w:rsidR="00BD5A08">
        <w:rPr>
          <w:rFonts w:cs="David" w:hint="cs"/>
          <w:sz w:val="24"/>
          <w:szCs w:val="24"/>
          <w:rtl/>
        </w:rPr>
        <w:t xml:space="preserve"> </w:t>
      </w:r>
      <w:r>
        <w:rPr>
          <w:rFonts w:cs="David" w:hint="cs"/>
          <w:sz w:val="24"/>
          <w:szCs w:val="24"/>
          <w:rtl/>
        </w:rPr>
        <w:t xml:space="preserve">והימנעות מרישום כאמור היא עבירה פלילית. </w:t>
      </w:r>
    </w:p>
    <w:p w:rsidR="00080444" w:rsidRDefault="005A25E7" w:rsidP="005A25E7">
      <w:pPr>
        <w:spacing w:after="120" w:line="360" w:lineRule="auto"/>
        <w:jc w:val="both"/>
        <w:rPr>
          <w:rFonts w:cs="David"/>
          <w:sz w:val="24"/>
          <w:szCs w:val="24"/>
          <w:rtl/>
        </w:rPr>
      </w:pPr>
      <w:r>
        <w:rPr>
          <w:rFonts w:cs="David" w:hint="cs"/>
          <w:sz w:val="24"/>
          <w:szCs w:val="24"/>
          <w:rtl/>
        </w:rPr>
        <w:t xml:space="preserve">הפקודה </w:t>
      </w:r>
      <w:r w:rsidR="00BD5A08">
        <w:rPr>
          <w:rFonts w:cs="David" w:hint="cs"/>
          <w:sz w:val="24"/>
          <w:szCs w:val="24"/>
          <w:rtl/>
        </w:rPr>
        <w:t>אינ</w:t>
      </w:r>
      <w:r>
        <w:rPr>
          <w:rFonts w:cs="David" w:hint="cs"/>
          <w:sz w:val="24"/>
          <w:szCs w:val="24"/>
          <w:rtl/>
        </w:rPr>
        <w:t>ה</w:t>
      </w:r>
      <w:r w:rsidR="00BD5A08">
        <w:rPr>
          <w:rFonts w:cs="David" w:hint="cs"/>
          <w:sz w:val="24"/>
          <w:szCs w:val="24"/>
          <w:rtl/>
        </w:rPr>
        <w:t xml:space="preserve"> קובע</w:t>
      </w:r>
      <w:r>
        <w:rPr>
          <w:rFonts w:cs="David" w:hint="cs"/>
          <w:sz w:val="24"/>
          <w:szCs w:val="24"/>
          <w:rtl/>
        </w:rPr>
        <w:t>ת</w:t>
      </w:r>
      <w:r w:rsidR="00BD5A08">
        <w:rPr>
          <w:rFonts w:cs="David" w:hint="cs"/>
          <w:sz w:val="24"/>
          <w:szCs w:val="24"/>
          <w:rtl/>
        </w:rPr>
        <w:t xml:space="preserve"> </w:t>
      </w:r>
      <w:r w:rsidR="007D5B0F">
        <w:rPr>
          <w:rFonts w:cs="David" w:hint="cs"/>
          <w:sz w:val="24"/>
          <w:szCs w:val="24"/>
          <w:rtl/>
        </w:rPr>
        <w:t xml:space="preserve">מהו המקום שבו </w:t>
      </w:r>
      <w:r>
        <w:rPr>
          <w:rFonts w:cs="David" w:hint="cs"/>
          <w:sz w:val="24"/>
          <w:szCs w:val="24"/>
          <w:rtl/>
        </w:rPr>
        <w:t>רשאים</w:t>
      </w:r>
      <w:r w:rsidR="007D5B0F">
        <w:rPr>
          <w:rFonts w:cs="David" w:hint="cs"/>
          <w:sz w:val="24"/>
          <w:szCs w:val="24"/>
          <w:rtl/>
        </w:rPr>
        <w:t xml:space="preserve"> בני הזוג להירשם </w:t>
      </w:r>
      <w:r w:rsidR="00BD5A08">
        <w:rPr>
          <w:rFonts w:cs="David" w:hint="cs"/>
          <w:sz w:val="24"/>
          <w:szCs w:val="24"/>
          <w:rtl/>
        </w:rPr>
        <w:t xml:space="preserve">לנישואין. לגבי בני זוג יהודיים, </w:t>
      </w:r>
      <w:r>
        <w:rPr>
          <w:rFonts w:cs="David" w:hint="cs"/>
          <w:sz w:val="24"/>
          <w:szCs w:val="24"/>
          <w:rtl/>
        </w:rPr>
        <w:t>סעיף 7 ל</w:t>
      </w:r>
      <w:r w:rsidR="00BD5A08">
        <w:rPr>
          <w:rFonts w:cs="David" w:hint="cs"/>
          <w:sz w:val="24"/>
          <w:szCs w:val="24"/>
          <w:rtl/>
        </w:rPr>
        <w:t>הוראות "נוהל רישום נישואין" שנקבע במסגרת חוזר מנכ"ל</w:t>
      </w:r>
      <w:r w:rsidR="00BD5A08" w:rsidRPr="00BD5A08">
        <w:rPr>
          <w:rStyle w:val="a3"/>
          <w:rFonts w:cs="David"/>
          <w:sz w:val="20"/>
          <w:szCs w:val="20"/>
          <w:rtl/>
        </w:rPr>
        <w:footnoteReference w:id="2"/>
      </w:r>
      <w:r>
        <w:rPr>
          <w:rFonts w:cs="David" w:hint="cs"/>
          <w:sz w:val="24"/>
          <w:szCs w:val="24"/>
          <w:rtl/>
        </w:rPr>
        <w:t xml:space="preserve"> קובע, כי "</w:t>
      </w:r>
      <w:r w:rsidRPr="00F06842">
        <w:rPr>
          <w:rFonts w:cs="Narkisim" w:hint="cs"/>
          <w:sz w:val="24"/>
          <w:szCs w:val="24"/>
          <w:rtl/>
        </w:rPr>
        <w:t xml:space="preserve">הרשמה לנישואים תעשה באחד ממקומות המגורים הקבוע של אחד מבני הזוג המבקשים </w:t>
      </w:r>
      <w:proofErr w:type="spellStart"/>
      <w:r w:rsidRPr="00F06842">
        <w:rPr>
          <w:rFonts w:cs="Narkisim" w:hint="cs"/>
          <w:sz w:val="24"/>
          <w:szCs w:val="24"/>
          <w:rtl/>
        </w:rPr>
        <w:t>להרשם</w:t>
      </w:r>
      <w:proofErr w:type="spellEnd"/>
      <w:r w:rsidRPr="00F06842">
        <w:rPr>
          <w:rFonts w:cs="Narkisim" w:hint="cs"/>
          <w:sz w:val="24"/>
          <w:szCs w:val="24"/>
          <w:rtl/>
        </w:rPr>
        <w:t xml:space="preserve"> לנישואין לפי בחירתם או במקום שבו אמורים להתקיים </w:t>
      </w:r>
      <w:proofErr w:type="spellStart"/>
      <w:r w:rsidRPr="00F06842">
        <w:rPr>
          <w:rFonts w:cs="Narkisim" w:hint="cs"/>
          <w:sz w:val="24"/>
          <w:szCs w:val="24"/>
          <w:rtl/>
        </w:rPr>
        <w:t>החו"ק</w:t>
      </w:r>
      <w:proofErr w:type="spellEnd"/>
      <w:r>
        <w:rPr>
          <w:rFonts w:cs="David" w:hint="cs"/>
          <w:sz w:val="24"/>
          <w:szCs w:val="24"/>
          <w:rtl/>
        </w:rPr>
        <w:t xml:space="preserve"> (=החופה וקידושין)".</w:t>
      </w:r>
      <w:r w:rsidR="00BD5A08">
        <w:rPr>
          <w:rFonts w:cs="David" w:hint="cs"/>
          <w:sz w:val="24"/>
          <w:szCs w:val="24"/>
          <w:rtl/>
        </w:rPr>
        <w:t xml:space="preserve"> </w:t>
      </w:r>
    </w:p>
    <w:p w:rsidR="00080444" w:rsidRDefault="00080444" w:rsidP="004E48C8">
      <w:pPr>
        <w:spacing w:after="120" w:line="360" w:lineRule="auto"/>
        <w:jc w:val="both"/>
        <w:rPr>
          <w:rFonts w:cs="David"/>
          <w:noProof/>
          <w:sz w:val="24"/>
          <w:szCs w:val="24"/>
          <w:rtl/>
        </w:rPr>
      </w:pPr>
    </w:p>
    <w:p w:rsidR="00F06842" w:rsidRPr="00F06842" w:rsidRDefault="00F06842" w:rsidP="000E4E05">
      <w:pPr>
        <w:spacing w:after="120" w:line="240" w:lineRule="auto"/>
        <w:jc w:val="both"/>
        <w:rPr>
          <w:rFonts w:cs="David"/>
          <w:b/>
          <w:bCs/>
          <w:noProof/>
          <w:sz w:val="24"/>
          <w:szCs w:val="24"/>
          <w:u w:val="single"/>
          <w:rtl/>
        </w:rPr>
      </w:pPr>
      <w:r w:rsidRPr="00F06842">
        <w:rPr>
          <w:rFonts w:cs="David" w:hint="cs"/>
          <w:b/>
          <w:bCs/>
          <w:noProof/>
          <w:sz w:val="24"/>
          <w:szCs w:val="24"/>
          <w:u w:val="single"/>
          <w:rtl/>
        </w:rPr>
        <w:t>הצעות חוק בעניין אזורי רישום לנישואין בכנסת ה-18</w:t>
      </w:r>
    </w:p>
    <w:p w:rsidR="00167704" w:rsidRDefault="003C041A" w:rsidP="00F06842">
      <w:pPr>
        <w:spacing w:after="120" w:line="360" w:lineRule="auto"/>
        <w:jc w:val="both"/>
        <w:rPr>
          <w:rFonts w:cs="David"/>
          <w:sz w:val="24"/>
          <w:szCs w:val="24"/>
          <w:rtl/>
        </w:rPr>
      </w:pPr>
      <w:r w:rsidRPr="003C041A">
        <w:rPr>
          <w:rFonts w:cs="David" w:hint="cs"/>
          <w:sz w:val="24"/>
          <w:szCs w:val="24"/>
          <w:rtl/>
        </w:rPr>
        <w:t xml:space="preserve">בכנסת ה-18 יזמו מספר חברי כנסת </w:t>
      </w:r>
      <w:r>
        <w:rPr>
          <w:rFonts w:cs="David" w:hint="cs"/>
          <w:sz w:val="24"/>
          <w:szCs w:val="24"/>
          <w:rtl/>
        </w:rPr>
        <w:t xml:space="preserve">שתי </w:t>
      </w:r>
      <w:r w:rsidRPr="003C041A">
        <w:rPr>
          <w:rFonts w:cs="David" w:hint="cs"/>
          <w:sz w:val="24"/>
          <w:szCs w:val="24"/>
          <w:rtl/>
        </w:rPr>
        <w:t xml:space="preserve">הצעות חוק לתיקון </w:t>
      </w:r>
      <w:r w:rsidR="00F06842">
        <w:rPr>
          <w:rFonts w:cs="David" w:hint="cs"/>
          <w:sz w:val="24"/>
          <w:szCs w:val="24"/>
          <w:rtl/>
        </w:rPr>
        <w:t>ה</w:t>
      </w:r>
      <w:r w:rsidRPr="003C041A">
        <w:rPr>
          <w:rFonts w:cs="David" w:hint="cs"/>
          <w:sz w:val="24"/>
          <w:szCs w:val="24"/>
          <w:rtl/>
        </w:rPr>
        <w:t>פקוד</w:t>
      </w:r>
      <w:r w:rsidR="00F06842">
        <w:rPr>
          <w:rFonts w:cs="David" w:hint="cs"/>
          <w:sz w:val="24"/>
          <w:szCs w:val="24"/>
          <w:rtl/>
        </w:rPr>
        <w:t xml:space="preserve">ה: </w:t>
      </w:r>
    </w:p>
    <w:p w:rsidR="00C47820" w:rsidRDefault="00D00466" w:rsidP="00120C75">
      <w:pPr>
        <w:spacing w:after="120" w:line="360" w:lineRule="auto"/>
        <w:jc w:val="both"/>
        <w:rPr>
          <w:rFonts w:cs="David"/>
          <w:sz w:val="24"/>
          <w:szCs w:val="24"/>
          <w:rtl/>
        </w:rPr>
      </w:pPr>
      <w:r>
        <w:rPr>
          <w:rFonts w:cs="David" w:hint="cs"/>
          <w:sz w:val="24"/>
          <w:szCs w:val="24"/>
          <w:rtl/>
        </w:rPr>
        <w:t xml:space="preserve">(1) </w:t>
      </w:r>
      <w:r w:rsidR="003C041A" w:rsidRPr="005D032A">
        <w:rPr>
          <w:rFonts w:cs="David" w:hint="cs"/>
          <w:b/>
          <w:bCs/>
          <w:sz w:val="24"/>
          <w:szCs w:val="24"/>
          <w:rtl/>
        </w:rPr>
        <w:t xml:space="preserve">הצעת חוק לתיקון פקודת הנישואין והגירושין (רישום) (מס' 2) (רישום לנישואין של בני זוג יהודים), </w:t>
      </w:r>
      <w:proofErr w:type="spellStart"/>
      <w:r w:rsidR="003C041A" w:rsidRPr="005D032A">
        <w:rPr>
          <w:rFonts w:cs="David" w:hint="cs"/>
          <w:b/>
          <w:bCs/>
          <w:sz w:val="24"/>
          <w:szCs w:val="24"/>
          <w:rtl/>
        </w:rPr>
        <w:t>התשע"ב</w:t>
      </w:r>
      <w:proofErr w:type="spellEnd"/>
      <w:r w:rsidR="003C041A" w:rsidRPr="005D032A">
        <w:rPr>
          <w:rFonts w:cs="David" w:hint="cs"/>
          <w:b/>
          <w:bCs/>
          <w:sz w:val="24"/>
          <w:szCs w:val="24"/>
          <w:rtl/>
        </w:rPr>
        <w:t>–2012</w:t>
      </w:r>
      <w:r w:rsidR="003C041A" w:rsidRPr="005D032A">
        <w:rPr>
          <w:rFonts w:cs="David" w:hint="cs"/>
          <w:sz w:val="24"/>
          <w:szCs w:val="24"/>
          <w:rtl/>
        </w:rPr>
        <w:t xml:space="preserve"> של ח"כ (דאז) עתניאל שנלר</w:t>
      </w:r>
      <w:r w:rsidR="005D032A">
        <w:rPr>
          <w:rFonts w:cs="David" w:hint="cs"/>
          <w:sz w:val="24"/>
          <w:szCs w:val="24"/>
          <w:rtl/>
        </w:rPr>
        <w:t xml:space="preserve"> </w:t>
      </w:r>
      <w:r w:rsidR="0093639E">
        <w:rPr>
          <w:rFonts w:cs="David"/>
          <w:sz w:val="24"/>
          <w:szCs w:val="24"/>
          <w:rtl/>
        </w:rPr>
        <w:t>–</w:t>
      </w:r>
      <w:r w:rsidR="0093639E">
        <w:rPr>
          <w:rFonts w:cs="David" w:hint="cs"/>
          <w:sz w:val="24"/>
          <w:szCs w:val="24"/>
          <w:rtl/>
        </w:rPr>
        <w:t xml:space="preserve"> </w:t>
      </w:r>
      <w:r w:rsidR="005D032A">
        <w:rPr>
          <w:rFonts w:cs="David" w:hint="cs"/>
          <w:sz w:val="24"/>
          <w:szCs w:val="24"/>
          <w:rtl/>
        </w:rPr>
        <w:t>הצעת חוק זו</w:t>
      </w:r>
      <w:r w:rsidR="003C041A" w:rsidRPr="005D032A">
        <w:rPr>
          <w:rFonts w:cs="David" w:hint="cs"/>
          <w:sz w:val="24"/>
          <w:szCs w:val="24"/>
          <w:rtl/>
        </w:rPr>
        <w:t xml:space="preserve"> ביקשה לערוך שינוי מקיף בנושא הרישום לנישואין, </w:t>
      </w:r>
      <w:r w:rsidR="00ED5495" w:rsidRPr="005D032A">
        <w:rPr>
          <w:rFonts w:cs="David" w:hint="cs"/>
          <w:sz w:val="24"/>
          <w:szCs w:val="24"/>
          <w:rtl/>
        </w:rPr>
        <w:t xml:space="preserve">והציעה לקבוע </w:t>
      </w:r>
      <w:r w:rsidR="00F06842">
        <w:rPr>
          <w:rFonts w:cs="David" w:hint="cs"/>
          <w:sz w:val="24"/>
          <w:szCs w:val="24"/>
          <w:rtl/>
        </w:rPr>
        <w:t xml:space="preserve">הסדר חקיקתי מקיף שיכלול </w:t>
      </w:r>
      <w:r w:rsidR="00ED5495" w:rsidRPr="005D032A">
        <w:rPr>
          <w:rFonts w:cs="David" w:hint="cs"/>
          <w:sz w:val="24"/>
          <w:szCs w:val="24"/>
          <w:rtl/>
        </w:rPr>
        <w:t xml:space="preserve">הוראות בדבר </w:t>
      </w:r>
      <w:r w:rsidR="00A17A2A">
        <w:rPr>
          <w:rFonts w:cs="David" w:hint="cs"/>
          <w:sz w:val="24"/>
          <w:szCs w:val="24"/>
          <w:rtl/>
        </w:rPr>
        <w:t>ה</w:t>
      </w:r>
      <w:r w:rsidR="00ED5495" w:rsidRPr="005D032A">
        <w:rPr>
          <w:rFonts w:cs="David" w:hint="cs"/>
          <w:sz w:val="24"/>
          <w:szCs w:val="24"/>
          <w:rtl/>
        </w:rPr>
        <w:t xml:space="preserve">מקום </w:t>
      </w:r>
      <w:r w:rsidR="00A17A2A">
        <w:rPr>
          <w:rFonts w:cs="David" w:hint="cs"/>
          <w:sz w:val="24"/>
          <w:szCs w:val="24"/>
          <w:rtl/>
        </w:rPr>
        <w:t>שבו ניתן להירשם</w:t>
      </w:r>
      <w:r w:rsidR="00ED5495" w:rsidRPr="005D032A">
        <w:rPr>
          <w:rFonts w:cs="David" w:hint="cs"/>
          <w:sz w:val="24"/>
          <w:szCs w:val="24"/>
          <w:rtl/>
        </w:rPr>
        <w:t xml:space="preserve">, </w:t>
      </w:r>
      <w:r w:rsidR="00C47820">
        <w:rPr>
          <w:rFonts w:cs="David" w:hint="cs"/>
          <w:sz w:val="24"/>
          <w:szCs w:val="24"/>
          <w:rtl/>
        </w:rPr>
        <w:t xml:space="preserve">הסדרת פרוצדורת הרישום, </w:t>
      </w:r>
      <w:r w:rsidR="003C041A" w:rsidRPr="005D032A">
        <w:rPr>
          <w:rFonts w:cs="David" w:hint="cs"/>
          <w:sz w:val="24"/>
          <w:szCs w:val="24"/>
          <w:rtl/>
        </w:rPr>
        <w:t>הקמת מאגר מידע והסדרה מקיפה של סמכו</w:t>
      </w:r>
      <w:r w:rsidR="00F06842">
        <w:rPr>
          <w:rFonts w:cs="David" w:hint="cs"/>
          <w:sz w:val="24"/>
          <w:szCs w:val="24"/>
          <w:rtl/>
        </w:rPr>
        <w:t>יו</w:t>
      </w:r>
      <w:r w:rsidR="003C041A" w:rsidRPr="005D032A">
        <w:rPr>
          <w:rFonts w:cs="David" w:hint="cs"/>
          <w:sz w:val="24"/>
          <w:szCs w:val="24"/>
          <w:rtl/>
        </w:rPr>
        <w:t>ת</w:t>
      </w:r>
      <w:r w:rsidR="00F06842">
        <w:rPr>
          <w:rFonts w:cs="David" w:hint="cs"/>
          <w:sz w:val="24"/>
          <w:szCs w:val="24"/>
          <w:rtl/>
        </w:rPr>
        <w:t>יה</w:t>
      </w:r>
      <w:r w:rsidR="007967E3">
        <w:rPr>
          <w:rFonts w:cs="David" w:hint="cs"/>
          <w:sz w:val="24"/>
          <w:szCs w:val="24"/>
          <w:rtl/>
        </w:rPr>
        <w:t xml:space="preserve"> </w:t>
      </w:r>
      <w:r w:rsidR="00F06842">
        <w:rPr>
          <w:rFonts w:cs="David" w:hint="cs"/>
          <w:sz w:val="24"/>
          <w:szCs w:val="24"/>
          <w:rtl/>
        </w:rPr>
        <w:t xml:space="preserve">של </w:t>
      </w:r>
      <w:r w:rsidR="003C041A" w:rsidRPr="005D032A">
        <w:rPr>
          <w:rFonts w:cs="David" w:hint="cs"/>
          <w:sz w:val="24"/>
          <w:szCs w:val="24"/>
          <w:rtl/>
        </w:rPr>
        <w:t xml:space="preserve"> הרשות הרושמת.</w:t>
      </w:r>
      <w:r>
        <w:rPr>
          <w:rFonts w:cs="David" w:hint="cs"/>
          <w:sz w:val="24"/>
          <w:szCs w:val="24"/>
          <w:rtl/>
        </w:rPr>
        <w:t xml:space="preserve"> </w:t>
      </w:r>
      <w:r w:rsidR="003E1CC7" w:rsidRPr="003E1CC7">
        <w:rPr>
          <w:rFonts w:cs="David" w:hint="cs"/>
          <w:sz w:val="24"/>
          <w:szCs w:val="24"/>
          <w:rtl/>
        </w:rPr>
        <w:t xml:space="preserve">הצעת החוק עברה </w:t>
      </w:r>
      <w:r w:rsidR="00B41AA0">
        <w:rPr>
          <w:rFonts w:cs="David" w:hint="cs"/>
          <w:sz w:val="24"/>
          <w:szCs w:val="24"/>
          <w:rtl/>
        </w:rPr>
        <w:t xml:space="preserve">קריאה ראשונה </w:t>
      </w:r>
      <w:r w:rsidR="003E1CC7" w:rsidRPr="003E1CC7">
        <w:rPr>
          <w:rFonts w:cs="David" w:hint="cs"/>
          <w:sz w:val="24"/>
          <w:szCs w:val="24"/>
          <w:rtl/>
        </w:rPr>
        <w:t xml:space="preserve">בכנסת ה-18. לנוכח העובדה שחבר הכנסת (דאז) עתניאל שנלר היה המציע היחיד של הצעת החוק, והוא אינו מכהן כחבר בכנסת ה-19, לא ניתן היה להחיל דין רציפות על ההצעה, בהתאם להוראות ס' 3 לחוק רציפות הדיון בהצעות חוק, התשנ"ג-1993 (להלן </w:t>
      </w:r>
      <w:r w:rsidR="003E1CC7" w:rsidRPr="003E1CC7">
        <w:rPr>
          <w:rFonts w:cs="David"/>
          <w:sz w:val="24"/>
          <w:szCs w:val="24"/>
          <w:rtl/>
        </w:rPr>
        <w:t>–</w:t>
      </w:r>
      <w:r w:rsidR="003E1CC7" w:rsidRPr="003E1CC7">
        <w:rPr>
          <w:rFonts w:cs="David" w:hint="cs"/>
          <w:sz w:val="24"/>
          <w:szCs w:val="24"/>
          <w:rtl/>
        </w:rPr>
        <w:t xml:space="preserve"> "חוק הרציפות").</w:t>
      </w:r>
      <w:r w:rsidR="00B41AA0">
        <w:rPr>
          <w:rFonts w:cs="David" w:hint="cs"/>
          <w:sz w:val="24"/>
          <w:szCs w:val="24"/>
          <w:rtl/>
        </w:rPr>
        <w:t xml:space="preserve"> לפיכך, הצעת חוק זו אינה עומדת כרגע לדיון בפני הוועדה. </w:t>
      </w:r>
    </w:p>
    <w:p w:rsidR="00F06842" w:rsidRDefault="00D00466" w:rsidP="00B41AA0">
      <w:pPr>
        <w:spacing w:after="120" w:line="360" w:lineRule="auto"/>
        <w:jc w:val="both"/>
        <w:rPr>
          <w:rFonts w:cs="David"/>
          <w:sz w:val="24"/>
          <w:szCs w:val="24"/>
          <w:rtl/>
        </w:rPr>
      </w:pPr>
      <w:r w:rsidRPr="00D00466">
        <w:rPr>
          <w:rFonts w:cs="David" w:hint="cs"/>
          <w:sz w:val="24"/>
          <w:szCs w:val="24"/>
          <w:rtl/>
        </w:rPr>
        <w:t xml:space="preserve">(2) </w:t>
      </w:r>
      <w:r w:rsidR="003C041A" w:rsidRPr="00D00466">
        <w:rPr>
          <w:rFonts w:cs="David" w:hint="cs"/>
          <w:b/>
          <w:bCs/>
          <w:sz w:val="24"/>
          <w:szCs w:val="24"/>
          <w:rtl/>
        </w:rPr>
        <w:t>הצעת חוק לתיקון פקודת הנישואין והגירושין (רישום) (מס'</w:t>
      </w:r>
      <w:r w:rsidR="00DF2BE7">
        <w:rPr>
          <w:rFonts w:cs="David" w:hint="cs"/>
          <w:b/>
          <w:bCs/>
          <w:sz w:val="24"/>
          <w:szCs w:val="24"/>
          <w:rtl/>
        </w:rPr>
        <w:t xml:space="preserve"> 3</w:t>
      </w:r>
      <w:r w:rsidR="003C041A" w:rsidRPr="00D00466">
        <w:rPr>
          <w:rFonts w:cs="David" w:hint="cs"/>
          <w:b/>
          <w:bCs/>
          <w:sz w:val="24"/>
          <w:szCs w:val="24"/>
          <w:rtl/>
        </w:rPr>
        <w:t xml:space="preserve">) (רישום לנישואין של בני זוג יהודים), </w:t>
      </w:r>
      <w:proofErr w:type="spellStart"/>
      <w:r w:rsidR="003C041A" w:rsidRPr="00D00466">
        <w:rPr>
          <w:rFonts w:cs="David" w:hint="cs"/>
          <w:b/>
          <w:bCs/>
          <w:sz w:val="24"/>
          <w:szCs w:val="24"/>
          <w:rtl/>
        </w:rPr>
        <w:t>התשע"ב</w:t>
      </w:r>
      <w:proofErr w:type="spellEnd"/>
      <w:r w:rsidR="003C041A" w:rsidRPr="00D00466">
        <w:rPr>
          <w:rFonts w:cs="David" w:hint="cs"/>
          <w:b/>
          <w:bCs/>
          <w:sz w:val="24"/>
          <w:szCs w:val="24"/>
          <w:rtl/>
        </w:rPr>
        <w:t>–2012</w:t>
      </w:r>
      <w:r w:rsidR="003C041A" w:rsidRPr="00D00466">
        <w:rPr>
          <w:rFonts w:cs="David" w:hint="cs"/>
          <w:sz w:val="24"/>
          <w:szCs w:val="24"/>
          <w:rtl/>
        </w:rPr>
        <w:t xml:space="preserve"> של ח"כ (דאז) </w:t>
      </w:r>
      <w:proofErr w:type="spellStart"/>
      <w:r w:rsidR="003C041A" w:rsidRPr="00D00466">
        <w:rPr>
          <w:rFonts w:cs="David" w:hint="cs"/>
          <w:sz w:val="24"/>
          <w:szCs w:val="24"/>
          <w:rtl/>
        </w:rPr>
        <w:t>פ</w:t>
      </w:r>
      <w:r w:rsidR="00414472">
        <w:rPr>
          <w:rFonts w:cs="David" w:hint="cs"/>
          <w:sz w:val="24"/>
          <w:szCs w:val="24"/>
          <w:rtl/>
        </w:rPr>
        <w:t>אינ</w:t>
      </w:r>
      <w:r w:rsidR="003C041A" w:rsidRPr="00D00466">
        <w:rPr>
          <w:rFonts w:cs="David" w:hint="cs"/>
          <w:sz w:val="24"/>
          <w:szCs w:val="24"/>
          <w:rtl/>
        </w:rPr>
        <w:t>ה</w:t>
      </w:r>
      <w:proofErr w:type="spellEnd"/>
      <w:r w:rsidR="003C041A" w:rsidRPr="00D00466">
        <w:rPr>
          <w:rFonts w:cs="David" w:hint="cs"/>
          <w:sz w:val="24"/>
          <w:szCs w:val="24"/>
          <w:rtl/>
        </w:rPr>
        <w:t xml:space="preserve"> קירשנבאום, זאב </w:t>
      </w:r>
      <w:proofErr w:type="spellStart"/>
      <w:r w:rsidR="003C041A" w:rsidRPr="00D00466">
        <w:rPr>
          <w:rFonts w:cs="David" w:hint="cs"/>
          <w:sz w:val="24"/>
          <w:szCs w:val="24"/>
          <w:rtl/>
        </w:rPr>
        <w:t>אלקין</w:t>
      </w:r>
      <w:proofErr w:type="spellEnd"/>
      <w:r w:rsidR="003C041A" w:rsidRPr="00D00466">
        <w:rPr>
          <w:rFonts w:cs="David" w:hint="cs"/>
          <w:sz w:val="24"/>
          <w:szCs w:val="24"/>
          <w:rtl/>
        </w:rPr>
        <w:t xml:space="preserve">, איתן כבל ועינת </w:t>
      </w:r>
      <w:proofErr w:type="spellStart"/>
      <w:r w:rsidR="003C041A" w:rsidRPr="00D00466">
        <w:rPr>
          <w:rFonts w:cs="David" w:hint="cs"/>
          <w:sz w:val="24"/>
          <w:szCs w:val="24"/>
          <w:rtl/>
        </w:rPr>
        <w:t>וילף</w:t>
      </w:r>
      <w:proofErr w:type="spellEnd"/>
      <w:r w:rsidR="00F06842">
        <w:rPr>
          <w:rFonts w:cs="David" w:hint="cs"/>
          <w:sz w:val="24"/>
          <w:szCs w:val="24"/>
          <w:rtl/>
        </w:rPr>
        <w:t xml:space="preserve"> </w:t>
      </w:r>
      <w:r w:rsidR="00F06842">
        <w:rPr>
          <w:rFonts w:cs="David"/>
          <w:sz w:val="24"/>
          <w:szCs w:val="24"/>
          <w:rtl/>
        </w:rPr>
        <w:t>–</w:t>
      </w:r>
      <w:r w:rsidR="00F06842">
        <w:rPr>
          <w:rFonts w:cs="David" w:hint="cs"/>
          <w:sz w:val="24"/>
          <w:szCs w:val="24"/>
          <w:rtl/>
        </w:rPr>
        <w:t xml:space="preserve"> הצעת חוק זו ביקשה לקבוע כי נוסף על האפשרות להירשם במקום המגורים הקבוע של אחד מבני הזוג או במקום שבו אמורים להתקיים החופה והקידושין, בני זוג יהודיים יהיו רשאים להירשם גם בלשכה ארצית לרישום נישואין, בכל אחד מהיישובים האלה: אבן יהודה, באר שבע, בני ברק, גוש עציון, חיפה, ירושלים, נתיבות, נתניה, צפת, רחובות, רמת הגולן, רמת גן, שוהם ותל אביב. </w:t>
      </w:r>
    </w:p>
    <w:p w:rsidR="0093639E" w:rsidRDefault="00A17A2A" w:rsidP="00120C75">
      <w:pPr>
        <w:spacing w:after="120" w:line="360" w:lineRule="auto"/>
        <w:jc w:val="both"/>
        <w:rPr>
          <w:rFonts w:cs="David"/>
          <w:sz w:val="24"/>
          <w:szCs w:val="24"/>
          <w:rtl/>
        </w:rPr>
      </w:pPr>
      <w:r>
        <w:rPr>
          <w:rFonts w:cs="David" w:hint="cs"/>
          <w:sz w:val="24"/>
          <w:szCs w:val="24"/>
          <w:rtl/>
        </w:rPr>
        <w:lastRenderedPageBreak/>
        <w:t>ה</w:t>
      </w:r>
      <w:r w:rsidR="00414472">
        <w:rPr>
          <w:rFonts w:cs="David" w:hint="cs"/>
          <w:sz w:val="24"/>
          <w:szCs w:val="24"/>
          <w:rtl/>
        </w:rPr>
        <w:t xml:space="preserve">צעת החוק עברה </w:t>
      </w:r>
      <w:r>
        <w:rPr>
          <w:rFonts w:cs="David" w:hint="cs"/>
          <w:sz w:val="24"/>
          <w:szCs w:val="24"/>
          <w:rtl/>
        </w:rPr>
        <w:t xml:space="preserve">קריאה ראשונה </w:t>
      </w:r>
      <w:r w:rsidR="00414472">
        <w:rPr>
          <w:rFonts w:cs="David" w:hint="cs"/>
          <w:sz w:val="24"/>
          <w:szCs w:val="24"/>
          <w:rtl/>
        </w:rPr>
        <w:t xml:space="preserve">בכנסת ה-18. </w:t>
      </w:r>
      <w:r w:rsidR="00EC447B">
        <w:rPr>
          <w:rFonts w:cs="David" w:hint="cs"/>
          <w:sz w:val="24"/>
          <w:szCs w:val="24"/>
          <w:rtl/>
        </w:rPr>
        <w:t xml:space="preserve">ביום </w:t>
      </w:r>
      <w:r w:rsidR="00E067D6">
        <w:rPr>
          <w:rFonts w:cs="David" w:hint="cs"/>
          <w:sz w:val="24"/>
          <w:szCs w:val="24"/>
          <w:rtl/>
        </w:rPr>
        <w:t xml:space="preserve">כ"ג בתמוז </w:t>
      </w:r>
      <w:proofErr w:type="spellStart"/>
      <w:r w:rsidR="00E067D6">
        <w:rPr>
          <w:rFonts w:cs="David" w:hint="cs"/>
          <w:sz w:val="24"/>
          <w:szCs w:val="24"/>
          <w:rtl/>
        </w:rPr>
        <w:t>התשע"ג</w:t>
      </w:r>
      <w:proofErr w:type="spellEnd"/>
      <w:r w:rsidR="00E067D6">
        <w:rPr>
          <w:rFonts w:cs="David" w:hint="cs"/>
          <w:sz w:val="24"/>
          <w:szCs w:val="24"/>
          <w:rtl/>
        </w:rPr>
        <w:t xml:space="preserve"> (1 ביולי 2013), החילה מליאת הכנסת דין רציפות על הצעת החוק</w:t>
      </w:r>
      <w:r w:rsidR="00B41AA0" w:rsidRPr="005400E6">
        <w:rPr>
          <w:rStyle w:val="a3"/>
          <w:rFonts w:cs="David"/>
          <w:sz w:val="20"/>
          <w:szCs w:val="20"/>
          <w:rtl/>
        </w:rPr>
        <w:footnoteReference w:id="3"/>
      </w:r>
      <w:r w:rsidR="00120C75">
        <w:rPr>
          <w:rFonts w:cs="David" w:hint="cs"/>
          <w:sz w:val="24"/>
          <w:szCs w:val="24"/>
          <w:rtl/>
        </w:rPr>
        <w:t xml:space="preserve"> בהתאם להוראות חוק הרציפות,</w:t>
      </w:r>
      <w:r>
        <w:rPr>
          <w:rFonts w:cs="David" w:hint="cs"/>
          <w:sz w:val="24"/>
          <w:szCs w:val="24"/>
          <w:rtl/>
        </w:rPr>
        <w:t xml:space="preserve"> והצעת החוק עברה לוועדת החוקה, חוק ומשפט להכנה לקריאה שניה ושלישית</w:t>
      </w:r>
      <w:r w:rsidR="00E067D6">
        <w:rPr>
          <w:rFonts w:cs="David" w:hint="cs"/>
          <w:sz w:val="24"/>
          <w:szCs w:val="24"/>
          <w:rtl/>
        </w:rPr>
        <w:t>.</w:t>
      </w:r>
      <w:r>
        <w:rPr>
          <w:rFonts w:cs="David" w:hint="cs"/>
          <w:sz w:val="24"/>
          <w:szCs w:val="24"/>
          <w:rtl/>
        </w:rPr>
        <w:t xml:space="preserve"> </w:t>
      </w:r>
      <w:r w:rsidR="00B41AA0">
        <w:rPr>
          <w:rFonts w:cs="David" w:hint="cs"/>
          <w:sz w:val="24"/>
          <w:szCs w:val="24"/>
          <w:rtl/>
        </w:rPr>
        <w:t xml:space="preserve"> </w:t>
      </w:r>
    </w:p>
    <w:p w:rsidR="00A17A2A" w:rsidRDefault="00A17A2A" w:rsidP="00A17A2A">
      <w:pPr>
        <w:spacing w:after="120" w:line="360" w:lineRule="auto"/>
        <w:jc w:val="both"/>
        <w:rPr>
          <w:rFonts w:cs="David"/>
          <w:sz w:val="24"/>
          <w:szCs w:val="24"/>
          <w:rtl/>
        </w:rPr>
      </w:pPr>
      <w:r>
        <w:rPr>
          <w:rFonts w:cs="David" w:hint="cs"/>
          <w:sz w:val="24"/>
          <w:szCs w:val="24"/>
          <w:rtl/>
        </w:rPr>
        <w:t xml:space="preserve">בדברי ההסבר להצעת החוק נטען, כי לנוהג של רישום לנישואין במקום המגורים היה טעם כאשר רב העיר הכיר את בני עירו. אולם כיום, בשל גודל </w:t>
      </w:r>
      <w:proofErr w:type="spellStart"/>
      <w:r>
        <w:rPr>
          <w:rFonts w:cs="David" w:hint="cs"/>
          <w:sz w:val="24"/>
          <w:szCs w:val="24"/>
          <w:rtl/>
        </w:rPr>
        <w:t>האוכלוסיה</w:t>
      </w:r>
      <w:proofErr w:type="spellEnd"/>
      <w:r>
        <w:rPr>
          <w:rFonts w:cs="David" w:hint="cs"/>
          <w:sz w:val="24"/>
          <w:szCs w:val="24"/>
          <w:rtl/>
        </w:rPr>
        <w:t xml:space="preserve"> בערים, במרבית המקרים רב העיר רושם את בני הזוג לנישואין אף שהוא אינו מכיר אותם, ועל כן אין סיבה שלא להסמיכו לרשום לנישואין גם בני זוג שאינם תושבים בעירו. מטרת ההצעה, כך נטען, היא להקל על בני זוג להירשם לנישואין ולחסוך להם זמן יקר והוצאות נסיעה מיותרות.</w:t>
      </w:r>
    </w:p>
    <w:p w:rsidR="00A17A2A" w:rsidRDefault="00A17A2A" w:rsidP="00E12BE4">
      <w:pPr>
        <w:spacing w:after="120" w:line="360" w:lineRule="auto"/>
        <w:jc w:val="both"/>
        <w:rPr>
          <w:rFonts w:cs="David"/>
          <w:sz w:val="24"/>
          <w:szCs w:val="24"/>
          <w:rtl/>
        </w:rPr>
      </w:pPr>
    </w:p>
    <w:p w:rsidR="00A17A2A" w:rsidRPr="00A17A2A" w:rsidRDefault="00A17A2A" w:rsidP="000E4E05">
      <w:pPr>
        <w:spacing w:after="120" w:line="240" w:lineRule="auto"/>
        <w:jc w:val="both"/>
        <w:rPr>
          <w:rFonts w:cs="David"/>
          <w:b/>
          <w:bCs/>
          <w:sz w:val="24"/>
          <w:szCs w:val="24"/>
          <w:u w:val="single"/>
          <w:rtl/>
        </w:rPr>
      </w:pPr>
      <w:r w:rsidRPr="00A17A2A">
        <w:rPr>
          <w:rFonts w:cs="David" w:hint="cs"/>
          <w:b/>
          <w:bCs/>
          <w:sz w:val="24"/>
          <w:szCs w:val="24"/>
          <w:u w:val="single"/>
          <w:rtl/>
        </w:rPr>
        <w:t>נקודות לדיון</w:t>
      </w:r>
    </w:p>
    <w:p w:rsidR="00901097" w:rsidRPr="00ED0BB0" w:rsidRDefault="00057F05" w:rsidP="007B4725">
      <w:pPr>
        <w:spacing w:after="120" w:line="360" w:lineRule="auto"/>
        <w:jc w:val="both"/>
        <w:rPr>
          <w:rFonts w:cs="David"/>
          <w:sz w:val="24"/>
          <w:szCs w:val="24"/>
          <w:rtl/>
        </w:rPr>
      </w:pPr>
      <w:r w:rsidRPr="00ED0BB0">
        <w:rPr>
          <w:rFonts w:cs="David" w:hint="cs"/>
          <w:b/>
          <w:bCs/>
          <w:sz w:val="24"/>
          <w:szCs w:val="24"/>
          <w:rtl/>
        </w:rPr>
        <w:t>הגבלת מקומות הרישום</w:t>
      </w:r>
      <w:r w:rsidR="00A17A2A" w:rsidRPr="00ED0BB0">
        <w:rPr>
          <w:rFonts w:cs="David" w:hint="cs"/>
          <w:sz w:val="24"/>
          <w:szCs w:val="24"/>
          <w:rtl/>
        </w:rPr>
        <w:t xml:space="preserve"> </w:t>
      </w:r>
      <w:r w:rsidR="00A17A2A" w:rsidRPr="00ED0BB0">
        <w:rPr>
          <w:rFonts w:cs="David"/>
          <w:sz w:val="24"/>
          <w:szCs w:val="24"/>
          <w:rtl/>
        </w:rPr>
        <w:t>–</w:t>
      </w:r>
      <w:r w:rsidR="00A17A2A" w:rsidRPr="00ED0BB0">
        <w:rPr>
          <w:rFonts w:cs="David" w:hint="cs"/>
          <w:sz w:val="24"/>
          <w:szCs w:val="24"/>
          <w:rtl/>
        </w:rPr>
        <w:t xml:space="preserve"> </w:t>
      </w:r>
      <w:r w:rsidRPr="00ED0BB0">
        <w:rPr>
          <w:rFonts w:cs="David" w:hint="cs"/>
          <w:sz w:val="24"/>
          <w:szCs w:val="24"/>
          <w:rtl/>
        </w:rPr>
        <w:t xml:space="preserve">הצעת החוק כוללת </w:t>
      </w:r>
      <w:r w:rsidR="00901097" w:rsidRPr="00ED0BB0">
        <w:rPr>
          <w:rFonts w:cs="David" w:hint="cs"/>
          <w:sz w:val="24"/>
          <w:szCs w:val="24"/>
          <w:rtl/>
        </w:rPr>
        <w:t xml:space="preserve">14 נקודות רישום ארציות, שבני זוג יהיו רשאים להירשם בהם לנישואין, </w:t>
      </w:r>
      <w:r w:rsidR="007B4725" w:rsidRPr="00ED0BB0">
        <w:rPr>
          <w:rFonts w:cs="David" w:hint="cs"/>
          <w:sz w:val="24"/>
          <w:szCs w:val="24"/>
          <w:rtl/>
        </w:rPr>
        <w:t xml:space="preserve">נוסף על </w:t>
      </w:r>
      <w:r w:rsidR="00901097" w:rsidRPr="00ED0BB0">
        <w:rPr>
          <w:rFonts w:cs="David" w:hint="cs"/>
          <w:sz w:val="24"/>
          <w:szCs w:val="24"/>
          <w:rtl/>
        </w:rPr>
        <w:t xml:space="preserve">מקום המגורים הקבוע של אחד מבני הזוג או </w:t>
      </w:r>
      <w:r w:rsidR="007B4725" w:rsidRPr="00ED0BB0">
        <w:rPr>
          <w:rFonts w:cs="David" w:hint="cs"/>
          <w:sz w:val="24"/>
          <w:szCs w:val="24"/>
          <w:rtl/>
        </w:rPr>
        <w:t>ה</w:t>
      </w:r>
      <w:r w:rsidR="00901097" w:rsidRPr="00ED0BB0">
        <w:rPr>
          <w:rFonts w:cs="David" w:hint="cs"/>
          <w:sz w:val="24"/>
          <w:szCs w:val="24"/>
          <w:rtl/>
        </w:rPr>
        <w:t xml:space="preserve">מקום שבו אמורה להתקיים החתונה. לנוכח </w:t>
      </w:r>
      <w:proofErr w:type="spellStart"/>
      <w:r w:rsidR="00901097" w:rsidRPr="00ED0BB0">
        <w:rPr>
          <w:rFonts w:cs="David" w:hint="cs"/>
          <w:sz w:val="24"/>
          <w:szCs w:val="24"/>
          <w:rtl/>
        </w:rPr>
        <w:t>הרציונאל</w:t>
      </w:r>
      <w:proofErr w:type="spellEnd"/>
      <w:r w:rsidR="00901097" w:rsidRPr="00ED0BB0">
        <w:rPr>
          <w:rFonts w:cs="David" w:hint="cs"/>
          <w:sz w:val="24"/>
          <w:szCs w:val="24"/>
          <w:rtl/>
        </w:rPr>
        <w:t xml:space="preserve"> של הצעת החוק, כפי שבא לידי ביטוי בדברי ההסבר, מגבלה זו אינה ברורה. ככל שמוצדק לאפשר לבני זוג להירשם לנישואין אף מחוץ למקום מגוריהם, מדוע שלא לאפשר להם להירשם בכל מקום בישראל? </w:t>
      </w:r>
      <w:r w:rsidR="007B4725" w:rsidRPr="00ED0BB0">
        <w:rPr>
          <w:rFonts w:cs="David" w:hint="cs"/>
          <w:sz w:val="24"/>
          <w:szCs w:val="24"/>
          <w:rtl/>
        </w:rPr>
        <w:t>מה פשר המגבלה המוצעת, ומדוע דווקא 14 המקומות הללו?</w:t>
      </w:r>
    </w:p>
    <w:p w:rsidR="00A17A2A" w:rsidRPr="00D00466" w:rsidRDefault="00A17A2A" w:rsidP="00A17A2A">
      <w:pPr>
        <w:spacing w:after="120" w:line="360" w:lineRule="auto"/>
        <w:jc w:val="both"/>
        <w:rPr>
          <w:rFonts w:cs="David"/>
          <w:sz w:val="24"/>
          <w:szCs w:val="24"/>
          <w:rtl/>
        </w:rPr>
      </w:pPr>
    </w:p>
    <w:sectPr w:rsidR="00A17A2A" w:rsidRPr="00D00466" w:rsidSect="00DF2BE7">
      <w:pgSz w:w="11906" w:h="16838"/>
      <w:pgMar w:top="1440" w:right="1800" w:bottom="1440" w:left="180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190" w:rsidRDefault="006E6190" w:rsidP="003C041A">
      <w:pPr>
        <w:spacing w:after="0" w:line="240" w:lineRule="auto"/>
      </w:pPr>
      <w:r>
        <w:separator/>
      </w:r>
    </w:p>
  </w:endnote>
  <w:endnote w:type="continuationSeparator" w:id="0">
    <w:p w:rsidR="006E6190" w:rsidRDefault="006E6190" w:rsidP="003C0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auto"/>
    <w:pitch w:val="variable"/>
    <w:sig w:usb0="00000801" w:usb1="00000000" w:usb2="00000000" w:usb3="00000000" w:csb0="00000020" w:csb1="00000000"/>
  </w:font>
  <w:font w:name="Narkisi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190" w:rsidRDefault="006E6190" w:rsidP="003C041A">
      <w:pPr>
        <w:spacing w:after="0" w:line="240" w:lineRule="auto"/>
      </w:pPr>
      <w:r>
        <w:separator/>
      </w:r>
    </w:p>
  </w:footnote>
  <w:footnote w:type="continuationSeparator" w:id="0">
    <w:p w:rsidR="006E6190" w:rsidRDefault="006E6190" w:rsidP="003C041A">
      <w:pPr>
        <w:spacing w:after="0" w:line="240" w:lineRule="auto"/>
      </w:pPr>
      <w:r>
        <w:continuationSeparator/>
      </w:r>
    </w:p>
  </w:footnote>
  <w:footnote w:id="1">
    <w:p w:rsidR="007263C3" w:rsidRDefault="007263C3" w:rsidP="007D5B0F">
      <w:pPr>
        <w:pStyle w:val="a4"/>
        <w:rPr>
          <w:rtl/>
        </w:rPr>
      </w:pPr>
      <w:r>
        <w:rPr>
          <w:rStyle w:val="a3"/>
        </w:rPr>
        <w:footnoteRef/>
      </w:r>
      <w:r>
        <w:rPr>
          <w:rtl/>
        </w:rPr>
        <w:t xml:space="preserve"> </w:t>
      </w:r>
      <w:r w:rsidR="00EB6C3D">
        <w:rPr>
          <w:rFonts w:hint="cs"/>
          <w:rtl/>
        </w:rPr>
        <w:t>לעניין זה, קובע ס' 2 לפקודה כי "</w:t>
      </w:r>
      <w:r w:rsidR="00EB6C3D">
        <w:rPr>
          <w:rStyle w:val="default"/>
          <w:rFonts w:cs="David" w:hint="cs"/>
          <w:sz w:val="20"/>
          <w:szCs w:val="20"/>
          <w:rtl/>
        </w:rPr>
        <w:t>'</w:t>
      </w:r>
      <w:r w:rsidR="00EB6C3D" w:rsidRPr="00EB6C3D">
        <w:rPr>
          <w:rStyle w:val="default"/>
          <w:rFonts w:cs="David"/>
          <w:sz w:val="20"/>
          <w:szCs w:val="20"/>
          <w:rtl/>
        </w:rPr>
        <w:t>ה</w:t>
      </w:r>
      <w:r w:rsidR="00EB6C3D" w:rsidRPr="00EB6C3D">
        <w:rPr>
          <w:rStyle w:val="default"/>
          <w:rFonts w:cs="David" w:hint="cs"/>
          <w:sz w:val="20"/>
          <w:szCs w:val="20"/>
          <w:rtl/>
        </w:rPr>
        <w:t>רשות הרושמת</w:t>
      </w:r>
      <w:r w:rsidR="00EB6C3D">
        <w:rPr>
          <w:rStyle w:val="default"/>
          <w:rFonts w:cs="David" w:hint="cs"/>
          <w:sz w:val="20"/>
          <w:szCs w:val="20"/>
          <w:rtl/>
        </w:rPr>
        <w:t>'</w:t>
      </w:r>
      <w:r w:rsidR="00EB6C3D" w:rsidRPr="00EB6C3D">
        <w:rPr>
          <w:rStyle w:val="default"/>
          <w:rFonts w:cs="David" w:hint="cs"/>
          <w:sz w:val="20"/>
          <w:szCs w:val="20"/>
          <w:rtl/>
        </w:rPr>
        <w:t xml:space="preserve"> פירושה הפקיד המסדר את הקידושין, אם היו </w:t>
      </w:r>
      <w:proofErr w:type="spellStart"/>
      <w:r w:rsidR="00EB6C3D" w:rsidRPr="00EB6C3D">
        <w:rPr>
          <w:rStyle w:val="default"/>
          <w:rFonts w:cs="David" w:hint="cs"/>
          <w:sz w:val="20"/>
          <w:szCs w:val="20"/>
          <w:rtl/>
        </w:rPr>
        <w:t>הנשואין</w:t>
      </w:r>
      <w:proofErr w:type="spellEnd"/>
      <w:r w:rsidR="00EB6C3D" w:rsidRPr="00EB6C3D">
        <w:rPr>
          <w:rStyle w:val="default"/>
          <w:rFonts w:cs="David" w:hint="cs"/>
          <w:sz w:val="20"/>
          <w:szCs w:val="20"/>
          <w:rtl/>
        </w:rPr>
        <w:t xml:space="preserve"> </w:t>
      </w:r>
      <w:proofErr w:type="spellStart"/>
      <w:r w:rsidR="00EB6C3D" w:rsidRPr="00EB6C3D">
        <w:rPr>
          <w:rStyle w:val="default"/>
          <w:rFonts w:cs="David" w:hint="cs"/>
          <w:sz w:val="20"/>
          <w:szCs w:val="20"/>
          <w:rtl/>
        </w:rPr>
        <w:t>נשואין</w:t>
      </w:r>
      <w:proofErr w:type="spellEnd"/>
      <w:r w:rsidR="00EB6C3D" w:rsidRPr="00EB6C3D">
        <w:rPr>
          <w:rStyle w:val="default"/>
          <w:rFonts w:cs="David" w:hint="cs"/>
          <w:sz w:val="20"/>
          <w:szCs w:val="20"/>
          <w:rtl/>
        </w:rPr>
        <w:t xml:space="preserve"> אזרחיים, האימם, </w:t>
      </w:r>
      <w:proofErr w:type="spellStart"/>
      <w:r w:rsidR="00EB6C3D" w:rsidRPr="00EB6C3D">
        <w:rPr>
          <w:rStyle w:val="default"/>
          <w:rFonts w:cs="David" w:hint="cs"/>
          <w:sz w:val="20"/>
          <w:szCs w:val="20"/>
          <w:rtl/>
        </w:rPr>
        <w:t>בנשואין</w:t>
      </w:r>
      <w:proofErr w:type="spellEnd"/>
      <w:r w:rsidR="00EB6C3D" w:rsidRPr="00EB6C3D">
        <w:rPr>
          <w:rStyle w:val="default"/>
          <w:rFonts w:cs="David" w:hint="cs"/>
          <w:sz w:val="20"/>
          <w:szCs w:val="20"/>
          <w:rtl/>
        </w:rPr>
        <w:t xml:space="preserve"> לפי דת </w:t>
      </w:r>
      <w:proofErr w:type="spellStart"/>
      <w:r w:rsidR="00EB6C3D" w:rsidRPr="00EB6C3D">
        <w:rPr>
          <w:rStyle w:val="default"/>
          <w:rFonts w:cs="David" w:hint="cs"/>
          <w:sz w:val="20"/>
          <w:szCs w:val="20"/>
          <w:rtl/>
        </w:rPr>
        <w:t>האיסלם</w:t>
      </w:r>
      <w:proofErr w:type="spellEnd"/>
      <w:r w:rsidR="00EB6C3D" w:rsidRPr="00EB6C3D">
        <w:rPr>
          <w:rStyle w:val="default"/>
          <w:rFonts w:cs="David" w:hint="cs"/>
          <w:sz w:val="20"/>
          <w:szCs w:val="20"/>
          <w:rtl/>
        </w:rPr>
        <w:t xml:space="preserve">, הכומר </w:t>
      </w:r>
      <w:proofErr w:type="spellStart"/>
      <w:r w:rsidR="00EB6C3D" w:rsidRPr="00EB6C3D">
        <w:rPr>
          <w:rStyle w:val="default"/>
          <w:rFonts w:cs="David" w:hint="cs"/>
          <w:sz w:val="20"/>
          <w:szCs w:val="20"/>
          <w:rtl/>
        </w:rPr>
        <w:t>בנשואין</w:t>
      </w:r>
      <w:proofErr w:type="spellEnd"/>
      <w:r w:rsidR="00EB6C3D" w:rsidRPr="00EB6C3D">
        <w:rPr>
          <w:rStyle w:val="default"/>
          <w:rFonts w:cs="David"/>
          <w:sz w:val="20"/>
          <w:szCs w:val="20"/>
          <w:rtl/>
        </w:rPr>
        <w:t xml:space="preserve"> </w:t>
      </w:r>
      <w:r w:rsidR="00EB6C3D" w:rsidRPr="00EB6C3D">
        <w:rPr>
          <w:rStyle w:val="default"/>
          <w:rFonts w:cs="David" w:hint="cs"/>
          <w:sz w:val="20"/>
          <w:szCs w:val="20"/>
          <w:rtl/>
        </w:rPr>
        <w:t xml:space="preserve">לפי דת הנצרות, הרב, </w:t>
      </w:r>
      <w:proofErr w:type="spellStart"/>
      <w:r w:rsidR="00EB6C3D" w:rsidRPr="00EB6C3D">
        <w:rPr>
          <w:rStyle w:val="default"/>
          <w:rFonts w:cs="David" w:hint="cs"/>
          <w:sz w:val="20"/>
          <w:szCs w:val="20"/>
          <w:rtl/>
        </w:rPr>
        <w:t>בנשואין</w:t>
      </w:r>
      <w:proofErr w:type="spellEnd"/>
      <w:r w:rsidR="00EB6C3D" w:rsidRPr="00EB6C3D">
        <w:rPr>
          <w:rStyle w:val="default"/>
          <w:rFonts w:cs="David" w:hint="cs"/>
          <w:sz w:val="20"/>
          <w:szCs w:val="20"/>
          <w:rtl/>
        </w:rPr>
        <w:t xml:space="preserve"> לפי דיני ישראל </w:t>
      </w:r>
      <w:proofErr w:type="spellStart"/>
      <w:r w:rsidR="00EB6C3D" w:rsidRPr="00EB6C3D">
        <w:rPr>
          <w:rStyle w:val="default"/>
          <w:rFonts w:cs="David" w:hint="cs"/>
          <w:sz w:val="20"/>
          <w:szCs w:val="20"/>
          <w:rtl/>
        </w:rPr>
        <w:t>והשיך</w:t>
      </w:r>
      <w:proofErr w:type="spellEnd"/>
      <w:r w:rsidR="00EB6C3D" w:rsidRPr="00EB6C3D">
        <w:rPr>
          <w:rStyle w:val="default"/>
          <w:rFonts w:cs="David" w:hint="cs"/>
          <w:sz w:val="20"/>
          <w:szCs w:val="20"/>
          <w:rtl/>
        </w:rPr>
        <w:t xml:space="preserve"> </w:t>
      </w:r>
      <w:r w:rsidR="00EB6C3D">
        <w:rPr>
          <w:rStyle w:val="default"/>
          <w:rFonts w:cs="David" w:hint="cs"/>
          <w:sz w:val="20"/>
          <w:szCs w:val="20"/>
          <w:rtl/>
        </w:rPr>
        <w:t xml:space="preserve">של השבט, </w:t>
      </w:r>
      <w:proofErr w:type="spellStart"/>
      <w:r w:rsidR="00EB6C3D">
        <w:rPr>
          <w:rStyle w:val="default"/>
          <w:rFonts w:cs="David" w:hint="cs"/>
          <w:sz w:val="20"/>
          <w:szCs w:val="20"/>
          <w:rtl/>
        </w:rPr>
        <w:t>בנשואין</w:t>
      </w:r>
      <w:proofErr w:type="spellEnd"/>
      <w:r w:rsidR="00EB6C3D">
        <w:rPr>
          <w:rStyle w:val="default"/>
          <w:rFonts w:cs="David" w:hint="cs"/>
          <w:sz w:val="20"/>
          <w:szCs w:val="20"/>
          <w:rtl/>
        </w:rPr>
        <w:t xml:space="preserve"> לפי דת הדרוזים".</w:t>
      </w:r>
    </w:p>
  </w:footnote>
  <w:footnote w:id="2">
    <w:p w:rsidR="00BD5A08" w:rsidRDefault="00BD5A08" w:rsidP="00420622">
      <w:pPr>
        <w:pStyle w:val="a4"/>
        <w:rPr>
          <w:rtl/>
        </w:rPr>
      </w:pPr>
      <w:r>
        <w:rPr>
          <w:rStyle w:val="a3"/>
        </w:rPr>
        <w:footnoteRef/>
      </w:r>
      <w:r>
        <w:rPr>
          <w:rtl/>
        </w:rPr>
        <w:t xml:space="preserve"> </w:t>
      </w:r>
      <w:r w:rsidR="00420622">
        <w:rPr>
          <w:rFonts w:hint="cs"/>
          <w:rtl/>
        </w:rPr>
        <w:t xml:space="preserve">המשרד לענייני דתות, חוזר המנכ"ל, </w:t>
      </w:r>
      <w:proofErr w:type="spellStart"/>
      <w:r w:rsidR="00420622">
        <w:rPr>
          <w:rFonts w:hint="cs"/>
          <w:rtl/>
        </w:rPr>
        <w:t>סג</w:t>
      </w:r>
      <w:proofErr w:type="spellEnd"/>
      <w:r w:rsidR="00420622">
        <w:rPr>
          <w:rFonts w:hint="cs"/>
          <w:rtl/>
        </w:rPr>
        <w:t xml:space="preserve">/1 (טבת תשס"ג-דצמבר 2002), סעיף 730. </w:t>
      </w:r>
    </w:p>
  </w:footnote>
  <w:footnote w:id="3">
    <w:p w:rsidR="00B41AA0" w:rsidRDefault="00B41AA0" w:rsidP="00B41AA0">
      <w:pPr>
        <w:pStyle w:val="a4"/>
      </w:pPr>
      <w:r>
        <w:rPr>
          <w:rStyle w:val="a3"/>
        </w:rPr>
        <w:footnoteRef/>
      </w:r>
      <w:r>
        <w:rPr>
          <w:rtl/>
        </w:rPr>
        <w:t xml:space="preserve"> </w:t>
      </w:r>
      <w:r w:rsidRPr="00E067D6">
        <w:rPr>
          <w:rFonts w:hint="cs"/>
          <w:sz w:val="20"/>
          <w:rtl/>
        </w:rPr>
        <w:t>מתוך המציעים רשאי היה להביע הסכמה להחלת דין רציפות רק חבר הכנסת איתן כבל (יתר המציעים הם סגני שרים או שאינם מכהנים עוד בכנסת).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949C1"/>
    <w:multiLevelType w:val="hybridMultilevel"/>
    <w:tmpl w:val="E5EAE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E02F4B"/>
    <w:multiLevelType w:val="hybridMultilevel"/>
    <w:tmpl w:val="1FB6CA0E"/>
    <w:lvl w:ilvl="0" w:tplc="7EA03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CC2"/>
    <w:rsid w:val="000106EC"/>
    <w:rsid w:val="00057F05"/>
    <w:rsid w:val="00080444"/>
    <w:rsid w:val="000E4E05"/>
    <w:rsid w:val="000E71EB"/>
    <w:rsid w:val="000F2FA4"/>
    <w:rsid w:val="00114653"/>
    <w:rsid w:val="00120C75"/>
    <w:rsid w:val="00156565"/>
    <w:rsid w:val="00167704"/>
    <w:rsid w:val="00176DDC"/>
    <w:rsid w:val="001C38AA"/>
    <w:rsid w:val="00220770"/>
    <w:rsid w:val="00236732"/>
    <w:rsid w:val="002770CA"/>
    <w:rsid w:val="002A2E7F"/>
    <w:rsid w:val="00365F1F"/>
    <w:rsid w:val="003C041A"/>
    <w:rsid w:val="003E1CC7"/>
    <w:rsid w:val="00414472"/>
    <w:rsid w:val="00420622"/>
    <w:rsid w:val="00454A4A"/>
    <w:rsid w:val="00465EC2"/>
    <w:rsid w:val="004E48C8"/>
    <w:rsid w:val="004E4FCF"/>
    <w:rsid w:val="005400E6"/>
    <w:rsid w:val="00580F85"/>
    <w:rsid w:val="005A25E7"/>
    <w:rsid w:val="005D032A"/>
    <w:rsid w:val="005E1382"/>
    <w:rsid w:val="006D7D44"/>
    <w:rsid w:val="006E6190"/>
    <w:rsid w:val="007263C3"/>
    <w:rsid w:val="0073116C"/>
    <w:rsid w:val="00736A52"/>
    <w:rsid w:val="00793057"/>
    <w:rsid w:val="007967E3"/>
    <w:rsid w:val="007B4725"/>
    <w:rsid w:val="007B68A2"/>
    <w:rsid w:val="007D5B0F"/>
    <w:rsid w:val="008038C8"/>
    <w:rsid w:val="00890136"/>
    <w:rsid w:val="00901097"/>
    <w:rsid w:val="00911BD6"/>
    <w:rsid w:val="0093639E"/>
    <w:rsid w:val="00A07F5D"/>
    <w:rsid w:val="00A17A2A"/>
    <w:rsid w:val="00A33A10"/>
    <w:rsid w:val="00A546FA"/>
    <w:rsid w:val="00A77BFF"/>
    <w:rsid w:val="00B41AA0"/>
    <w:rsid w:val="00B44021"/>
    <w:rsid w:val="00B64F48"/>
    <w:rsid w:val="00BD5A08"/>
    <w:rsid w:val="00BE5CC2"/>
    <w:rsid w:val="00C05814"/>
    <w:rsid w:val="00C344CD"/>
    <w:rsid w:val="00C47820"/>
    <w:rsid w:val="00C92681"/>
    <w:rsid w:val="00CA508E"/>
    <w:rsid w:val="00D00466"/>
    <w:rsid w:val="00D42740"/>
    <w:rsid w:val="00D86136"/>
    <w:rsid w:val="00DB233C"/>
    <w:rsid w:val="00DC71DA"/>
    <w:rsid w:val="00DE417C"/>
    <w:rsid w:val="00DE56B4"/>
    <w:rsid w:val="00DF2BE7"/>
    <w:rsid w:val="00E067D6"/>
    <w:rsid w:val="00E07946"/>
    <w:rsid w:val="00E12BE4"/>
    <w:rsid w:val="00EB6C3D"/>
    <w:rsid w:val="00EC447B"/>
    <w:rsid w:val="00EC57E3"/>
    <w:rsid w:val="00ED0BB0"/>
    <w:rsid w:val="00ED5495"/>
    <w:rsid w:val="00F06842"/>
    <w:rsid w:val="00F360B6"/>
    <w:rsid w:val="00F47345"/>
    <w:rsid w:val="00F559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sber">
    <w:name w:val="Hesber"/>
    <w:basedOn w:val="a"/>
    <w:rsid w:val="003C041A"/>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Writers">
    <w:name w:val="Hesber Writers"/>
    <w:basedOn w:val="Hesber"/>
    <w:rsid w:val="003C041A"/>
    <w:pPr>
      <w:spacing w:before="120" w:after="6000"/>
      <w:ind w:left="1418" w:firstLine="0"/>
      <w:jc w:val="right"/>
    </w:pPr>
    <w:rPr>
      <w:b/>
      <w:bCs/>
    </w:rPr>
  </w:style>
  <w:style w:type="character" w:styleId="a3">
    <w:name w:val="footnote reference"/>
    <w:uiPriority w:val="99"/>
    <w:semiHidden/>
    <w:rsid w:val="003C041A"/>
    <w:rPr>
      <w:vertAlign w:val="superscript"/>
    </w:rPr>
  </w:style>
  <w:style w:type="paragraph" w:styleId="a4">
    <w:name w:val="footnote text"/>
    <w:basedOn w:val="a"/>
    <w:link w:val="a5"/>
    <w:autoRedefine/>
    <w:uiPriority w:val="99"/>
    <w:semiHidden/>
    <w:rsid w:val="007967E3"/>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uiPriority w:val="99"/>
    <w:semiHidden/>
    <w:rsid w:val="007967E3"/>
    <w:rPr>
      <w:rFonts w:ascii="Arial" w:eastAsia="Arial Unicode MS" w:hAnsi="Arial" w:cs="David"/>
      <w:snapToGrid w:val="0"/>
      <w:color w:val="000000"/>
      <w:sz w:val="14"/>
      <w:szCs w:val="20"/>
      <w:lang w:eastAsia="ja-JP"/>
    </w:rPr>
  </w:style>
  <w:style w:type="paragraph" w:customStyle="1" w:styleId="HeadHatzaotHok">
    <w:name w:val="Head HatzaotHok"/>
    <w:basedOn w:val="a"/>
    <w:rsid w:val="003C041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6">
    <w:name w:val="List Paragraph"/>
    <w:basedOn w:val="a"/>
    <w:uiPriority w:val="34"/>
    <w:qFormat/>
    <w:rsid w:val="003C041A"/>
    <w:pPr>
      <w:ind w:left="720"/>
      <w:contextualSpacing/>
    </w:pPr>
  </w:style>
  <w:style w:type="paragraph" w:customStyle="1" w:styleId="TableText">
    <w:name w:val="Table Text"/>
    <w:basedOn w:val="a"/>
    <w:rsid w:val="00ED5495"/>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ED5495"/>
    <w:pPr>
      <w:ind w:right="0"/>
      <w:jc w:val="both"/>
    </w:pPr>
  </w:style>
  <w:style w:type="paragraph" w:customStyle="1" w:styleId="TableSideHeading">
    <w:name w:val="Table SideHeading"/>
    <w:basedOn w:val="TableText"/>
    <w:rsid w:val="00ED5495"/>
  </w:style>
  <w:style w:type="paragraph" w:customStyle="1" w:styleId="TableInnerSideHeading">
    <w:name w:val="Table InnerSideHeading"/>
    <w:basedOn w:val="TableSideHeading"/>
    <w:rsid w:val="00ED5495"/>
  </w:style>
  <w:style w:type="paragraph" w:customStyle="1" w:styleId="big-header">
    <w:name w:val="big-header"/>
    <w:basedOn w:val="a"/>
    <w:rsid w:val="00C4782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rsid w:val="00C4782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C47820"/>
    <w:rPr>
      <w:rFonts w:ascii="Times New Roman" w:hAnsi="Times New Roman" w:cs="Times New Roman"/>
      <w:sz w:val="26"/>
      <w:szCs w:val="26"/>
    </w:rPr>
  </w:style>
  <w:style w:type="character" w:customStyle="1" w:styleId="big-number">
    <w:name w:val="big-number"/>
    <w:rsid w:val="00C47820"/>
    <w:rPr>
      <w:rFonts w:ascii="Times New Roman" w:hAnsi="Times New Roman" w:cs="Times New Roman"/>
      <w:sz w:val="32"/>
      <w:szCs w:val="32"/>
    </w:rPr>
  </w:style>
  <w:style w:type="paragraph" w:customStyle="1" w:styleId="footnote">
    <w:name w:val="footnote"/>
    <w:basedOn w:val="P00"/>
    <w:rsid w:val="00C47820"/>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rsid w:val="00C4782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sber">
    <w:name w:val="Hesber"/>
    <w:basedOn w:val="a"/>
    <w:rsid w:val="003C041A"/>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Writers">
    <w:name w:val="Hesber Writers"/>
    <w:basedOn w:val="Hesber"/>
    <w:rsid w:val="003C041A"/>
    <w:pPr>
      <w:spacing w:before="120" w:after="6000"/>
      <w:ind w:left="1418" w:firstLine="0"/>
      <w:jc w:val="right"/>
    </w:pPr>
    <w:rPr>
      <w:b/>
      <w:bCs/>
    </w:rPr>
  </w:style>
  <w:style w:type="character" w:styleId="a3">
    <w:name w:val="footnote reference"/>
    <w:uiPriority w:val="99"/>
    <w:semiHidden/>
    <w:rsid w:val="003C041A"/>
    <w:rPr>
      <w:vertAlign w:val="superscript"/>
    </w:rPr>
  </w:style>
  <w:style w:type="paragraph" w:styleId="a4">
    <w:name w:val="footnote text"/>
    <w:basedOn w:val="a"/>
    <w:link w:val="a5"/>
    <w:autoRedefine/>
    <w:uiPriority w:val="99"/>
    <w:semiHidden/>
    <w:rsid w:val="007967E3"/>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uiPriority w:val="99"/>
    <w:semiHidden/>
    <w:rsid w:val="007967E3"/>
    <w:rPr>
      <w:rFonts w:ascii="Arial" w:eastAsia="Arial Unicode MS" w:hAnsi="Arial" w:cs="David"/>
      <w:snapToGrid w:val="0"/>
      <w:color w:val="000000"/>
      <w:sz w:val="14"/>
      <w:szCs w:val="20"/>
      <w:lang w:eastAsia="ja-JP"/>
    </w:rPr>
  </w:style>
  <w:style w:type="paragraph" w:customStyle="1" w:styleId="HeadHatzaotHok">
    <w:name w:val="Head HatzaotHok"/>
    <w:basedOn w:val="a"/>
    <w:rsid w:val="003C041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6">
    <w:name w:val="List Paragraph"/>
    <w:basedOn w:val="a"/>
    <w:uiPriority w:val="34"/>
    <w:qFormat/>
    <w:rsid w:val="003C041A"/>
    <w:pPr>
      <w:ind w:left="720"/>
      <w:contextualSpacing/>
    </w:pPr>
  </w:style>
  <w:style w:type="paragraph" w:customStyle="1" w:styleId="TableText">
    <w:name w:val="Table Text"/>
    <w:basedOn w:val="a"/>
    <w:rsid w:val="00ED5495"/>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ED5495"/>
    <w:pPr>
      <w:ind w:right="0"/>
      <w:jc w:val="both"/>
    </w:pPr>
  </w:style>
  <w:style w:type="paragraph" w:customStyle="1" w:styleId="TableSideHeading">
    <w:name w:val="Table SideHeading"/>
    <w:basedOn w:val="TableText"/>
    <w:rsid w:val="00ED5495"/>
  </w:style>
  <w:style w:type="paragraph" w:customStyle="1" w:styleId="TableInnerSideHeading">
    <w:name w:val="Table InnerSideHeading"/>
    <w:basedOn w:val="TableSideHeading"/>
    <w:rsid w:val="00ED5495"/>
  </w:style>
  <w:style w:type="paragraph" w:customStyle="1" w:styleId="big-header">
    <w:name w:val="big-header"/>
    <w:basedOn w:val="a"/>
    <w:rsid w:val="00C4782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rsid w:val="00C4782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C47820"/>
    <w:rPr>
      <w:rFonts w:ascii="Times New Roman" w:hAnsi="Times New Roman" w:cs="Times New Roman"/>
      <w:sz w:val="26"/>
      <w:szCs w:val="26"/>
    </w:rPr>
  </w:style>
  <w:style w:type="character" w:customStyle="1" w:styleId="big-number">
    <w:name w:val="big-number"/>
    <w:rsid w:val="00C47820"/>
    <w:rPr>
      <w:rFonts w:ascii="Times New Roman" w:hAnsi="Times New Roman" w:cs="Times New Roman"/>
      <w:sz w:val="32"/>
      <w:szCs w:val="32"/>
    </w:rPr>
  </w:style>
  <w:style w:type="paragraph" w:customStyle="1" w:styleId="footnote">
    <w:name w:val="footnote"/>
    <w:basedOn w:val="P00"/>
    <w:rsid w:val="00C47820"/>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rsid w:val="00C478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907F6-5F96-4660-8DDB-E585B9A08A0C}"/>
</file>

<file path=customXml/itemProps2.xml><?xml version="1.0" encoding="utf-8"?>
<ds:datastoreItem xmlns:ds="http://schemas.openxmlformats.org/officeDocument/2006/customXml" ds:itemID="{8F0746B3-BCA8-4D6C-A540-7CFBD0D49D57}"/>
</file>

<file path=customXml/itemProps3.xml><?xml version="1.0" encoding="utf-8"?>
<ds:datastoreItem xmlns:ds="http://schemas.openxmlformats.org/officeDocument/2006/customXml" ds:itemID="{DCB54958-34C6-4E0C-9B04-C797FB012F8F}"/>
</file>

<file path=docProps/app.xml><?xml version="1.0" encoding="utf-8"?>
<Properties xmlns="http://schemas.openxmlformats.org/officeDocument/2006/extended-properties" xmlns:vt="http://schemas.openxmlformats.org/officeDocument/2006/docPropsVTypes">
  <Template>Normal.dotm</Template>
  <TotalTime>1</TotalTime>
  <Pages>2</Pages>
  <Words>513</Words>
  <Characters>2568</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אלעזר שטרן</dc:creator>
  <cp:lastModifiedBy>User</cp:lastModifiedBy>
  <cp:revision>2</cp:revision>
  <dcterms:created xsi:type="dcterms:W3CDTF">2013-07-04T07:25:00Z</dcterms:created>
  <dcterms:modified xsi:type="dcterms:W3CDTF">2013-07-04T07:25:00Z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