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96A" w:rsidRDefault="00DA496A" w:rsidP="00DA496A">
      <w:pPr>
        <w:spacing w:line="360" w:lineRule="auto"/>
        <w:jc w:val="center"/>
        <w:rPr>
          <w:b/>
          <w:bCs/>
          <w:sz w:val="32"/>
          <w:szCs w:val="32"/>
          <w:u w:val="single"/>
          <w:rtl/>
        </w:rPr>
      </w:pPr>
      <w:r w:rsidRPr="00365140">
        <w:rPr>
          <w:rFonts w:hint="cs"/>
          <w:b/>
          <w:bCs/>
          <w:sz w:val="32"/>
          <w:szCs w:val="32"/>
          <w:u w:val="single"/>
          <w:rtl/>
        </w:rPr>
        <w:t>תקנות תכנון משק החלב (</w:t>
      </w:r>
      <w:r>
        <w:rPr>
          <w:rFonts w:hint="cs"/>
          <w:b/>
          <w:bCs/>
          <w:sz w:val="32"/>
          <w:szCs w:val="32"/>
          <w:u w:val="single"/>
          <w:rtl/>
        </w:rPr>
        <w:t xml:space="preserve">קביעת </w:t>
      </w:r>
      <w:r w:rsidRPr="00365140">
        <w:rPr>
          <w:rFonts w:hint="cs"/>
          <w:b/>
          <w:bCs/>
          <w:sz w:val="32"/>
          <w:szCs w:val="32"/>
          <w:u w:val="single"/>
          <w:rtl/>
        </w:rPr>
        <w:t xml:space="preserve">מכסות חלב), </w:t>
      </w:r>
      <w:proofErr w:type="spellStart"/>
      <w:r w:rsidRPr="00365140">
        <w:rPr>
          <w:rFonts w:hint="cs"/>
          <w:b/>
          <w:bCs/>
          <w:sz w:val="32"/>
          <w:szCs w:val="32"/>
          <w:u w:val="single"/>
          <w:rtl/>
        </w:rPr>
        <w:t>התש</w:t>
      </w:r>
      <w:r>
        <w:rPr>
          <w:rFonts w:hint="cs"/>
          <w:b/>
          <w:bCs/>
          <w:sz w:val="32"/>
          <w:szCs w:val="32"/>
          <w:u w:val="single"/>
          <w:rtl/>
        </w:rPr>
        <w:t>ע</w:t>
      </w:r>
      <w:r w:rsidRPr="00365140">
        <w:rPr>
          <w:rFonts w:hint="cs"/>
          <w:b/>
          <w:bCs/>
          <w:sz w:val="32"/>
          <w:szCs w:val="32"/>
          <w:u w:val="single"/>
          <w:rtl/>
        </w:rPr>
        <w:t>"</w:t>
      </w:r>
      <w:r>
        <w:rPr>
          <w:rFonts w:hint="cs"/>
          <w:b/>
          <w:bCs/>
          <w:sz w:val="32"/>
          <w:szCs w:val="32"/>
          <w:u w:val="single"/>
          <w:rtl/>
        </w:rPr>
        <w:t>ד</w:t>
      </w:r>
      <w:proofErr w:type="spellEnd"/>
      <w:r w:rsidRPr="00365140">
        <w:rPr>
          <w:rFonts w:hint="cs"/>
          <w:b/>
          <w:bCs/>
          <w:sz w:val="32"/>
          <w:szCs w:val="32"/>
          <w:u w:val="single"/>
          <w:rtl/>
        </w:rPr>
        <w:t xml:space="preserve"> </w:t>
      </w:r>
      <w:r>
        <w:rPr>
          <w:b/>
          <w:bCs/>
          <w:sz w:val="32"/>
          <w:szCs w:val="32"/>
          <w:u w:val="single"/>
          <w:rtl/>
        </w:rPr>
        <w:t>–</w:t>
      </w:r>
      <w:r w:rsidRPr="00365140">
        <w:rPr>
          <w:rFonts w:hint="cs"/>
          <w:b/>
          <w:bCs/>
          <w:sz w:val="32"/>
          <w:szCs w:val="32"/>
          <w:u w:val="single"/>
          <w:rtl/>
        </w:rPr>
        <w:t xml:space="preserve"> 201</w:t>
      </w:r>
      <w:r>
        <w:rPr>
          <w:rFonts w:hint="cs"/>
          <w:b/>
          <w:bCs/>
          <w:sz w:val="32"/>
          <w:szCs w:val="32"/>
          <w:u w:val="single"/>
          <w:rtl/>
        </w:rPr>
        <w:t>3</w:t>
      </w:r>
    </w:p>
    <w:p w:rsidR="00DA496A" w:rsidRDefault="00DA496A" w:rsidP="00DA496A">
      <w:pPr>
        <w:spacing w:line="360" w:lineRule="auto"/>
        <w:jc w:val="center"/>
        <w:rPr>
          <w:rFonts w:hint="cs"/>
          <w:b/>
          <w:bCs/>
          <w:sz w:val="32"/>
          <w:szCs w:val="32"/>
          <w:highlight w:val="yellow"/>
          <w:u w:val="single"/>
          <w:rtl/>
        </w:rPr>
      </w:pPr>
      <w:r w:rsidRPr="009A60F2">
        <w:rPr>
          <w:rFonts w:hint="cs"/>
          <w:b/>
          <w:bCs/>
          <w:sz w:val="32"/>
          <w:szCs w:val="32"/>
          <w:highlight w:val="yellow"/>
          <w:u w:val="single"/>
          <w:rtl/>
        </w:rPr>
        <w:t xml:space="preserve">נוסח לדיון ביום </w:t>
      </w:r>
      <w:r>
        <w:rPr>
          <w:rFonts w:hint="cs"/>
          <w:b/>
          <w:bCs/>
          <w:sz w:val="32"/>
          <w:szCs w:val="32"/>
          <w:highlight w:val="yellow"/>
          <w:u w:val="single"/>
          <w:rtl/>
        </w:rPr>
        <w:t>24.3.14</w:t>
      </w:r>
    </w:p>
    <w:tbl>
      <w:tblPr>
        <w:bidiVisual/>
        <w:tblW w:w="9690" w:type="dxa"/>
        <w:tblInd w:w="-24" w:type="dxa"/>
        <w:tblCellMar>
          <w:left w:w="0" w:type="dxa"/>
          <w:right w:w="0" w:type="dxa"/>
        </w:tblCellMar>
        <w:tblLook w:val="04A0" w:firstRow="1" w:lastRow="0" w:firstColumn="1" w:lastColumn="0" w:noHBand="0" w:noVBand="1"/>
      </w:tblPr>
      <w:tblGrid>
        <w:gridCol w:w="1872"/>
        <w:gridCol w:w="663"/>
        <w:gridCol w:w="7155"/>
      </w:tblGrid>
      <w:tr w:rsidR="00DA496A" w:rsidTr="00DA496A">
        <w:trPr>
          <w:trHeight w:val="63"/>
        </w:trPr>
        <w:tc>
          <w:tcPr>
            <w:tcW w:w="1872" w:type="dxa"/>
            <w:tcMar>
              <w:top w:w="0" w:type="dxa"/>
              <w:left w:w="108" w:type="dxa"/>
              <w:bottom w:w="0" w:type="dxa"/>
              <w:right w:w="108" w:type="dxa"/>
            </w:tcMar>
            <w:hideMark/>
          </w:tcPr>
          <w:p w:rsidR="00DA496A" w:rsidRPr="00345208" w:rsidRDefault="00DA496A" w:rsidP="00DA496A">
            <w:pPr>
              <w:pStyle w:val="tablesideheading"/>
              <w:bidi/>
              <w:spacing w:line="360" w:lineRule="auto"/>
              <w:rPr>
                <w:rFonts w:cs="David"/>
                <w:sz w:val="26"/>
                <w:szCs w:val="26"/>
                <w:rtl/>
              </w:rPr>
            </w:pPr>
            <w:r>
              <w:rPr>
                <w:rFonts w:cs="David" w:hint="cs"/>
                <w:sz w:val="26"/>
                <w:szCs w:val="26"/>
                <w:rtl/>
              </w:rPr>
              <w:t>איסור על שותפות בין יצרנים מסוגים שונים</w:t>
            </w:r>
          </w:p>
          <w:p w:rsidR="00DA496A" w:rsidRPr="00345208" w:rsidRDefault="00DA496A" w:rsidP="00DA496A">
            <w:pPr>
              <w:pStyle w:val="tablesideheading"/>
              <w:bidi/>
              <w:spacing w:line="360" w:lineRule="auto"/>
              <w:rPr>
                <w:rFonts w:cs="David"/>
                <w:sz w:val="26"/>
                <w:szCs w:val="26"/>
              </w:rPr>
            </w:pPr>
            <w:r w:rsidRPr="00345208">
              <w:rPr>
                <w:rFonts w:cs="David" w:hint="cs"/>
                <w:sz w:val="26"/>
                <w:szCs w:val="26"/>
                <w:rtl/>
              </w:rPr>
              <w:t> </w:t>
            </w:r>
          </w:p>
        </w:tc>
        <w:tc>
          <w:tcPr>
            <w:tcW w:w="663" w:type="dxa"/>
            <w:tcMar>
              <w:top w:w="0" w:type="dxa"/>
              <w:left w:w="108" w:type="dxa"/>
              <w:bottom w:w="0" w:type="dxa"/>
              <w:right w:w="108" w:type="dxa"/>
            </w:tcMar>
            <w:hideMark/>
          </w:tcPr>
          <w:p w:rsidR="00DA496A" w:rsidRPr="00345208" w:rsidRDefault="00DA496A" w:rsidP="00DA496A">
            <w:pPr>
              <w:pStyle w:val="tabletext"/>
              <w:bidi/>
              <w:spacing w:line="360" w:lineRule="auto"/>
              <w:rPr>
                <w:rFonts w:cs="David"/>
                <w:sz w:val="26"/>
                <w:szCs w:val="26"/>
              </w:rPr>
            </w:pPr>
            <w:r>
              <w:rPr>
                <w:rFonts w:cs="David" w:hint="cs"/>
                <w:sz w:val="26"/>
                <w:szCs w:val="26"/>
                <w:rtl/>
              </w:rPr>
              <w:t xml:space="preserve">17א. </w:t>
            </w:r>
          </w:p>
        </w:tc>
        <w:tc>
          <w:tcPr>
            <w:tcW w:w="7155" w:type="dxa"/>
            <w:tcMar>
              <w:top w:w="0" w:type="dxa"/>
              <w:left w:w="108" w:type="dxa"/>
              <w:bottom w:w="0" w:type="dxa"/>
              <w:right w:w="108" w:type="dxa"/>
            </w:tcMar>
            <w:hideMark/>
          </w:tcPr>
          <w:p w:rsidR="00DA496A" w:rsidRPr="00345208" w:rsidRDefault="00DA496A" w:rsidP="00DA496A">
            <w:pPr>
              <w:pStyle w:val="tablehead"/>
              <w:bidi/>
              <w:spacing w:line="360" w:lineRule="auto"/>
              <w:jc w:val="both"/>
              <w:rPr>
                <w:rFonts w:cs="David"/>
                <w:sz w:val="26"/>
                <w:szCs w:val="26"/>
              </w:rPr>
            </w:pPr>
            <w:r>
              <w:rPr>
                <w:rFonts w:cs="David" w:hint="cs"/>
                <w:sz w:val="26"/>
                <w:szCs w:val="26"/>
                <w:rtl/>
              </w:rPr>
              <w:t xml:space="preserve">ועדת המכסות לא תתיר שותפות לייצור חלב בין יצרן יחיד ליצרן שהוא אגודה שיתופית.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rPr>
                <w:rtl/>
              </w:rPr>
            </w:pPr>
            <w:r>
              <w:rPr>
                <w:rFonts w:cs="David" w:hint="cs"/>
                <w:sz w:val="26"/>
                <w:szCs w:val="26"/>
                <w:rtl/>
              </w:rPr>
              <w:t>הגבלת מספר השותפים</w:t>
            </w:r>
          </w:p>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cs="David" w:hint="cs"/>
                <w:sz w:val="26"/>
                <w:szCs w:val="26"/>
                <w:rtl/>
              </w:rPr>
              <w:t>18.</w:t>
            </w:r>
          </w:p>
        </w:tc>
        <w:tc>
          <w:tcPr>
            <w:tcW w:w="7155" w:type="dxa"/>
            <w:tcMar>
              <w:top w:w="0" w:type="dxa"/>
              <w:left w:w="108" w:type="dxa"/>
              <w:bottom w:w="0" w:type="dxa"/>
              <w:right w:w="108" w:type="dxa"/>
            </w:tcMar>
            <w:hideMark/>
          </w:tcPr>
          <w:p w:rsidR="00DA496A" w:rsidRDefault="00DA496A" w:rsidP="00DA496A">
            <w:pPr>
              <w:pStyle w:val="tablehead"/>
              <w:bidi/>
              <w:spacing w:line="360" w:lineRule="auto"/>
              <w:jc w:val="both"/>
            </w:pPr>
            <w:r>
              <w:rPr>
                <w:rFonts w:cs="David" w:hint="cs"/>
                <w:sz w:val="26"/>
                <w:szCs w:val="26"/>
                <w:rtl/>
              </w:rPr>
              <w:t xml:space="preserve">(א)      ועדת המכסות לא תתיר שותפות לייצור חלב בין יותר משלושה יצרנים.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head"/>
              <w:bidi/>
              <w:spacing w:line="360" w:lineRule="auto"/>
              <w:jc w:val="both"/>
            </w:pPr>
            <w:r>
              <w:rPr>
                <w:rFonts w:hint="cs"/>
                <w:rtl/>
              </w:rPr>
              <w:t> </w:t>
            </w:r>
          </w:p>
        </w:tc>
        <w:tc>
          <w:tcPr>
            <w:tcW w:w="7155" w:type="dxa"/>
            <w:tcMar>
              <w:top w:w="0" w:type="dxa"/>
              <w:left w:w="108" w:type="dxa"/>
              <w:bottom w:w="0" w:type="dxa"/>
              <w:right w:w="108" w:type="dxa"/>
            </w:tcMar>
            <w:hideMark/>
          </w:tcPr>
          <w:p w:rsidR="00DA496A" w:rsidRDefault="00DA496A" w:rsidP="00DA496A">
            <w:pPr>
              <w:pStyle w:val="tablehead"/>
              <w:bidi/>
              <w:spacing w:line="360" w:lineRule="auto"/>
              <w:jc w:val="both"/>
              <w:rPr>
                <w:rFonts w:cs="David" w:hint="cs"/>
                <w:sz w:val="26"/>
                <w:szCs w:val="26"/>
                <w:rtl/>
              </w:rPr>
            </w:pPr>
            <w:r w:rsidRPr="00DA496A">
              <w:rPr>
                <w:rFonts w:cs="David" w:hint="cs"/>
                <w:sz w:val="26"/>
                <w:szCs w:val="26"/>
                <w:rtl/>
              </w:rPr>
              <w:t>(ב)       על אף האמור בתקנת משנה (א), ועדת המכסות רשאית, מנימוקים שיירשמו, להתיר שותפות של יותר משלושה יצרנים יחידים, לאחר שמצאה שמתקיימים בהם התנאים הבאים:</w:t>
            </w:r>
          </w:p>
          <w:p w:rsidR="00DA496A" w:rsidRDefault="00DA496A" w:rsidP="00DA496A">
            <w:pPr>
              <w:pStyle w:val="tablehead"/>
              <w:bidi/>
              <w:spacing w:line="360" w:lineRule="auto"/>
              <w:jc w:val="both"/>
              <w:rPr>
                <w:rFonts w:cs="David" w:hint="cs"/>
                <w:sz w:val="26"/>
                <w:szCs w:val="26"/>
                <w:rtl/>
              </w:rPr>
            </w:pPr>
          </w:p>
          <w:p w:rsidR="00DA496A" w:rsidRPr="00DA496A" w:rsidRDefault="00DA496A" w:rsidP="00DA496A">
            <w:pPr>
              <w:pStyle w:val="tablehead"/>
              <w:bidi/>
              <w:spacing w:line="360" w:lineRule="auto"/>
              <w:ind w:left="549"/>
              <w:jc w:val="both"/>
              <w:rPr>
                <w:rFonts w:cs="David" w:hint="cs"/>
                <w:sz w:val="26"/>
                <w:szCs w:val="26"/>
                <w:rtl/>
              </w:rPr>
            </w:pPr>
            <w:r w:rsidRPr="00DA496A">
              <w:rPr>
                <w:rFonts w:cs="David" w:hint="cs"/>
                <w:sz w:val="26"/>
                <w:szCs w:val="26"/>
                <w:rtl/>
              </w:rPr>
              <w:t>(1) השטח הכולל העומד לרשותו של כל אחד מהם בחלקה א, ללא חלקת המגורים, אינו עולה על 5 דונם; בפסקה זו, "חלקה א" ו"חלקת המגורים" כהגדרתם בהחלטה 1316 של מועצת מקרקעי ישראל, מיום כ"ח בטבת תשע"ד ( 31.12.2013).</w:t>
            </w:r>
          </w:p>
          <w:p w:rsidR="00DA496A" w:rsidRPr="00DA496A" w:rsidRDefault="00DA496A" w:rsidP="00DA496A">
            <w:pPr>
              <w:pStyle w:val="tablehead"/>
              <w:bidi/>
              <w:spacing w:line="360" w:lineRule="auto"/>
              <w:ind w:left="549"/>
              <w:jc w:val="both"/>
              <w:rPr>
                <w:rFonts w:cs="David"/>
                <w:sz w:val="26"/>
                <w:szCs w:val="26"/>
                <w:rtl/>
              </w:rPr>
            </w:pPr>
          </w:p>
          <w:p w:rsidR="00DA496A" w:rsidRPr="00DA496A" w:rsidRDefault="00DA496A" w:rsidP="00DA496A">
            <w:pPr>
              <w:pStyle w:val="tablehead"/>
              <w:bidi/>
              <w:spacing w:line="360" w:lineRule="auto"/>
              <w:ind w:left="549"/>
              <w:jc w:val="both"/>
              <w:rPr>
                <w:rFonts w:cs="David" w:hint="cs"/>
                <w:sz w:val="26"/>
                <w:szCs w:val="26"/>
                <w:rtl/>
              </w:rPr>
            </w:pPr>
            <w:r w:rsidRPr="00DA496A">
              <w:rPr>
                <w:rFonts w:cs="David" w:hint="cs"/>
                <w:sz w:val="26"/>
                <w:szCs w:val="26"/>
                <w:rtl/>
              </w:rPr>
              <w:t>ׁ(2)  המרחק בין האתר שבו יבוצע ייצור החלב במסגרת השותפות לבין מרכז היישוב בו מתגורר כל אחד מהיצרנים השותפים בה אינו עולה על שלושים קילומטרים. בתקנת זו ובתקנה 19, "המרחק" – מרחק הנסיעה בדרכים.</w:t>
            </w:r>
          </w:p>
          <w:p w:rsidR="00DA496A" w:rsidRPr="00DA496A" w:rsidRDefault="00DA496A" w:rsidP="00DA496A">
            <w:pPr>
              <w:pStyle w:val="tablehead"/>
              <w:bidi/>
              <w:spacing w:line="360" w:lineRule="auto"/>
              <w:jc w:val="both"/>
              <w:rPr>
                <w:rFonts w:cs="David"/>
                <w:sz w:val="26"/>
                <w:szCs w:val="26"/>
              </w:rPr>
            </w:pPr>
            <w:r w:rsidRPr="00DA496A">
              <w:rPr>
                <w:rFonts w:cs="David" w:hint="cs"/>
                <w:sz w:val="26"/>
                <w:szCs w:val="26"/>
                <w:rtl/>
              </w:rPr>
              <w:t>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rPr>
                <w:rtl/>
              </w:rPr>
            </w:pPr>
            <w:r>
              <w:rPr>
                <w:rFonts w:cs="David" w:hint="cs"/>
                <w:sz w:val="26"/>
                <w:szCs w:val="26"/>
                <w:rtl/>
              </w:rPr>
              <w:t>הגבלת מרחק בין השותפים למשק</w:t>
            </w:r>
          </w:p>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cs="David" w:hint="cs"/>
                <w:sz w:val="26"/>
                <w:szCs w:val="26"/>
                <w:rtl/>
              </w:rPr>
              <w:t>19.</w:t>
            </w:r>
          </w:p>
        </w:tc>
        <w:tc>
          <w:tcPr>
            <w:tcW w:w="7155" w:type="dxa"/>
            <w:tcMar>
              <w:top w:w="0" w:type="dxa"/>
              <w:left w:w="108" w:type="dxa"/>
              <w:bottom w:w="0" w:type="dxa"/>
              <w:right w:w="108" w:type="dxa"/>
            </w:tcMar>
            <w:hideMark/>
          </w:tcPr>
          <w:p w:rsidR="00DA496A" w:rsidRDefault="00DA496A" w:rsidP="00DA496A">
            <w:pPr>
              <w:pStyle w:val="tablehead"/>
              <w:bidi/>
              <w:spacing w:line="360" w:lineRule="auto"/>
              <w:jc w:val="both"/>
              <w:rPr>
                <w:rtl/>
              </w:rPr>
            </w:pPr>
            <w:r>
              <w:rPr>
                <w:rFonts w:cs="David" w:hint="cs"/>
                <w:sz w:val="26"/>
                <w:szCs w:val="26"/>
                <w:rtl/>
              </w:rPr>
              <w:t xml:space="preserve">(א)      ועדת המכסות לא תתיר שותפות לייצור חלב בין יצרנים שהמרחק בין האתר שבו יבוצע ייצור החלב במסגרתו לבין מרכז היישוב בו מתגורר כל אחד מהיצרנים השותפים בה עולה על שלושים קילומטרים. </w:t>
            </w:r>
          </w:p>
          <w:p w:rsidR="00DA496A" w:rsidRDefault="00DA496A" w:rsidP="00DA496A">
            <w:pPr>
              <w:pStyle w:val="tablehead"/>
              <w:bidi/>
              <w:spacing w:line="360" w:lineRule="auto"/>
              <w:jc w:val="both"/>
            </w:pPr>
            <w:r>
              <w:rPr>
                <w:rFonts w:hint="cs"/>
                <w:rtl/>
              </w:rPr>
              <w:t> </w:t>
            </w:r>
          </w:p>
        </w:tc>
      </w:tr>
      <w:tr w:rsidR="00DA496A" w:rsidTr="00DA496A">
        <w:trPr>
          <w:trHeight w:val="63"/>
        </w:trPr>
        <w:tc>
          <w:tcPr>
            <w:tcW w:w="1872" w:type="dxa"/>
            <w:tcMar>
              <w:top w:w="0" w:type="dxa"/>
              <w:left w:w="108" w:type="dxa"/>
              <w:bottom w:w="0" w:type="dxa"/>
              <w:right w:w="108" w:type="dxa"/>
            </w:tcMar>
            <w:hideMark/>
          </w:tcPr>
          <w:p w:rsidR="00DA496A" w:rsidRDefault="00DA496A" w:rsidP="00DA496A">
            <w:pPr>
              <w:pStyle w:val="tablesideheading"/>
              <w:bidi/>
              <w:spacing w:line="360" w:lineRule="auto"/>
            </w:pPr>
            <w:r>
              <w:rPr>
                <w:rFonts w:hint="cs"/>
                <w:rtl/>
              </w:rPr>
              <w:t> </w:t>
            </w:r>
          </w:p>
        </w:tc>
        <w:tc>
          <w:tcPr>
            <w:tcW w:w="663" w:type="dxa"/>
            <w:tcMar>
              <w:top w:w="0" w:type="dxa"/>
              <w:left w:w="108" w:type="dxa"/>
              <w:bottom w:w="0" w:type="dxa"/>
              <w:right w:w="108" w:type="dxa"/>
            </w:tcMar>
            <w:hideMark/>
          </w:tcPr>
          <w:p w:rsidR="00DA496A" w:rsidRDefault="00DA496A" w:rsidP="00DA496A">
            <w:pPr>
              <w:pStyle w:val="tabletext"/>
              <w:bidi/>
              <w:spacing w:line="360" w:lineRule="auto"/>
            </w:pPr>
            <w:r>
              <w:rPr>
                <w:rFonts w:hint="cs"/>
                <w:rtl/>
              </w:rPr>
              <w:t> </w:t>
            </w:r>
          </w:p>
        </w:tc>
        <w:tc>
          <w:tcPr>
            <w:tcW w:w="7155" w:type="dxa"/>
            <w:tcMar>
              <w:top w:w="0" w:type="dxa"/>
              <w:left w:w="108" w:type="dxa"/>
              <w:bottom w:w="0" w:type="dxa"/>
              <w:right w:w="108" w:type="dxa"/>
            </w:tcMar>
            <w:hideMark/>
          </w:tcPr>
          <w:p w:rsidR="00DA496A" w:rsidRDefault="00DA496A" w:rsidP="00DA496A">
            <w:pPr>
              <w:pStyle w:val="tablehead"/>
              <w:bidi/>
              <w:spacing w:line="360" w:lineRule="auto"/>
              <w:jc w:val="both"/>
            </w:pPr>
            <w:r>
              <w:rPr>
                <w:rFonts w:cs="David" w:hint="cs"/>
                <w:sz w:val="26"/>
                <w:szCs w:val="26"/>
                <w:rtl/>
              </w:rPr>
              <w:t>(ב)       על אף האמור בתקנת משנה (א), ועדת המכסות רשאית, מנימוקים שיירשמו, להתיר שותפות בין יצרנים שהמרחק בין מרכז היישוב בו מתגורר כל אחד מהם לאתר שבו יבוצע ייצור החלב עולה על שלושים קילומטרים, לאחר שמצאה שלא קיימים ביחס ליצרנים השותפים בה יצרנים אחרים שעימם ניתן היה לאשר שותפות לפי תקנת משנה (א)</w:t>
            </w:r>
            <w:r>
              <w:rPr>
                <w:rFonts w:cs="David" w:hint="cs"/>
                <w:sz w:val="26"/>
                <w:szCs w:val="26"/>
                <w:rtl/>
              </w:rPr>
              <w:t>, ובלבד שמספר השותפים בשותפות לא יעלה על שלושה.</w:t>
            </w:r>
          </w:p>
        </w:tc>
      </w:tr>
    </w:tbl>
    <w:p w:rsidR="00D223C1" w:rsidRDefault="003D080A" w:rsidP="00DA496A"/>
    <w:sectPr w:rsidR="00D223C1" w:rsidSect="00DA496A">
      <w:pgSz w:w="11906" w:h="16838"/>
      <w:pgMar w:top="1276" w:right="1800" w:bottom="1134"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96A"/>
    <w:rsid w:val="0034345D"/>
    <w:rsid w:val="00384F4F"/>
    <w:rsid w:val="00565FBE"/>
    <w:rsid w:val="00DA49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96A"/>
    <w:pPr>
      <w:bidi/>
      <w:spacing w:line="240" w:lineRule="auto"/>
    </w:pPr>
    <w:rPr>
      <w:rFonts w:ascii="Times New Roman" w:eastAsia="Calibri"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sideheading">
    <w:name w:val="tablesideheading"/>
    <w:basedOn w:val="a"/>
    <w:rsid w:val="00DA496A"/>
    <w:pPr>
      <w:bidi w:val="0"/>
      <w:spacing w:after="0"/>
    </w:pPr>
    <w:rPr>
      <w:rFonts w:eastAsiaTheme="minorHAnsi" w:cs="Times New Roman"/>
    </w:rPr>
  </w:style>
  <w:style w:type="paragraph" w:customStyle="1" w:styleId="tabletext">
    <w:name w:val="tabletext"/>
    <w:basedOn w:val="a"/>
    <w:rsid w:val="00DA496A"/>
    <w:pPr>
      <w:bidi w:val="0"/>
      <w:spacing w:after="0"/>
    </w:pPr>
    <w:rPr>
      <w:rFonts w:eastAsiaTheme="minorHAnsi" w:cs="Times New Roman"/>
    </w:rPr>
  </w:style>
  <w:style w:type="paragraph" w:customStyle="1" w:styleId="tablehead">
    <w:name w:val="tablehead"/>
    <w:basedOn w:val="a"/>
    <w:rsid w:val="00DA496A"/>
    <w:pPr>
      <w:bidi w:val="0"/>
      <w:spacing w:after="0"/>
    </w:pPr>
    <w:rPr>
      <w:rFonts w:eastAsiaTheme="minorHAns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96A"/>
    <w:pPr>
      <w:bidi/>
      <w:spacing w:line="240" w:lineRule="auto"/>
    </w:pPr>
    <w:rPr>
      <w:rFonts w:ascii="Times New Roman" w:eastAsia="Calibri"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sideheading">
    <w:name w:val="tablesideheading"/>
    <w:basedOn w:val="a"/>
    <w:rsid w:val="00DA496A"/>
    <w:pPr>
      <w:bidi w:val="0"/>
      <w:spacing w:after="0"/>
    </w:pPr>
    <w:rPr>
      <w:rFonts w:eastAsiaTheme="minorHAnsi" w:cs="Times New Roman"/>
    </w:rPr>
  </w:style>
  <w:style w:type="paragraph" w:customStyle="1" w:styleId="tabletext">
    <w:name w:val="tabletext"/>
    <w:basedOn w:val="a"/>
    <w:rsid w:val="00DA496A"/>
    <w:pPr>
      <w:bidi w:val="0"/>
      <w:spacing w:after="0"/>
    </w:pPr>
    <w:rPr>
      <w:rFonts w:eastAsiaTheme="minorHAnsi" w:cs="Times New Roman"/>
    </w:rPr>
  </w:style>
  <w:style w:type="paragraph" w:customStyle="1" w:styleId="tablehead">
    <w:name w:val="tablehead"/>
    <w:basedOn w:val="a"/>
    <w:rsid w:val="00DA496A"/>
    <w:pPr>
      <w:bidi w:val="0"/>
      <w:spacing w:after="0"/>
    </w:pPr>
    <w:rPr>
      <w:rFonts w:eastAsia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75911-A663-4DF1-9638-753E28DA3809}"/>
</file>

<file path=customXml/itemProps2.xml><?xml version="1.0" encoding="utf-8"?>
<ds:datastoreItem xmlns:ds="http://schemas.openxmlformats.org/officeDocument/2006/customXml" ds:itemID="{2AD31A5F-13EA-4877-AA5F-FFDD2A85513D}"/>
</file>

<file path=customXml/itemProps3.xml><?xml version="1.0" encoding="utf-8"?>
<ds:datastoreItem xmlns:ds="http://schemas.openxmlformats.org/officeDocument/2006/customXml" ds:itemID="{C07CD65D-4CEF-444E-8A3F-53250CFD5C65}"/>
</file>

<file path=docProps/app.xml><?xml version="1.0" encoding="utf-8"?>
<Properties xmlns="http://schemas.openxmlformats.org/officeDocument/2006/extended-properties" xmlns:vt="http://schemas.openxmlformats.org/officeDocument/2006/docPropsVTypes">
  <Template>Normal</Template>
  <TotalTime>7</TotalTime>
  <Pages>1</Pages>
  <Words>239</Words>
  <Characters>1199</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MOAG</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אביאני [Efrat Aviani]</dc:creator>
  <cp:lastModifiedBy>אפרת אביאני [Efrat Aviani]</cp:lastModifiedBy>
  <cp:revision>1</cp:revision>
  <dcterms:created xsi:type="dcterms:W3CDTF">2014-03-20T13:09:00Z</dcterms:created>
  <dcterms:modified xsi:type="dcterms:W3CDTF">2014-03-20T13:12:00Z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