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42156D" w:rsidRDefault="004033D8" w:rsidP="002C2E29">
      <w:pPr>
        <w:pStyle w:val="HeadHatzaotHok"/>
        <w:jc w:val="right"/>
        <w:rPr>
          <w:b w:val="0"/>
          <w:bCs w:val="0"/>
          <w:szCs w:val="20"/>
        </w:rPr>
      </w:pPr>
      <w:r w:rsidRPr="0042156D">
        <w:rPr>
          <w:rFonts w:hint="cs"/>
          <w:b w:val="0"/>
          <w:bCs w:val="0"/>
          <w:szCs w:val="20"/>
          <w:rtl/>
        </w:rPr>
        <w:t xml:space="preserve">מספר פנימי: </w:t>
      </w:r>
      <w:bookmarkStart w:id="0" w:name="ItemID"/>
      <w:r w:rsidR="001662EC" w:rsidRPr="0042156D">
        <w:rPr>
          <w:b w:val="0"/>
          <w:bCs w:val="0"/>
          <w:szCs w:val="20"/>
          <w:rtl/>
        </w:rPr>
        <w:t>549701</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1662EC" w:rsidRPr="001662EC">
        <w:rPr>
          <w:sz w:val="28"/>
          <w:szCs w:val="28"/>
          <w:rtl/>
        </w:rPr>
        <w:t>התשע-עשרה</w:t>
      </w:r>
      <w:bookmarkEnd w:id="1"/>
    </w:p>
    <w:p w:rsidR="00E13C27" w:rsidRDefault="00E13C27" w:rsidP="00E13C27">
      <w:pPr>
        <w:rPr>
          <w:rFonts w:cs="David"/>
          <w:sz w:val="26"/>
          <w:szCs w:val="26"/>
          <w:rtl/>
        </w:rPr>
      </w:pPr>
    </w:p>
    <w:p w:rsidR="001F6907" w:rsidRPr="00925616" w:rsidRDefault="00B06E27" w:rsidP="0091204F">
      <w:pPr>
        <w:pStyle w:val="David"/>
        <w:ind w:left="2880" w:firstLine="663"/>
        <w:rPr>
          <w:b/>
          <w:bCs/>
        </w:rPr>
      </w:pPr>
      <w:bookmarkStart w:id="2" w:name="MKsSingleOrMulti"/>
      <w:r w:rsidRPr="00925616">
        <w:rPr>
          <w:b/>
          <w:bCs/>
          <w:rtl/>
        </w:rPr>
        <w:t>יוזמים:      חברי הכנסת</w:t>
      </w:r>
      <w:bookmarkEnd w:id="2"/>
      <w:r w:rsidR="00B35784" w:rsidRPr="00925616">
        <w:rPr>
          <w:b/>
          <w:bCs/>
        </w:rPr>
        <w:tab/>
      </w:r>
      <w:bookmarkStart w:id="3" w:name="MKs"/>
      <w:r w:rsidR="001F6907" w:rsidRPr="00925616">
        <w:rPr>
          <w:b/>
          <w:bCs/>
          <w:rtl/>
        </w:rPr>
        <w:t>אלעזר שטרן</w:t>
      </w:r>
    </w:p>
    <w:p w:rsidR="001F6907" w:rsidRPr="00925616" w:rsidRDefault="001F6907" w:rsidP="0091204F">
      <w:pPr>
        <w:pStyle w:val="David"/>
        <w:ind w:left="2880" w:firstLine="663"/>
        <w:rPr>
          <w:b/>
          <w:bCs/>
        </w:rPr>
      </w:pPr>
      <w:r w:rsidRPr="00925616">
        <w:rPr>
          <w:b/>
          <w:bCs/>
        </w:rPr>
        <w:tab/>
      </w:r>
      <w:r w:rsidRPr="00925616">
        <w:rPr>
          <w:b/>
          <w:bCs/>
        </w:rPr>
        <w:tab/>
      </w:r>
      <w:r w:rsidRPr="00925616">
        <w:rPr>
          <w:b/>
          <w:bCs/>
        </w:rPr>
        <w:tab/>
      </w:r>
      <w:r w:rsidRPr="00925616">
        <w:rPr>
          <w:b/>
          <w:bCs/>
        </w:rPr>
        <w:tab/>
      </w:r>
      <w:r w:rsidRPr="00925616">
        <w:rPr>
          <w:b/>
          <w:bCs/>
        </w:rPr>
        <w:tab/>
      </w:r>
      <w:r w:rsidRPr="00925616">
        <w:rPr>
          <w:b/>
          <w:bCs/>
          <w:rtl/>
        </w:rPr>
        <w:t>דב חנין</w:t>
      </w:r>
    </w:p>
    <w:p w:rsidR="00E13C27" w:rsidRPr="00925616" w:rsidRDefault="001F6907" w:rsidP="0091204F">
      <w:pPr>
        <w:pStyle w:val="David"/>
        <w:ind w:left="2880" w:firstLine="663"/>
        <w:rPr>
          <w:b/>
          <w:bCs/>
          <w:rtl/>
        </w:rPr>
      </w:pPr>
      <w:r w:rsidRPr="00925616">
        <w:rPr>
          <w:b/>
          <w:bCs/>
        </w:rPr>
        <w:tab/>
      </w:r>
      <w:r w:rsidRPr="00925616">
        <w:rPr>
          <w:b/>
          <w:bCs/>
        </w:rPr>
        <w:tab/>
      </w:r>
      <w:r w:rsidRPr="00925616">
        <w:rPr>
          <w:b/>
          <w:bCs/>
        </w:rPr>
        <w:tab/>
      </w:r>
      <w:r w:rsidRPr="00925616">
        <w:rPr>
          <w:b/>
          <w:bCs/>
        </w:rPr>
        <w:tab/>
      </w:r>
      <w:r w:rsidRPr="00925616">
        <w:rPr>
          <w:b/>
          <w:bCs/>
        </w:rPr>
        <w:tab/>
      </w:r>
      <w:r w:rsidRPr="00925616">
        <w:rPr>
          <w:b/>
          <w:bCs/>
          <w:rtl/>
        </w:rPr>
        <w:t>שולי מועלם-רפאלי</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DF270F" w:rsidRPr="00DF270F">
        <w:rPr>
          <w:rFonts w:cs="David"/>
          <w:sz w:val="26"/>
          <w:szCs w:val="26"/>
          <w:rtl/>
        </w:rPr>
        <w:t>פ/2318/19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Pr="00E81E4A" w:rsidRDefault="00360D1A" w:rsidP="00E81E4A">
      <w:pPr>
        <w:pStyle w:val="HeadHatzaotHok"/>
        <w:tabs>
          <w:tab w:val="left" w:pos="4071"/>
          <w:tab w:val="center" w:pos="4819"/>
        </w:tabs>
        <w:spacing w:before="0"/>
        <w:rPr>
          <w:sz w:val="26"/>
          <w:rtl/>
        </w:rPr>
      </w:pPr>
      <w:bookmarkStart w:id="7" w:name="Title"/>
      <w:r w:rsidRPr="00E81E4A">
        <w:rPr>
          <w:sz w:val="26"/>
          <w:rtl/>
        </w:rPr>
        <w:t>הצעת חוק זכאות לתגמול לניצולי שואה שעלו לארץ לאחר שנת 1953, התשע"ד</w:t>
      </w:r>
      <w:r w:rsidR="00E81E4A" w:rsidRPr="00E81E4A">
        <w:rPr>
          <w:rFonts w:hint="cs"/>
          <w:sz w:val="26"/>
          <w:rtl/>
        </w:rPr>
        <w:t>–</w:t>
      </w:r>
      <w:r w:rsidRPr="00E81E4A">
        <w:rPr>
          <w:sz w:val="26"/>
          <w:rtl/>
        </w:rPr>
        <w:t>2014</w:t>
      </w:r>
      <w:bookmarkEnd w:id="7"/>
    </w:p>
    <w:tbl>
      <w:tblPr>
        <w:bidiVisual/>
        <w:tblW w:w="964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3"/>
      </w:tblGrid>
      <w:tr w:rsidR="00E66104" w:rsidRPr="00E81E4A" w:rsidTr="00E81E4A">
        <w:trPr>
          <w:cantSplit/>
        </w:trPr>
        <w:tc>
          <w:tcPr>
            <w:tcW w:w="1873" w:type="dxa"/>
            <w:hideMark/>
          </w:tcPr>
          <w:p w:rsidR="00E66104" w:rsidRPr="00E81E4A" w:rsidRDefault="00E66104">
            <w:pPr>
              <w:pStyle w:val="TableSideHeading"/>
            </w:pPr>
            <w:r w:rsidRPr="00E81E4A">
              <w:rPr>
                <w:rFonts w:hint="cs"/>
                <w:sz w:val="26"/>
                <w:rtl/>
              </w:rPr>
              <w:t>הגדרות</w:t>
            </w:r>
          </w:p>
        </w:tc>
        <w:tc>
          <w:tcPr>
            <w:tcW w:w="624" w:type="dxa"/>
            <w:hideMark/>
          </w:tcPr>
          <w:p w:rsidR="00E66104" w:rsidRPr="00E81E4A" w:rsidRDefault="00E66104">
            <w:pPr>
              <w:pStyle w:val="TableText"/>
            </w:pPr>
            <w:r w:rsidRPr="00E81E4A">
              <w:rPr>
                <w:rFonts w:hint="cs"/>
                <w:sz w:val="26"/>
                <w:rtl/>
              </w:rPr>
              <w:t>1.</w:t>
            </w:r>
          </w:p>
        </w:tc>
        <w:tc>
          <w:tcPr>
            <w:tcW w:w="7143" w:type="dxa"/>
            <w:hideMark/>
          </w:tcPr>
          <w:p w:rsidR="00E66104" w:rsidRPr="00E81E4A" w:rsidRDefault="00E66104" w:rsidP="00E81E4A">
            <w:pPr>
              <w:pStyle w:val="TableBlock"/>
            </w:pPr>
            <w:r w:rsidRPr="00E81E4A">
              <w:rPr>
                <w:rFonts w:hint="cs"/>
                <w:sz w:val="26"/>
                <w:rtl/>
              </w:rPr>
              <w:t>בחוק זה</w:t>
            </w:r>
            <w:r w:rsidR="003849B7" w:rsidRPr="00E81E4A">
              <w:rPr>
                <w:rFonts w:hint="cs"/>
                <w:sz w:val="26"/>
                <w:rtl/>
              </w:rPr>
              <w:t xml:space="preserve"> – </w:t>
            </w:r>
          </w:p>
        </w:tc>
      </w:tr>
      <w:tr w:rsidR="00E66104" w:rsidRPr="00E81E4A" w:rsidTr="00E81E4A">
        <w:trPr>
          <w:cantSplit/>
        </w:trPr>
        <w:tc>
          <w:tcPr>
            <w:tcW w:w="1873" w:type="dxa"/>
          </w:tcPr>
          <w:p w:rsidR="00E66104" w:rsidRPr="00E81E4A" w:rsidRDefault="00E66104">
            <w:pPr>
              <w:pStyle w:val="TableSideHeading"/>
            </w:pPr>
          </w:p>
        </w:tc>
        <w:tc>
          <w:tcPr>
            <w:tcW w:w="624" w:type="dxa"/>
          </w:tcPr>
          <w:p w:rsidR="00E66104" w:rsidRPr="00E81E4A" w:rsidRDefault="00E66104">
            <w:pPr>
              <w:pStyle w:val="TableText"/>
            </w:pPr>
          </w:p>
        </w:tc>
        <w:tc>
          <w:tcPr>
            <w:tcW w:w="7143" w:type="dxa"/>
            <w:hideMark/>
          </w:tcPr>
          <w:p w:rsidR="00E66104" w:rsidRPr="00E81E4A" w:rsidRDefault="00E66104" w:rsidP="00E81E4A">
            <w:pPr>
              <w:pStyle w:val="TableBlockOutdent"/>
            </w:pPr>
            <w:r w:rsidRPr="00E81E4A">
              <w:rPr>
                <w:rtl/>
              </w:rPr>
              <w:t xml:space="preserve">"ניצול </w:t>
            </w:r>
            <w:r w:rsidRPr="00E81E4A">
              <w:rPr>
                <w:rFonts w:hint="eastAsia"/>
                <w:rtl/>
              </w:rPr>
              <w:t>שואה</w:t>
            </w:r>
            <w:r w:rsidRPr="00E81E4A">
              <w:rPr>
                <w:rtl/>
              </w:rPr>
              <w:t xml:space="preserve">" </w:t>
            </w:r>
            <w:r w:rsidRPr="00E81E4A">
              <w:rPr>
                <w:rFonts w:hint="eastAsia"/>
                <w:rtl/>
              </w:rPr>
              <w:t>–</w:t>
            </w:r>
            <w:r w:rsidR="003849B7" w:rsidRPr="00E81E4A">
              <w:rPr>
                <w:rtl/>
              </w:rPr>
              <w:t xml:space="preserve"> מי שמתקיים בו האמור בסעיף 3(א) או 4 ל</w:t>
            </w:r>
            <w:r w:rsidRPr="00E81E4A">
              <w:rPr>
                <w:rFonts w:hint="eastAsia"/>
                <w:rtl/>
              </w:rPr>
              <w:t>חוק</w:t>
            </w:r>
            <w:r w:rsidRPr="00E81E4A">
              <w:rPr>
                <w:rtl/>
              </w:rPr>
              <w:t xml:space="preserve"> הטבות לניצולי שואה, </w:t>
            </w:r>
            <w:proofErr w:type="spellStart"/>
            <w:r w:rsidRPr="00E81E4A">
              <w:rPr>
                <w:rFonts w:hint="eastAsia"/>
                <w:rtl/>
              </w:rPr>
              <w:t>התשס</w:t>
            </w:r>
            <w:r w:rsidRPr="00E81E4A">
              <w:rPr>
                <w:rtl/>
              </w:rPr>
              <w:t>"ז</w:t>
            </w:r>
            <w:proofErr w:type="spellEnd"/>
            <w:r w:rsidR="003849B7" w:rsidRPr="00E81E4A">
              <w:rPr>
                <w:rFonts w:hint="eastAsia"/>
                <w:rtl/>
              </w:rPr>
              <w:t>–</w:t>
            </w:r>
            <w:r w:rsidRPr="00E81E4A">
              <w:rPr>
                <w:rtl/>
              </w:rPr>
              <w:t>2007</w:t>
            </w:r>
            <w:r w:rsidR="00E9050C" w:rsidRPr="00E81E4A">
              <w:rPr>
                <w:sz w:val="18"/>
                <w:szCs w:val="18"/>
                <w:rtl/>
              </w:rPr>
              <w:footnoteReference w:id="2"/>
            </w:r>
            <w:r w:rsidR="003849B7" w:rsidRPr="00E81E4A">
              <w:rPr>
                <w:rtl/>
              </w:rPr>
              <w:t>;</w:t>
            </w:r>
          </w:p>
        </w:tc>
      </w:tr>
      <w:tr w:rsidR="003849B7" w:rsidRPr="00E81E4A" w:rsidTr="00E81E4A">
        <w:trPr>
          <w:cantSplit/>
        </w:trPr>
        <w:tc>
          <w:tcPr>
            <w:tcW w:w="1873" w:type="dxa"/>
          </w:tcPr>
          <w:p w:rsidR="003849B7" w:rsidRPr="00E81E4A" w:rsidRDefault="003849B7" w:rsidP="00E81E4A">
            <w:pPr>
              <w:pStyle w:val="TableSideHeading"/>
              <w:ind w:right="0"/>
            </w:pPr>
          </w:p>
        </w:tc>
        <w:tc>
          <w:tcPr>
            <w:tcW w:w="624" w:type="dxa"/>
          </w:tcPr>
          <w:p w:rsidR="003849B7" w:rsidRPr="00E81E4A" w:rsidRDefault="003849B7">
            <w:pPr>
              <w:pStyle w:val="TableText"/>
            </w:pPr>
          </w:p>
        </w:tc>
        <w:tc>
          <w:tcPr>
            <w:tcW w:w="7143" w:type="dxa"/>
          </w:tcPr>
          <w:p w:rsidR="003849B7" w:rsidRPr="00E81E4A" w:rsidDel="003849B7" w:rsidRDefault="003849B7" w:rsidP="00E81E4A">
            <w:pPr>
              <w:pStyle w:val="TableBlockOutdent"/>
              <w:rPr>
                <w:rtl/>
              </w:rPr>
            </w:pPr>
            <w:r w:rsidRPr="00E81E4A">
              <w:rPr>
                <w:rtl/>
              </w:rPr>
              <w:t xml:space="preserve">"חוק נכי רדיפות הנאצים" – חוק נכי רדיפות הנאצים, </w:t>
            </w:r>
            <w:proofErr w:type="spellStart"/>
            <w:r w:rsidRPr="00E81E4A">
              <w:rPr>
                <w:rFonts w:hint="eastAsia"/>
                <w:rtl/>
              </w:rPr>
              <w:t>התשי</w:t>
            </w:r>
            <w:r w:rsidRPr="00E81E4A">
              <w:rPr>
                <w:rtl/>
              </w:rPr>
              <w:t>"ז</w:t>
            </w:r>
            <w:proofErr w:type="spellEnd"/>
            <w:r w:rsidRPr="00E81E4A">
              <w:rPr>
                <w:rFonts w:hint="eastAsia"/>
                <w:rtl/>
              </w:rPr>
              <w:t>–</w:t>
            </w:r>
            <w:r w:rsidRPr="00E81E4A">
              <w:rPr>
                <w:rtl/>
              </w:rPr>
              <w:t>1957</w:t>
            </w:r>
            <w:r w:rsidRPr="00E81E4A">
              <w:rPr>
                <w:sz w:val="18"/>
                <w:szCs w:val="18"/>
                <w:rtl/>
              </w:rPr>
              <w:footnoteReference w:id="3"/>
            </w:r>
            <w:r w:rsidRPr="00E81E4A">
              <w:rPr>
                <w:rtl/>
              </w:rPr>
              <w:t>.</w:t>
            </w:r>
          </w:p>
        </w:tc>
      </w:tr>
      <w:tr w:rsidR="00E66104" w:rsidRPr="00E81E4A" w:rsidTr="00E81E4A">
        <w:trPr>
          <w:cantSplit/>
        </w:trPr>
        <w:tc>
          <w:tcPr>
            <w:tcW w:w="1873" w:type="dxa"/>
            <w:hideMark/>
          </w:tcPr>
          <w:p w:rsidR="00E66104" w:rsidRPr="00E81E4A" w:rsidRDefault="0042156D" w:rsidP="00E81E4A">
            <w:pPr>
              <w:pStyle w:val="TableSideHeading"/>
              <w:rPr>
                <w:sz w:val="26"/>
              </w:rPr>
            </w:pPr>
            <w:r>
              <w:rPr>
                <w:rFonts w:hint="cs"/>
                <w:sz w:val="26"/>
                <w:rtl/>
              </w:rPr>
              <w:t>אי-</w:t>
            </w:r>
            <w:r w:rsidR="003849B7" w:rsidRPr="00E81E4A">
              <w:rPr>
                <w:rFonts w:hint="cs"/>
                <w:sz w:val="26"/>
                <w:rtl/>
              </w:rPr>
              <w:t>שלילת זכאות לפי חוק נכי רדיפות הנאצים</w:t>
            </w:r>
          </w:p>
        </w:tc>
        <w:tc>
          <w:tcPr>
            <w:tcW w:w="624" w:type="dxa"/>
            <w:hideMark/>
          </w:tcPr>
          <w:p w:rsidR="00E66104" w:rsidRPr="00E81E4A" w:rsidRDefault="00E66104">
            <w:pPr>
              <w:pStyle w:val="TableText"/>
            </w:pPr>
            <w:r w:rsidRPr="00E81E4A">
              <w:rPr>
                <w:rFonts w:hint="cs"/>
                <w:sz w:val="26"/>
                <w:rtl/>
              </w:rPr>
              <w:t>2.</w:t>
            </w:r>
          </w:p>
        </w:tc>
        <w:tc>
          <w:tcPr>
            <w:tcW w:w="7143" w:type="dxa"/>
            <w:hideMark/>
          </w:tcPr>
          <w:p w:rsidR="00E66104" w:rsidRPr="00E81E4A" w:rsidRDefault="003849B7" w:rsidP="00C255F6">
            <w:pPr>
              <w:pStyle w:val="TableBlock"/>
              <w:rPr>
                <w:sz w:val="26"/>
              </w:rPr>
            </w:pPr>
            <w:r w:rsidRPr="00E81E4A">
              <w:rPr>
                <w:rFonts w:hint="eastAsia"/>
                <w:sz w:val="26"/>
                <w:rtl/>
              </w:rPr>
              <w:t>על</w:t>
            </w:r>
            <w:r w:rsidRPr="00E81E4A">
              <w:rPr>
                <w:sz w:val="26"/>
                <w:rtl/>
              </w:rPr>
              <w:t xml:space="preserve"> </w:t>
            </w:r>
            <w:r w:rsidRPr="00E81E4A">
              <w:rPr>
                <w:rFonts w:hint="eastAsia"/>
                <w:sz w:val="26"/>
                <w:rtl/>
              </w:rPr>
              <w:t>אף</w:t>
            </w:r>
            <w:r w:rsidRPr="00E81E4A">
              <w:rPr>
                <w:sz w:val="26"/>
                <w:rtl/>
              </w:rPr>
              <w:t xml:space="preserve"> </w:t>
            </w:r>
            <w:r w:rsidRPr="00E81E4A">
              <w:rPr>
                <w:rFonts w:hint="eastAsia"/>
                <w:sz w:val="26"/>
                <w:rtl/>
              </w:rPr>
              <w:t>האמור</w:t>
            </w:r>
            <w:r w:rsidRPr="00E81E4A">
              <w:rPr>
                <w:sz w:val="26"/>
                <w:rtl/>
              </w:rPr>
              <w:t xml:space="preserve"> בהגדרה "נכה" שבסעיף 1 לחוק נכי רדיפות הנאצים,</w:t>
            </w:r>
            <w:r w:rsidRPr="00E81E4A">
              <w:rPr>
                <w:rFonts w:hint="cs"/>
                <w:sz w:val="26"/>
                <w:rtl/>
              </w:rPr>
              <w:t xml:space="preserve"> ובסעיף 3(1) לחוק האמור, לא תימנע ההכרה </w:t>
            </w:r>
            <w:r w:rsidR="00925616" w:rsidRPr="00E81E4A">
              <w:rPr>
                <w:rFonts w:hint="cs"/>
                <w:sz w:val="26"/>
                <w:rtl/>
              </w:rPr>
              <w:t>בניצול שואה</w:t>
            </w:r>
            <w:r w:rsidRPr="00E81E4A">
              <w:rPr>
                <w:rFonts w:hint="cs"/>
                <w:sz w:val="26"/>
                <w:rtl/>
              </w:rPr>
              <w:t xml:space="preserve"> כזכאי לתגמול לפי </w:t>
            </w:r>
            <w:r w:rsidR="00C255F6">
              <w:rPr>
                <w:rFonts w:hint="cs"/>
                <w:sz w:val="26"/>
                <w:rtl/>
              </w:rPr>
              <w:t>ה</w:t>
            </w:r>
            <w:r w:rsidRPr="00E81E4A">
              <w:rPr>
                <w:rFonts w:hint="cs"/>
                <w:sz w:val="26"/>
                <w:rtl/>
              </w:rPr>
              <w:t xml:space="preserve">חוק האמור רק </w:t>
            </w:r>
            <w:r w:rsidR="00E9050C" w:rsidRPr="00E81E4A">
              <w:rPr>
                <w:rFonts w:hint="cs"/>
                <w:sz w:val="26"/>
                <w:rtl/>
              </w:rPr>
              <w:t xml:space="preserve">עקב עלייתו לישראל אחרי יום כ"ב בתשרי </w:t>
            </w:r>
            <w:proofErr w:type="spellStart"/>
            <w:r w:rsidR="00E9050C" w:rsidRPr="00E81E4A">
              <w:rPr>
                <w:rFonts w:hint="cs"/>
                <w:sz w:val="26"/>
                <w:rtl/>
              </w:rPr>
              <w:t>התשי"ד</w:t>
            </w:r>
            <w:proofErr w:type="spellEnd"/>
            <w:r w:rsidR="00E9050C" w:rsidRPr="00E81E4A">
              <w:rPr>
                <w:rFonts w:hint="cs"/>
                <w:sz w:val="26"/>
                <w:rtl/>
              </w:rPr>
              <w:t xml:space="preserve"> (1 באוקטובר 1953) או </w:t>
            </w:r>
            <w:r w:rsidRPr="00E81E4A">
              <w:rPr>
                <w:rFonts w:hint="cs"/>
                <w:sz w:val="26"/>
                <w:rtl/>
              </w:rPr>
              <w:t>עקב זכאותו לתגמול, קצבה או פיצוי אחר מאת הרפובליקה הפדראלית של גרמניה</w:t>
            </w:r>
            <w:r w:rsidR="00925616" w:rsidRPr="00E81E4A">
              <w:rPr>
                <w:rFonts w:hint="cs"/>
                <w:sz w:val="26"/>
                <w:rtl/>
              </w:rPr>
              <w:t>.</w:t>
            </w:r>
            <w:r w:rsidRPr="00E81E4A">
              <w:rPr>
                <w:rFonts w:hint="cs"/>
                <w:sz w:val="26"/>
                <w:rtl/>
              </w:rPr>
              <w:t xml:space="preserve"> </w:t>
            </w:r>
          </w:p>
        </w:tc>
      </w:tr>
      <w:tr w:rsidR="00E66104" w:rsidRPr="00E81E4A" w:rsidTr="00E81E4A">
        <w:trPr>
          <w:cantSplit/>
        </w:trPr>
        <w:tc>
          <w:tcPr>
            <w:tcW w:w="1873" w:type="dxa"/>
            <w:hideMark/>
          </w:tcPr>
          <w:p w:rsidR="00E66104" w:rsidRPr="00E81E4A" w:rsidRDefault="003849B7" w:rsidP="00E81E4A">
            <w:pPr>
              <w:pStyle w:val="TableSideHeading"/>
              <w:rPr>
                <w:sz w:val="26"/>
              </w:rPr>
            </w:pPr>
            <w:r w:rsidRPr="00E81E4A">
              <w:rPr>
                <w:rFonts w:hint="cs"/>
                <w:sz w:val="26"/>
                <w:rtl/>
              </w:rPr>
              <w:t>הפחתת תשלום מהתגמול</w:t>
            </w:r>
          </w:p>
        </w:tc>
        <w:tc>
          <w:tcPr>
            <w:tcW w:w="624" w:type="dxa"/>
            <w:hideMark/>
          </w:tcPr>
          <w:p w:rsidR="00E66104" w:rsidRPr="00E81E4A" w:rsidRDefault="00E66104">
            <w:pPr>
              <w:pStyle w:val="TableText"/>
              <w:rPr>
                <w:sz w:val="26"/>
              </w:rPr>
            </w:pPr>
            <w:r w:rsidRPr="00E81E4A">
              <w:rPr>
                <w:rFonts w:hint="cs"/>
                <w:sz w:val="26"/>
                <w:rtl/>
              </w:rPr>
              <w:t>3.</w:t>
            </w:r>
          </w:p>
        </w:tc>
        <w:tc>
          <w:tcPr>
            <w:tcW w:w="7143" w:type="dxa"/>
            <w:hideMark/>
          </w:tcPr>
          <w:p w:rsidR="00E66104" w:rsidRPr="00E81E4A" w:rsidRDefault="003849B7" w:rsidP="00C255F6">
            <w:pPr>
              <w:pStyle w:val="TableBlock"/>
              <w:rPr>
                <w:sz w:val="26"/>
              </w:rPr>
            </w:pPr>
            <w:r w:rsidRPr="00E81E4A">
              <w:rPr>
                <w:rFonts w:hint="cs"/>
                <w:sz w:val="26"/>
                <w:rtl/>
              </w:rPr>
              <w:t xml:space="preserve">ניצול שואה שערב כניסתו לתוקף של חוק זה קיבל </w:t>
            </w:r>
            <w:r w:rsidR="00925616" w:rsidRPr="00E81E4A">
              <w:rPr>
                <w:rFonts w:hint="cs"/>
                <w:sz w:val="26"/>
                <w:rtl/>
              </w:rPr>
              <w:t xml:space="preserve">תשלום לפי ההסכם שנחתם ביום י"ב בתשרי התשע"ג (9 באוקטובר 1992) בידי שר האוצר הפדרלי של גרמניה ובידי ועדת התביעות החומריות של יהודים נגד גרמניה (להלן </w:t>
            </w:r>
            <w:r w:rsidR="00925616" w:rsidRPr="00E81E4A">
              <w:rPr>
                <w:sz w:val="26"/>
                <w:rtl/>
              </w:rPr>
              <w:t>–</w:t>
            </w:r>
            <w:r w:rsidR="00925616" w:rsidRPr="00E81E4A">
              <w:rPr>
                <w:rFonts w:hint="cs"/>
                <w:sz w:val="26"/>
                <w:rtl/>
              </w:rPr>
              <w:t xml:space="preserve"> תשלום לפי ההסכם עם גרמניה), יופחת מהתגמול שישתלם לו לפי חוק נכי רדיפות הנאצים סכום השווה לתשלום לפי ההסכם עם גרמניה.  </w:t>
            </w:r>
          </w:p>
        </w:tc>
      </w:tr>
      <w:tr w:rsidR="00E66104" w:rsidRPr="00E81E4A" w:rsidTr="00E81E4A">
        <w:trPr>
          <w:cantSplit/>
        </w:trPr>
        <w:tc>
          <w:tcPr>
            <w:tcW w:w="1873" w:type="dxa"/>
            <w:hideMark/>
          </w:tcPr>
          <w:p w:rsidR="00E66104" w:rsidRPr="00E81E4A" w:rsidRDefault="00E66104">
            <w:pPr>
              <w:pStyle w:val="TableSideHeading"/>
            </w:pPr>
            <w:r w:rsidRPr="00E81E4A">
              <w:rPr>
                <w:rFonts w:hint="cs"/>
                <w:rtl/>
              </w:rPr>
              <w:t>ביצוע ותקנות</w:t>
            </w:r>
          </w:p>
        </w:tc>
        <w:tc>
          <w:tcPr>
            <w:tcW w:w="624" w:type="dxa"/>
            <w:hideMark/>
          </w:tcPr>
          <w:p w:rsidR="00E66104" w:rsidRPr="00E81E4A" w:rsidRDefault="00E66104">
            <w:pPr>
              <w:pStyle w:val="TableText"/>
            </w:pPr>
            <w:r w:rsidRPr="00E81E4A">
              <w:rPr>
                <w:rFonts w:hint="cs"/>
                <w:rtl/>
              </w:rPr>
              <w:t>4.</w:t>
            </w:r>
          </w:p>
        </w:tc>
        <w:tc>
          <w:tcPr>
            <w:tcW w:w="7143" w:type="dxa"/>
            <w:hideMark/>
          </w:tcPr>
          <w:p w:rsidR="00E66104" w:rsidRPr="00E81E4A" w:rsidRDefault="00E66104" w:rsidP="00E81E4A">
            <w:pPr>
              <w:pStyle w:val="TableBlock"/>
            </w:pPr>
            <w:r w:rsidRPr="00E81E4A">
              <w:rPr>
                <w:rFonts w:hint="cs"/>
                <w:sz w:val="26"/>
                <w:rtl/>
              </w:rPr>
              <w:t>שר האוצר ממונה על ביצוע חוק זה והוא רשאי</w:t>
            </w:r>
            <w:r w:rsidR="003849B7" w:rsidRPr="00E81E4A">
              <w:rPr>
                <w:rFonts w:hint="cs"/>
                <w:sz w:val="26"/>
                <w:rtl/>
              </w:rPr>
              <w:t>, באישור ועדת הכספים של הכנסת,</w:t>
            </w:r>
            <w:r w:rsidRPr="00E81E4A">
              <w:rPr>
                <w:rFonts w:hint="cs"/>
                <w:sz w:val="26"/>
                <w:rtl/>
              </w:rPr>
              <w:t xml:space="preserve"> להתקין תקנות לביצועו</w:t>
            </w:r>
            <w:r w:rsidR="003849B7" w:rsidRPr="00E81E4A">
              <w:rPr>
                <w:rFonts w:hint="cs"/>
                <w:sz w:val="26"/>
                <w:rtl/>
              </w:rPr>
              <w:t>.</w:t>
            </w:r>
          </w:p>
        </w:tc>
      </w:tr>
      <w:tr w:rsidR="00E66104" w:rsidRPr="00E81E4A" w:rsidTr="00E81E4A">
        <w:trPr>
          <w:cantSplit/>
        </w:trPr>
        <w:tc>
          <w:tcPr>
            <w:tcW w:w="1873" w:type="dxa"/>
            <w:hideMark/>
          </w:tcPr>
          <w:p w:rsidR="00E66104" w:rsidRPr="00E81E4A" w:rsidRDefault="00E66104">
            <w:pPr>
              <w:pStyle w:val="TableSideHeading"/>
            </w:pPr>
            <w:r w:rsidRPr="00E81E4A">
              <w:rPr>
                <w:rFonts w:hint="cs"/>
                <w:rtl/>
              </w:rPr>
              <w:t>תח</w:t>
            </w:r>
            <w:r w:rsidR="00925616" w:rsidRPr="00E81E4A">
              <w:rPr>
                <w:rFonts w:hint="cs"/>
                <w:rtl/>
              </w:rPr>
              <w:t>י</w:t>
            </w:r>
            <w:r w:rsidRPr="00E81E4A">
              <w:rPr>
                <w:rFonts w:hint="cs"/>
                <w:rtl/>
              </w:rPr>
              <w:t>לה</w:t>
            </w:r>
          </w:p>
        </w:tc>
        <w:tc>
          <w:tcPr>
            <w:tcW w:w="624" w:type="dxa"/>
            <w:hideMark/>
          </w:tcPr>
          <w:p w:rsidR="00E66104" w:rsidRPr="00E81E4A" w:rsidRDefault="00E66104">
            <w:pPr>
              <w:pStyle w:val="TableText"/>
            </w:pPr>
            <w:r w:rsidRPr="00E81E4A">
              <w:rPr>
                <w:rFonts w:hint="cs"/>
                <w:rtl/>
              </w:rPr>
              <w:t>5.</w:t>
            </w:r>
          </w:p>
        </w:tc>
        <w:tc>
          <w:tcPr>
            <w:tcW w:w="7143" w:type="dxa"/>
            <w:hideMark/>
          </w:tcPr>
          <w:p w:rsidR="00E66104" w:rsidRPr="00E81E4A" w:rsidRDefault="00E66104" w:rsidP="00E81E4A">
            <w:pPr>
              <w:pStyle w:val="TableBlock"/>
              <w:rPr>
                <w:sz w:val="26"/>
              </w:rPr>
            </w:pPr>
            <w:r w:rsidRPr="00E81E4A">
              <w:rPr>
                <w:rFonts w:hint="cs"/>
                <w:sz w:val="26"/>
                <w:rtl/>
              </w:rPr>
              <w:t>תח</w:t>
            </w:r>
            <w:r w:rsidR="00925616" w:rsidRPr="00E81E4A">
              <w:rPr>
                <w:rFonts w:hint="cs"/>
                <w:sz w:val="26"/>
                <w:rtl/>
              </w:rPr>
              <w:t>י</w:t>
            </w:r>
            <w:r w:rsidRPr="00E81E4A">
              <w:rPr>
                <w:rFonts w:hint="cs"/>
                <w:sz w:val="26"/>
                <w:rtl/>
              </w:rPr>
              <w:t xml:space="preserve">לתו של חוק זה 30 </w:t>
            </w:r>
            <w:r w:rsidR="00925616" w:rsidRPr="00E81E4A">
              <w:rPr>
                <w:rFonts w:hint="cs"/>
                <w:sz w:val="26"/>
                <w:rtl/>
              </w:rPr>
              <w:t xml:space="preserve">ימים </w:t>
            </w:r>
            <w:r w:rsidRPr="00E81E4A">
              <w:rPr>
                <w:rFonts w:hint="cs"/>
                <w:sz w:val="26"/>
                <w:rtl/>
              </w:rPr>
              <w:t>מיום פרסומו.</w:t>
            </w:r>
          </w:p>
        </w:tc>
      </w:tr>
    </w:tbl>
    <w:p w:rsidR="003849B7" w:rsidRPr="00E81E4A" w:rsidRDefault="003849B7" w:rsidP="00E66104">
      <w:pPr>
        <w:pStyle w:val="HeadDivreiHesber"/>
        <w:spacing w:before="0" w:after="0" w:line="240" w:lineRule="auto"/>
      </w:pPr>
    </w:p>
    <w:p w:rsidR="00E66104" w:rsidRPr="00E81E4A" w:rsidRDefault="00E66104" w:rsidP="00E66104">
      <w:pPr>
        <w:pStyle w:val="HeadDivreiHesber"/>
        <w:spacing w:before="0" w:after="0" w:line="240" w:lineRule="auto"/>
        <w:rPr>
          <w:rtl/>
        </w:rPr>
      </w:pPr>
      <w:r w:rsidRPr="00E81E4A">
        <w:rPr>
          <w:rFonts w:hint="cs"/>
          <w:rtl/>
        </w:rPr>
        <w:t>דברי הסבר</w:t>
      </w:r>
    </w:p>
    <w:p w:rsidR="00E66104" w:rsidRPr="00E81E4A" w:rsidRDefault="00E66104" w:rsidP="00E66104">
      <w:pPr>
        <w:pStyle w:val="HeadDivreiHesber"/>
        <w:spacing w:before="0" w:after="0" w:line="240" w:lineRule="auto"/>
        <w:rPr>
          <w:rtl/>
        </w:rPr>
      </w:pPr>
    </w:p>
    <w:p w:rsidR="00B8677C" w:rsidRPr="00E81E4A" w:rsidRDefault="00E66104" w:rsidP="00E81E4A">
      <w:pPr>
        <w:pStyle w:val="Hesber"/>
        <w:rPr>
          <w:sz w:val="26"/>
          <w:rtl/>
        </w:rPr>
      </w:pPr>
      <w:r w:rsidRPr="00E81E4A">
        <w:rPr>
          <w:rFonts w:hint="cs"/>
          <w:sz w:val="26"/>
          <w:rtl/>
        </w:rPr>
        <w:t>חוק נכי רדיפות הנאצים</w:t>
      </w:r>
      <w:r w:rsidR="00B8677C" w:rsidRPr="00E81E4A">
        <w:rPr>
          <w:rFonts w:hint="cs"/>
          <w:sz w:val="26"/>
          <w:rtl/>
        </w:rPr>
        <w:t>,</w:t>
      </w:r>
      <w:r w:rsidRPr="00E81E4A">
        <w:rPr>
          <w:rFonts w:hint="cs"/>
          <w:sz w:val="26"/>
          <w:rtl/>
        </w:rPr>
        <w:t xml:space="preserve"> </w:t>
      </w:r>
      <w:proofErr w:type="spellStart"/>
      <w:r w:rsidR="00B8677C" w:rsidRPr="00E81E4A">
        <w:rPr>
          <w:rFonts w:hint="cs"/>
          <w:sz w:val="26"/>
          <w:rtl/>
        </w:rPr>
        <w:t>ה</w:t>
      </w:r>
      <w:r w:rsidRPr="00E81E4A">
        <w:rPr>
          <w:rFonts w:hint="cs"/>
          <w:sz w:val="26"/>
          <w:rtl/>
        </w:rPr>
        <w:t>תשי"ז</w:t>
      </w:r>
      <w:proofErr w:type="spellEnd"/>
      <w:r w:rsidR="00B8677C" w:rsidRPr="00E81E4A">
        <w:rPr>
          <w:rFonts w:hint="eastAsia"/>
          <w:sz w:val="26"/>
          <w:rtl/>
        </w:rPr>
        <w:t>–</w:t>
      </w:r>
      <w:r w:rsidR="00E9050C" w:rsidRPr="00E81E4A">
        <w:rPr>
          <w:rFonts w:hint="cs"/>
          <w:sz w:val="26"/>
          <w:rtl/>
        </w:rPr>
        <w:t xml:space="preserve">1957 </w:t>
      </w:r>
      <w:r w:rsidRPr="00E81E4A">
        <w:rPr>
          <w:rFonts w:hint="cs"/>
          <w:sz w:val="26"/>
          <w:rtl/>
        </w:rPr>
        <w:t xml:space="preserve">(להלן – החוק), קובע </w:t>
      </w:r>
      <w:r w:rsidR="00B8677C" w:rsidRPr="00E81E4A">
        <w:rPr>
          <w:rFonts w:hint="cs"/>
          <w:sz w:val="26"/>
          <w:rtl/>
        </w:rPr>
        <w:t xml:space="preserve">זכאות לתגמולים </w:t>
      </w:r>
      <w:r w:rsidRPr="00E81E4A">
        <w:rPr>
          <w:rFonts w:hint="cs"/>
          <w:sz w:val="26"/>
          <w:rtl/>
        </w:rPr>
        <w:t xml:space="preserve">לניצולי שואה אשר </w:t>
      </w:r>
      <w:r w:rsidR="00B8677C" w:rsidRPr="00E81E4A">
        <w:rPr>
          <w:rFonts w:hint="cs"/>
          <w:sz w:val="26"/>
          <w:rtl/>
        </w:rPr>
        <w:t xml:space="preserve"> מתקיימים לגביהם התנאים הקבועים בחוק, ובין היתר, הם עלו לישראל לפני 1 באוקטובר 1953, והם אינם זכאים לתגמול, </w:t>
      </w:r>
      <w:r w:rsidR="00E81E4A">
        <w:rPr>
          <w:rFonts w:hint="cs"/>
          <w:sz w:val="26"/>
          <w:rtl/>
        </w:rPr>
        <w:t>ל</w:t>
      </w:r>
      <w:r w:rsidR="00B8677C" w:rsidRPr="00E81E4A">
        <w:rPr>
          <w:rFonts w:hint="cs"/>
          <w:sz w:val="26"/>
          <w:rtl/>
        </w:rPr>
        <w:t xml:space="preserve">קצבה או </w:t>
      </w:r>
      <w:r w:rsidR="00E81E4A">
        <w:rPr>
          <w:rFonts w:hint="cs"/>
          <w:sz w:val="26"/>
          <w:rtl/>
        </w:rPr>
        <w:t>ל</w:t>
      </w:r>
      <w:r w:rsidR="00B8677C" w:rsidRPr="00E81E4A">
        <w:rPr>
          <w:rFonts w:hint="cs"/>
          <w:sz w:val="26"/>
          <w:rtl/>
        </w:rPr>
        <w:t>פיצוי אחר מאת הרפובליקה הפדראלית של גרמניה בשל ההסכם בין מדינת ישראל לבין הרפובליקה הפדראלית של גרמניה מיום 10 בספטמבר 1952 (</w:t>
      </w:r>
      <w:r w:rsidR="00FD68D7" w:rsidRPr="00E81E4A">
        <w:rPr>
          <w:rFonts w:hint="cs"/>
          <w:sz w:val="26"/>
          <w:rtl/>
        </w:rPr>
        <w:t>להלן –</w:t>
      </w:r>
      <w:r w:rsidR="00E81E4A">
        <w:rPr>
          <w:rFonts w:hint="cs"/>
          <w:sz w:val="26"/>
          <w:rtl/>
        </w:rPr>
        <w:t xml:space="preserve"> </w:t>
      </w:r>
      <w:r w:rsidR="00B8677C" w:rsidRPr="00E81E4A">
        <w:rPr>
          <w:rFonts w:hint="cs"/>
          <w:sz w:val="26"/>
          <w:rtl/>
        </w:rPr>
        <w:t>הסכם השילומים).</w:t>
      </w:r>
    </w:p>
    <w:p w:rsidR="00FD68D7" w:rsidRPr="00E81E4A" w:rsidRDefault="00FD68D7" w:rsidP="00E81E4A">
      <w:pPr>
        <w:pStyle w:val="Hesber"/>
        <w:rPr>
          <w:sz w:val="26"/>
          <w:rtl/>
        </w:rPr>
      </w:pPr>
      <w:r w:rsidRPr="00E81E4A">
        <w:rPr>
          <w:rFonts w:hint="cs"/>
          <w:sz w:val="26"/>
          <w:rtl/>
        </w:rPr>
        <w:t xml:space="preserve">הסכם השילומים קבע כי גרמניה תשלם לישראל פיצויים קולקטיביים בגין הוצאותיה של מדינת ישראל עקב קליטתם של ניצולי השואה בישראל, וכי גרמניה תשוחרר מתשלום פיצויים לניצולי השואה שהפכו לאזרחי ישראל בגין תביעות לנזקי גוף ובריאות. בעקבות הסכם השילומים נחקק בגרמניה חוק שקבע, בין היתר, כי מי שהיה ביום 1 באוקטובר 1953 אזרח מדינה אחרת שקיבלה מגרמניה פיצויים, לא יהיה זכאי לתבוע פיצויים </w:t>
      </w:r>
      <w:r w:rsidR="00E9050C" w:rsidRPr="00E81E4A">
        <w:rPr>
          <w:rFonts w:hint="cs"/>
          <w:sz w:val="26"/>
          <w:rtl/>
        </w:rPr>
        <w:t xml:space="preserve">מגרמניה </w:t>
      </w:r>
      <w:r w:rsidRPr="00E81E4A">
        <w:rPr>
          <w:rFonts w:hint="cs"/>
          <w:sz w:val="26"/>
          <w:rtl/>
        </w:rPr>
        <w:t>בגין נזקי גוף ובריאות.</w:t>
      </w:r>
    </w:p>
    <w:p w:rsidR="00FD68D7" w:rsidRPr="00E81E4A" w:rsidRDefault="00FD68D7" w:rsidP="00E81E4A">
      <w:pPr>
        <w:pStyle w:val="Hesber"/>
        <w:rPr>
          <w:sz w:val="26"/>
          <w:rtl/>
        </w:rPr>
      </w:pPr>
      <w:r w:rsidRPr="00E81E4A">
        <w:rPr>
          <w:rFonts w:hint="cs"/>
          <w:sz w:val="26"/>
          <w:rtl/>
        </w:rPr>
        <w:t xml:space="preserve">רבים מניצולי השואה שעלו לישראל לאחר 1953 לא תבעו את ממשלת גרמניה בגין נזקי גוף ובריאות, למרות שזכאותם לא נשללה כאמור בחוק הגרמני. </w:t>
      </w:r>
      <w:r w:rsidR="00E9050C" w:rsidRPr="00E81E4A">
        <w:rPr>
          <w:rFonts w:hint="cs"/>
          <w:sz w:val="26"/>
          <w:rtl/>
        </w:rPr>
        <w:t xml:space="preserve">עם זאת, הם גם אינם זכאים לתגמול מכוח חוק נכי רדיפות הנאצים, כיוון שאחד התנאים הקבועים בו כאמור הוא עלייה לישראל לפני 1 באוקטובר 1953. </w:t>
      </w:r>
    </w:p>
    <w:p w:rsidR="00FD68D7" w:rsidRPr="00E81E4A" w:rsidRDefault="00FD68D7" w:rsidP="00E81E4A">
      <w:pPr>
        <w:pStyle w:val="Hesber"/>
        <w:rPr>
          <w:sz w:val="26"/>
          <w:rtl/>
        </w:rPr>
      </w:pPr>
      <w:r w:rsidRPr="00E81E4A">
        <w:rPr>
          <w:rFonts w:hint="cs"/>
          <w:sz w:val="26"/>
          <w:rtl/>
        </w:rPr>
        <w:t>לאורך השנים</w:t>
      </w:r>
      <w:r w:rsidR="00E9050C" w:rsidRPr="00E81E4A">
        <w:rPr>
          <w:rFonts w:hint="cs"/>
          <w:sz w:val="26"/>
          <w:rtl/>
        </w:rPr>
        <w:t>,</w:t>
      </w:r>
      <w:r w:rsidRPr="00E81E4A">
        <w:rPr>
          <w:rFonts w:hint="cs"/>
          <w:sz w:val="26"/>
          <w:rtl/>
        </w:rPr>
        <w:t xml:space="preserve"> הורחב בישראל מעגל הזכאים לתגמולים מקרב ניצולי השואה, אך קבוצת ניצולי השואה </w:t>
      </w:r>
      <w:r w:rsidR="00E9050C" w:rsidRPr="00E81E4A">
        <w:rPr>
          <w:rFonts w:hint="eastAsia"/>
          <w:sz w:val="26"/>
          <w:rtl/>
        </w:rPr>
        <w:t>ששהו</w:t>
      </w:r>
      <w:r w:rsidR="00E9050C" w:rsidRPr="00E81E4A">
        <w:rPr>
          <w:sz w:val="26"/>
          <w:rtl/>
        </w:rPr>
        <w:t xml:space="preserve"> </w:t>
      </w:r>
      <w:r w:rsidR="00E9050C" w:rsidRPr="00E81E4A">
        <w:rPr>
          <w:rFonts w:hint="eastAsia"/>
          <w:sz w:val="26"/>
          <w:rtl/>
        </w:rPr>
        <w:t>במחנות</w:t>
      </w:r>
      <w:r w:rsidR="00E9050C" w:rsidRPr="00E81E4A">
        <w:rPr>
          <w:sz w:val="26"/>
          <w:rtl/>
        </w:rPr>
        <w:t xml:space="preserve"> </w:t>
      </w:r>
      <w:r w:rsidR="00E9050C" w:rsidRPr="00E81E4A">
        <w:rPr>
          <w:rFonts w:hint="eastAsia"/>
          <w:sz w:val="26"/>
          <w:rtl/>
        </w:rPr>
        <w:t>ריכוז</w:t>
      </w:r>
      <w:r w:rsidR="00E9050C" w:rsidRPr="00E81E4A">
        <w:rPr>
          <w:sz w:val="26"/>
          <w:rtl/>
        </w:rPr>
        <w:t xml:space="preserve">, </w:t>
      </w:r>
      <w:r w:rsidR="00E9050C" w:rsidRPr="00E81E4A">
        <w:rPr>
          <w:rFonts w:hint="eastAsia"/>
          <w:sz w:val="26"/>
          <w:rtl/>
        </w:rPr>
        <w:t>בגטו</w:t>
      </w:r>
      <w:r w:rsidR="00E9050C" w:rsidRPr="00E81E4A">
        <w:rPr>
          <w:sz w:val="26"/>
          <w:rtl/>
        </w:rPr>
        <w:t xml:space="preserve"> </w:t>
      </w:r>
      <w:r w:rsidR="00E9050C" w:rsidRPr="00E81E4A">
        <w:rPr>
          <w:rFonts w:hint="eastAsia"/>
          <w:sz w:val="26"/>
          <w:rtl/>
        </w:rPr>
        <w:t>או</w:t>
      </w:r>
      <w:r w:rsidR="00E9050C" w:rsidRPr="00E81E4A">
        <w:rPr>
          <w:sz w:val="26"/>
          <w:rtl/>
        </w:rPr>
        <w:t xml:space="preserve"> </w:t>
      </w:r>
      <w:r w:rsidR="00E9050C" w:rsidRPr="00E81E4A">
        <w:rPr>
          <w:rFonts w:hint="eastAsia"/>
          <w:sz w:val="26"/>
          <w:rtl/>
        </w:rPr>
        <w:t>במחנות</w:t>
      </w:r>
      <w:r w:rsidR="00E9050C" w:rsidRPr="00E81E4A">
        <w:rPr>
          <w:sz w:val="26"/>
          <w:rtl/>
        </w:rPr>
        <w:t xml:space="preserve"> </w:t>
      </w:r>
      <w:r w:rsidR="00E9050C" w:rsidRPr="00E81E4A">
        <w:rPr>
          <w:rFonts w:hint="eastAsia"/>
          <w:sz w:val="26"/>
          <w:rtl/>
        </w:rPr>
        <w:t>שעבדו</w:t>
      </w:r>
      <w:r w:rsidR="00E9050C" w:rsidRPr="00E81E4A">
        <w:rPr>
          <w:sz w:val="26"/>
          <w:rtl/>
        </w:rPr>
        <w:t xml:space="preserve"> </w:t>
      </w:r>
      <w:r w:rsidR="00E9050C" w:rsidRPr="00E81E4A">
        <w:rPr>
          <w:rFonts w:hint="eastAsia"/>
          <w:sz w:val="26"/>
          <w:rtl/>
        </w:rPr>
        <w:t>בהם</w:t>
      </w:r>
      <w:r w:rsidR="00E9050C" w:rsidRPr="00E81E4A">
        <w:rPr>
          <w:sz w:val="26"/>
          <w:rtl/>
        </w:rPr>
        <w:t xml:space="preserve"> </w:t>
      </w:r>
      <w:r w:rsidR="00E9050C" w:rsidRPr="00E81E4A">
        <w:rPr>
          <w:rFonts w:hint="eastAsia"/>
          <w:sz w:val="26"/>
          <w:rtl/>
        </w:rPr>
        <w:t>בעבודות</w:t>
      </w:r>
      <w:r w:rsidR="00E9050C" w:rsidRPr="00E81E4A">
        <w:rPr>
          <w:sz w:val="26"/>
          <w:rtl/>
        </w:rPr>
        <w:t xml:space="preserve"> </w:t>
      </w:r>
      <w:r w:rsidR="00E9050C" w:rsidRPr="00E81E4A">
        <w:rPr>
          <w:rFonts w:hint="eastAsia"/>
          <w:sz w:val="26"/>
          <w:rtl/>
        </w:rPr>
        <w:t>פרך</w:t>
      </w:r>
      <w:r w:rsidR="00E9050C" w:rsidRPr="00E81E4A">
        <w:rPr>
          <w:rFonts w:hint="cs"/>
          <w:sz w:val="26"/>
          <w:rtl/>
        </w:rPr>
        <w:t xml:space="preserve"> ו</w:t>
      </w:r>
      <w:r w:rsidRPr="00E81E4A">
        <w:rPr>
          <w:rFonts w:hint="cs"/>
          <w:sz w:val="26"/>
          <w:rtl/>
        </w:rPr>
        <w:t xml:space="preserve">עלו לישראל אחרי 1 באוקטובר 1953 לא נכללה בין הזכאים.  </w:t>
      </w:r>
    </w:p>
    <w:p w:rsidR="00E66104" w:rsidRDefault="0042156D" w:rsidP="0042156D">
      <w:pPr>
        <w:pStyle w:val="Hesber"/>
        <w:rPr>
          <w:sz w:val="26"/>
          <w:rtl/>
        </w:rPr>
      </w:pPr>
      <w:r>
        <w:rPr>
          <w:rFonts w:hint="cs"/>
          <w:sz w:val="26"/>
          <w:rtl/>
        </w:rPr>
        <w:t>בשל</w:t>
      </w:r>
      <w:r w:rsidR="00FD68D7" w:rsidRPr="00E81E4A">
        <w:rPr>
          <w:rFonts w:hint="cs"/>
          <w:sz w:val="26"/>
          <w:rtl/>
        </w:rPr>
        <w:t xml:space="preserve"> האמ</w:t>
      </w:r>
      <w:r w:rsidR="00355E53">
        <w:rPr>
          <w:rFonts w:hint="cs"/>
          <w:sz w:val="26"/>
          <w:rtl/>
        </w:rPr>
        <w:t>ור, ו</w:t>
      </w:r>
      <w:r w:rsidR="00FD68D7" w:rsidRPr="00E81E4A">
        <w:rPr>
          <w:rFonts w:hint="cs"/>
          <w:sz w:val="26"/>
          <w:rtl/>
        </w:rPr>
        <w:t>נוכח העובדה שאין מקום להבחנה בין ניצולי השואה שעלו לפני שנת 1953 ל</w:t>
      </w:r>
      <w:r w:rsidR="00E9050C" w:rsidRPr="00E81E4A">
        <w:rPr>
          <w:rFonts w:hint="cs"/>
          <w:sz w:val="26"/>
          <w:rtl/>
        </w:rPr>
        <w:t xml:space="preserve">ניצולי שואה ששהו במחנות ריכוז, בגטו או במחנות שעבדו בהם בעבודות פרך ועלו לישראל אחרי 1 באוקטובר 1953, </w:t>
      </w:r>
      <w:r w:rsidR="00E66104" w:rsidRPr="00E81E4A">
        <w:rPr>
          <w:rFonts w:hint="cs"/>
          <w:sz w:val="26"/>
          <w:rtl/>
        </w:rPr>
        <w:t>מוצע לקבוע כי</w:t>
      </w:r>
      <w:r w:rsidR="00FD68D7" w:rsidRPr="00E81E4A">
        <w:rPr>
          <w:rFonts w:hint="cs"/>
          <w:sz w:val="26"/>
          <w:rtl/>
        </w:rPr>
        <w:t xml:space="preserve"> ניצול שואה </w:t>
      </w:r>
      <w:r w:rsidR="00E9050C" w:rsidRPr="00E81E4A">
        <w:rPr>
          <w:rFonts w:hint="cs"/>
          <w:sz w:val="26"/>
          <w:rtl/>
        </w:rPr>
        <w:t xml:space="preserve">ששהה במחנות ריכוז, בגטו או במחנות שעבדו בהם בעבודות פרך </w:t>
      </w:r>
      <w:r w:rsidR="00FD68D7" w:rsidRPr="00E81E4A">
        <w:rPr>
          <w:rFonts w:hint="cs"/>
          <w:sz w:val="26"/>
          <w:rtl/>
        </w:rPr>
        <w:t xml:space="preserve">יהיה זכאי לתגמולים לפי חוק נכי רדיפות הנאצים גם אם עלה לישראל אחרי 1 באוקטובר 1953, ובלבד שאם קיבל תשלום </w:t>
      </w:r>
      <w:r w:rsidR="00E9050C" w:rsidRPr="00E81E4A">
        <w:rPr>
          <w:rFonts w:hint="cs"/>
          <w:sz w:val="26"/>
          <w:rtl/>
        </w:rPr>
        <w:t xml:space="preserve">לפי ההסכם </w:t>
      </w:r>
      <w:r>
        <w:rPr>
          <w:rFonts w:hint="cs"/>
          <w:sz w:val="26"/>
          <w:rtl/>
        </w:rPr>
        <w:t>בין</w:t>
      </w:r>
      <w:r w:rsidR="00E9050C" w:rsidRPr="00E81E4A">
        <w:rPr>
          <w:rFonts w:hint="cs"/>
          <w:sz w:val="26"/>
          <w:rtl/>
        </w:rPr>
        <w:t xml:space="preserve"> </w:t>
      </w:r>
      <w:r w:rsidR="00FD68D7" w:rsidRPr="00E81E4A">
        <w:rPr>
          <w:rFonts w:hint="cs"/>
          <w:sz w:val="26"/>
          <w:rtl/>
        </w:rPr>
        <w:t>גרמניה</w:t>
      </w:r>
      <w:r w:rsidR="00E9050C" w:rsidRPr="00E81E4A">
        <w:rPr>
          <w:rFonts w:hint="cs"/>
          <w:sz w:val="26"/>
          <w:rtl/>
        </w:rPr>
        <w:t xml:space="preserve"> וועדת התביעות</w:t>
      </w:r>
      <w:r w:rsidR="00FD68D7" w:rsidRPr="00E81E4A">
        <w:rPr>
          <w:rFonts w:hint="cs"/>
          <w:sz w:val="26"/>
          <w:rtl/>
        </w:rPr>
        <w:t xml:space="preserve">, ינוכה מהתגמול שישתלם לו לפי חוק נכי רדיפות הנאצים סכום השווה לתשלום </w:t>
      </w:r>
      <w:r w:rsidR="00E9050C" w:rsidRPr="00E81E4A">
        <w:rPr>
          <w:rFonts w:hint="cs"/>
          <w:sz w:val="26"/>
          <w:rtl/>
        </w:rPr>
        <w:t>לפי ההסכם עם</w:t>
      </w:r>
      <w:r w:rsidR="00FD68D7" w:rsidRPr="00E81E4A">
        <w:rPr>
          <w:rFonts w:hint="cs"/>
          <w:sz w:val="26"/>
          <w:rtl/>
        </w:rPr>
        <w:t xml:space="preserve"> גרמניה.</w:t>
      </w:r>
    </w:p>
    <w:p w:rsidR="00E13C27" w:rsidRDefault="00E13C27" w:rsidP="00E81E4A">
      <w:pPr>
        <w:pStyle w:val="Hesber"/>
        <w:rPr>
          <w:rtl/>
        </w:rPr>
      </w:pPr>
    </w:p>
    <w:p w:rsidR="0042156D" w:rsidRDefault="0042156D" w:rsidP="00E81E4A">
      <w:pPr>
        <w:pStyle w:val="Hesber"/>
        <w:rPr>
          <w:rtl/>
        </w:rPr>
      </w:pPr>
    </w:p>
    <w:p w:rsidR="0042156D" w:rsidRDefault="0042156D" w:rsidP="00E81E4A">
      <w:pPr>
        <w:pStyle w:val="Hesber"/>
        <w:rPr>
          <w:rtl/>
        </w:rPr>
      </w:pPr>
    </w:p>
    <w:p w:rsidR="0042156D" w:rsidRDefault="0042156D" w:rsidP="00E81E4A">
      <w:pPr>
        <w:pStyle w:val="Hesber"/>
        <w:rPr>
          <w:rtl/>
        </w:rPr>
      </w:pPr>
    </w:p>
    <w:p w:rsidR="0042156D" w:rsidRDefault="0042156D" w:rsidP="00E81E4A">
      <w:pPr>
        <w:pStyle w:val="Hesber"/>
        <w:rPr>
          <w:rtl/>
        </w:rPr>
      </w:pPr>
    </w:p>
    <w:p w:rsidR="0042156D" w:rsidRPr="0022704F" w:rsidRDefault="0042156D" w:rsidP="0042156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rsidR="0042156D" w:rsidRPr="0022704F" w:rsidRDefault="0042156D" w:rsidP="0042156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rsidR="0042156D" w:rsidRPr="0022704F" w:rsidRDefault="0042156D" w:rsidP="0042156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rsidR="0042156D" w:rsidRPr="00935520" w:rsidRDefault="0042156D" w:rsidP="0042156D">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ט"ז באדר ב' התשע"ד</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3</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14</w:t>
      </w:r>
    </w:p>
    <w:p w:rsidR="0042156D" w:rsidRPr="0042156D" w:rsidRDefault="0042156D" w:rsidP="00E81E4A">
      <w:pPr>
        <w:pStyle w:val="Hesber"/>
        <w:rPr>
          <w:rtl/>
        </w:rPr>
      </w:pPr>
    </w:p>
    <w:p w:rsidR="0042156D" w:rsidRDefault="0042156D" w:rsidP="00E81E4A">
      <w:pPr>
        <w:pStyle w:val="Hesber"/>
        <w:rPr>
          <w:rtl/>
        </w:rPr>
      </w:pPr>
    </w:p>
    <w:sectPr w:rsidR="0042156D"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85B" w:rsidRDefault="0060385B">
      <w:r>
        <w:separator/>
      </w:r>
    </w:p>
  </w:endnote>
  <w:endnote w:type="continuationSeparator" w:id="0">
    <w:p w:rsidR="0060385B" w:rsidRDefault="00603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7651BA">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85B" w:rsidRDefault="0060385B">
      <w:r>
        <w:separator/>
      </w:r>
    </w:p>
  </w:footnote>
  <w:footnote w:type="continuationSeparator" w:id="0">
    <w:p w:rsidR="0060385B" w:rsidRDefault="0060385B">
      <w:r>
        <w:continuationSeparator/>
      </w:r>
    </w:p>
  </w:footnote>
  <w:footnote w:type="continuationNotice" w:id="1">
    <w:p w:rsidR="0060385B" w:rsidRDefault="0060385B"/>
  </w:footnote>
  <w:footnote w:id="2">
    <w:p w:rsidR="00E9050C" w:rsidRDefault="00E9050C">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47.</w:t>
      </w:r>
    </w:p>
  </w:footnote>
  <w:footnote w:id="3">
    <w:p w:rsidR="003849B7" w:rsidRDefault="003849B7" w:rsidP="003849B7">
      <w:pPr>
        <w:pStyle w:val="a4"/>
        <w:rPr>
          <w:rtl/>
        </w:rPr>
      </w:pPr>
      <w:r>
        <w:rPr>
          <w:rStyle w:val="a5"/>
        </w:rPr>
        <w:footnoteRef/>
      </w:r>
      <w:r>
        <w:rPr>
          <w:rtl/>
        </w:rPr>
        <w:t xml:space="preserve"> </w:t>
      </w:r>
      <w:r>
        <w:rPr>
          <w:rFonts w:hint="cs"/>
          <w:rtl/>
        </w:rPr>
        <w:t xml:space="preserve">ס"ח </w:t>
      </w:r>
      <w:proofErr w:type="spellStart"/>
      <w:r>
        <w:rPr>
          <w:rFonts w:hint="cs"/>
          <w:rtl/>
        </w:rPr>
        <w:t>התשי"ז</w:t>
      </w:r>
      <w:proofErr w:type="spellEnd"/>
      <w:r>
        <w:rPr>
          <w:rFonts w:hint="cs"/>
          <w:rtl/>
        </w:rPr>
        <w:t>, עמ' 163.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9701lsCopyOriginal.docx"/>
    <w:docVar w:name="StartMode" w:val="2"/>
  </w:docVars>
  <w:rsids>
    <w:rsidRoot w:val="00DB7060"/>
    <w:rsid w:val="00006938"/>
    <w:rsid w:val="00015B27"/>
    <w:rsid w:val="0009262A"/>
    <w:rsid w:val="000A542E"/>
    <w:rsid w:val="001207F8"/>
    <w:rsid w:val="00121924"/>
    <w:rsid w:val="001279A8"/>
    <w:rsid w:val="0014195F"/>
    <w:rsid w:val="00152609"/>
    <w:rsid w:val="00153E1B"/>
    <w:rsid w:val="001662EC"/>
    <w:rsid w:val="001A0623"/>
    <w:rsid w:val="001C23B0"/>
    <w:rsid w:val="001F6907"/>
    <w:rsid w:val="00203A7F"/>
    <w:rsid w:val="002200A1"/>
    <w:rsid w:val="002362BF"/>
    <w:rsid w:val="00241B97"/>
    <w:rsid w:val="00254605"/>
    <w:rsid w:val="002728B4"/>
    <w:rsid w:val="00292712"/>
    <w:rsid w:val="002C2E29"/>
    <w:rsid w:val="003232A2"/>
    <w:rsid w:val="00355E53"/>
    <w:rsid w:val="00360D1A"/>
    <w:rsid w:val="003710F6"/>
    <w:rsid w:val="003849B7"/>
    <w:rsid w:val="00386E88"/>
    <w:rsid w:val="003D74A0"/>
    <w:rsid w:val="004033D8"/>
    <w:rsid w:val="0042156D"/>
    <w:rsid w:val="004D3876"/>
    <w:rsid w:val="004E4552"/>
    <w:rsid w:val="00553C9D"/>
    <w:rsid w:val="00584537"/>
    <w:rsid w:val="005B064E"/>
    <w:rsid w:val="005C2256"/>
    <w:rsid w:val="005D51AE"/>
    <w:rsid w:val="006030B3"/>
    <w:rsid w:val="0060385B"/>
    <w:rsid w:val="00644940"/>
    <w:rsid w:val="006818A9"/>
    <w:rsid w:val="006C1D0D"/>
    <w:rsid w:val="0070601E"/>
    <w:rsid w:val="007614E2"/>
    <w:rsid w:val="007651BA"/>
    <w:rsid w:val="00765F66"/>
    <w:rsid w:val="007D5A12"/>
    <w:rsid w:val="007E59F9"/>
    <w:rsid w:val="00810BCD"/>
    <w:rsid w:val="00812C98"/>
    <w:rsid w:val="00814D92"/>
    <w:rsid w:val="00892135"/>
    <w:rsid w:val="00895449"/>
    <w:rsid w:val="00897879"/>
    <w:rsid w:val="008C2DDC"/>
    <w:rsid w:val="008F0D63"/>
    <w:rsid w:val="008F2C35"/>
    <w:rsid w:val="0091204F"/>
    <w:rsid w:val="009203DB"/>
    <w:rsid w:val="00925616"/>
    <w:rsid w:val="00943386"/>
    <w:rsid w:val="00957589"/>
    <w:rsid w:val="00982412"/>
    <w:rsid w:val="00A26BD6"/>
    <w:rsid w:val="00A82CB7"/>
    <w:rsid w:val="00AC36F7"/>
    <w:rsid w:val="00B06E27"/>
    <w:rsid w:val="00B35784"/>
    <w:rsid w:val="00B8677C"/>
    <w:rsid w:val="00BC45FB"/>
    <w:rsid w:val="00C255F6"/>
    <w:rsid w:val="00C9176A"/>
    <w:rsid w:val="00C94ABE"/>
    <w:rsid w:val="00D867D7"/>
    <w:rsid w:val="00DB7060"/>
    <w:rsid w:val="00DE3153"/>
    <w:rsid w:val="00DF270F"/>
    <w:rsid w:val="00E13C27"/>
    <w:rsid w:val="00E33BBD"/>
    <w:rsid w:val="00E45103"/>
    <w:rsid w:val="00E66104"/>
    <w:rsid w:val="00E665B9"/>
    <w:rsid w:val="00E81E4A"/>
    <w:rsid w:val="00E9050C"/>
    <w:rsid w:val="00E9510C"/>
    <w:rsid w:val="00EA01E6"/>
    <w:rsid w:val="00EA758F"/>
    <w:rsid w:val="00EC56F1"/>
    <w:rsid w:val="00ED4A6F"/>
    <w:rsid w:val="00EF3A3A"/>
    <w:rsid w:val="00F13369"/>
    <w:rsid w:val="00F51A44"/>
    <w:rsid w:val="00FD68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E4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E81E4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1E4A"/>
    <w:rPr>
      <w:sz w:val="36"/>
      <w:szCs w:val="52"/>
    </w:rPr>
  </w:style>
  <w:style w:type="paragraph" w:customStyle="1" w:styleId="Cover3-Haknesset">
    <w:name w:val="Cover 3-Haknesset"/>
    <w:basedOn w:val="Cover1-Reshumot"/>
    <w:rsid w:val="00E81E4A"/>
    <w:rPr>
      <w:b/>
      <w:bCs/>
      <w:spacing w:val="60"/>
    </w:rPr>
  </w:style>
  <w:style w:type="paragraph" w:customStyle="1" w:styleId="Cover4-Date">
    <w:name w:val="Cover 4-Date"/>
    <w:basedOn w:val="a"/>
    <w:rsid w:val="00E81E4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81E4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1E4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81E4A"/>
    <w:pPr>
      <w:spacing w:before="120" w:after="120"/>
    </w:pPr>
    <w:rPr>
      <w:color w:val="FF0000"/>
      <w:w w:val="80"/>
    </w:rPr>
  </w:style>
  <w:style w:type="paragraph" w:styleId="a3">
    <w:name w:val="endnote text"/>
    <w:basedOn w:val="a"/>
    <w:semiHidden/>
    <w:rsid w:val="00E81E4A"/>
    <w:pPr>
      <w:ind w:left="227" w:hanging="227"/>
    </w:pPr>
    <w:rPr>
      <w:sz w:val="14"/>
      <w:szCs w:val="22"/>
    </w:rPr>
  </w:style>
  <w:style w:type="paragraph" w:customStyle="1" w:styleId="TableText">
    <w:name w:val="Table Text"/>
    <w:basedOn w:val="a"/>
    <w:rsid w:val="00E81E4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1E4A"/>
  </w:style>
  <w:style w:type="paragraph" w:customStyle="1" w:styleId="TableBlock">
    <w:name w:val="Table Block"/>
    <w:basedOn w:val="TableText"/>
    <w:rsid w:val="00E81E4A"/>
    <w:pPr>
      <w:ind w:right="0"/>
      <w:jc w:val="both"/>
    </w:pPr>
  </w:style>
  <w:style w:type="paragraph" w:customStyle="1" w:styleId="TableHead">
    <w:name w:val="Table Head"/>
    <w:basedOn w:val="TableText"/>
    <w:rsid w:val="00E81E4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81E4A"/>
  </w:style>
  <w:style w:type="paragraph" w:customStyle="1" w:styleId="Hesber">
    <w:name w:val="Hesber"/>
    <w:basedOn w:val="a"/>
    <w:rsid w:val="00E81E4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E81E4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E81E4A"/>
    <w:rPr>
      <w:vertAlign w:val="superscript"/>
    </w:rPr>
  </w:style>
  <w:style w:type="paragraph" w:customStyle="1" w:styleId="HesberHeading">
    <w:name w:val="Hesber Heading"/>
    <w:basedOn w:val="Hesber"/>
    <w:rsid w:val="00E81E4A"/>
    <w:pPr>
      <w:tabs>
        <w:tab w:val="left" w:pos="624"/>
        <w:tab w:val="left" w:pos="1247"/>
      </w:tabs>
      <w:ind w:firstLine="0"/>
    </w:pPr>
    <w:rPr>
      <w:b/>
      <w:bCs/>
    </w:rPr>
  </w:style>
  <w:style w:type="paragraph" w:customStyle="1" w:styleId="HesberWriters">
    <w:name w:val="Hesber Writers"/>
    <w:basedOn w:val="Hesber"/>
    <w:rsid w:val="00E81E4A"/>
    <w:pPr>
      <w:spacing w:before="120" w:after="6000"/>
      <w:ind w:left="1418" w:firstLine="0"/>
      <w:jc w:val="right"/>
    </w:pPr>
    <w:rPr>
      <w:b/>
      <w:bCs/>
    </w:rPr>
  </w:style>
  <w:style w:type="paragraph" w:customStyle="1" w:styleId="Hesber1st">
    <w:name w:val="Hesber 1st"/>
    <w:basedOn w:val="Hesber"/>
    <w:rsid w:val="00E81E4A"/>
    <w:pPr>
      <w:tabs>
        <w:tab w:val="left" w:pos="680"/>
        <w:tab w:val="left" w:pos="1020"/>
      </w:tabs>
      <w:ind w:firstLine="0"/>
    </w:pPr>
  </w:style>
  <w:style w:type="character" w:styleId="a6">
    <w:name w:val="endnote reference"/>
    <w:basedOn w:val="a0"/>
    <w:semiHidden/>
    <w:rsid w:val="00E81E4A"/>
    <w:rPr>
      <w:vertAlign w:val="superscript"/>
    </w:rPr>
  </w:style>
  <w:style w:type="paragraph" w:customStyle="1" w:styleId="TableBlockOutdent">
    <w:name w:val="Table BlockOutdent"/>
    <w:basedOn w:val="TableBlock"/>
    <w:rsid w:val="00E81E4A"/>
    <w:pPr>
      <w:ind w:left="624" w:hanging="624"/>
    </w:pPr>
  </w:style>
  <w:style w:type="paragraph" w:styleId="a7">
    <w:name w:val="header"/>
    <w:basedOn w:val="a"/>
    <w:rsid w:val="00E81E4A"/>
    <w:pPr>
      <w:tabs>
        <w:tab w:val="center" w:pos="4153"/>
        <w:tab w:val="right" w:pos="8306"/>
      </w:tabs>
    </w:pPr>
  </w:style>
  <w:style w:type="paragraph" w:styleId="a8">
    <w:name w:val="footer"/>
    <w:basedOn w:val="a"/>
    <w:rsid w:val="00E81E4A"/>
    <w:pPr>
      <w:tabs>
        <w:tab w:val="center" w:pos="4153"/>
        <w:tab w:val="right" w:pos="8306"/>
      </w:tabs>
    </w:pPr>
  </w:style>
  <w:style w:type="paragraph" w:customStyle="1" w:styleId="HeadDivreiHesber">
    <w:name w:val="Head DivreiHesber"/>
    <w:basedOn w:val="a"/>
    <w:rsid w:val="00E81E4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E81E4A"/>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E81E4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E4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E81E4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1E4A"/>
    <w:rPr>
      <w:sz w:val="36"/>
      <w:szCs w:val="52"/>
    </w:rPr>
  </w:style>
  <w:style w:type="paragraph" w:customStyle="1" w:styleId="Cover3-Haknesset">
    <w:name w:val="Cover 3-Haknesset"/>
    <w:basedOn w:val="Cover1-Reshumot"/>
    <w:rsid w:val="00E81E4A"/>
    <w:rPr>
      <w:b/>
      <w:bCs/>
      <w:spacing w:val="60"/>
    </w:rPr>
  </w:style>
  <w:style w:type="paragraph" w:customStyle="1" w:styleId="Cover4-Date">
    <w:name w:val="Cover 4-Date"/>
    <w:basedOn w:val="a"/>
    <w:rsid w:val="00E81E4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81E4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1E4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81E4A"/>
    <w:pPr>
      <w:spacing w:before="120" w:after="120"/>
    </w:pPr>
    <w:rPr>
      <w:color w:val="FF0000"/>
      <w:w w:val="80"/>
    </w:rPr>
  </w:style>
  <w:style w:type="paragraph" w:styleId="a3">
    <w:name w:val="endnote text"/>
    <w:basedOn w:val="a"/>
    <w:semiHidden/>
    <w:rsid w:val="00E81E4A"/>
    <w:pPr>
      <w:ind w:left="227" w:hanging="227"/>
    </w:pPr>
    <w:rPr>
      <w:sz w:val="14"/>
      <w:szCs w:val="22"/>
    </w:rPr>
  </w:style>
  <w:style w:type="paragraph" w:customStyle="1" w:styleId="TableText">
    <w:name w:val="Table Text"/>
    <w:basedOn w:val="a"/>
    <w:rsid w:val="00E81E4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1E4A"/>
  </w:style>
  <w:style w:type="paragraph" w:customStyle="1" w:styleId="TableBlock">
    <w:name w:val="Table Block"/>
    <w:basedOn w:val="TableText"/>
    <w:rsid w:val="00E81E4A"/>
    <w:pPr>
      <w:ind w:right="0"/>
      <w:jc w:val="both"/>
    </w:pPr>
  </w:style>
  <w:style w:type="paragraph" w:customStyle="1" w:styleId="TableHead">
    <w:name w:val="Table Head"/>
    <w:basedOn w:val="TableText"/>
    <w:rsid w:val="00E81E4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81E4A"/>
  </w:style>
  <w:style w:type="paragraph" w:customStyle="1" w:styleId="Hesber">
    <w:name w:val="Hesber"/>
    <w:basedOn w:val="a"/>
    <w:rsid w:val="00E81E4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E81E4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E81E4A"/>
    <w:rPr>
      <w:vertAlign w:val="superscript"/>
    </w:rPr>
  </w:style>
  <w:style w:type="paragraph" w:customStyle="1" w:styleId="HesberHeading">
    <w:name w:val="Hesber Heading"/>
    <w:basedOn w:val="Hesber"/>
    <w:rsid w:val="00E81E4A"/>
    <w:pPr>
      <w:tabs>
        <w:tab w:val="left" w:pos="624"/>
        <w:tab w:val="left" w:pos="1247"/>
      </w:tabs>
      <w:ind w:firstLine="0"/>
    </w:pPr>
    <w:rPr>
      <w:b/>
      <w:bCs/>
    </w:rPr>
  </w:style>
  <w:style w:type="paragraph" w:customStyle="1" w:styleId="HesberWriters">
    <w:name w:val="Hesber Writers"/>
    <w:basedOn w:val="Hesber"/>
    <w:rsid w:val="00E81E4A"/>
    <w:pPr>
      <w:spacing w:before="120" w:after="6000"/>
      <w:ind w:left="1418" w:firstLine="0"/>
      <w:jc w:val="right"/>
    </w:pPr>
    <w:rPr>
      <w:b/>
      <w:bCs/>
    </w:rPr>
  </w:style>
  <w:style w:type="paragraph" w:customStyle="1" w:styleId="Hesber1st">
    <w:name w:val="Hesber 1st"/>
    <w:basedOn w:val="Hesber"/>
    <w:rsid w:val="00E81E4A"/>
    <w:pPr>
      <w:tabs>
        <w:tab w:val="left" w:pos="680"/>
        <w:tab w:val="left" w:pos="1020"/>
      </w:tabs>
      <w:ind w:firstLine="0"/>
    </w:pPr>
  </w:style>
  <w:style w:type="character" w:styleId="a6">
    <w:name w:val="endnote reference"/>
    <w:basedOn w:val="a0"/>
    <w:semiHidden/>
    <w:rsid w:val="00E81E4A"/>
    <w:rPr>
      <w:vertAlign w:val="superscript"/>
    </w:rPr>
  </w:style>
  <w:style w:type="paragraph" w:customStyle="1" w:styleId="TableBlockOutdent">
    <w:name w:val="Table BlockOutdent"/>
    <w:basedOn w:val="TableBlock"/>
    <w:rsid w:val="00E81E4A"/>
    <w:pPr>
      <w:ind w:left="624" w:hanging="624"/>
    </w:pPr>
  </w:style>
  <w:style w:type="paragraph" w:styleId="a7">
    <w:name w:val="header"/>
    <w:basedOn w:val="a"/>
    <w:rsid w:val="00E81E4A"/>
    <w:pPr>
      <w:tabs>
        <w:tab w:val="center" w:pos="4153"/>
        <w:tab w:val="right" w:pos="8306"/>
      </w:tabs>
    </w:pPr>
  </w:style>
  <w:style w:type="paragraph" w:styleId="a8">
    <w:name w:val="footer"/>
    <w:basedOn w:val="a"/>
    <w:rsid w:val="00E81E4A"/>
    <w:pPr>
      <w:tabs>
        <w:tab w:val="center" w:pos="4153"/>
        <w:tab w:val="right" w:pos="8306"/>
      </w:tabs>
    </w:pPr>
  </w:style>
  <w:style w:type="paragraph" w:customStyle="1" w:styleId="HeadDivreiHesber">
    <w:name w:val="Head DivreiHesber"/>
    <w:basedOn w:val="a"/>
    <w:rsid w:val="00E81E4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E81E4A"/>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E81E4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00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14A7B9-03BA-48CB-AE8E-3641E49B5AE7}"/>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84ED5F7F-E30B-40E9-838C-51A7C5A4787B}"/>
</file>

<file path=docProps/app.xml><?xml version="1.0" encoding="utf-8"?>
<Properties xmlns="http://schemas.openxmlformats.org/officeDocument/2006/extended-properties" xmlns:vt="http://schemas.openxmlformats.org/officeDocument/2006/docPropsVTypes">
  <Template>Normal</Template>
  <TotalTime>0</TotalTime>
  <Pages>1</Pages>
  <Words>507</Words>
  <Characters>2539</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תני פרנק</dc:creator>
  <cp:keywords/>
  <dc:description/>
  <cp:lastModifiedBy>לילך יעיש</cp:lastModifiedBy>
  <cp:revision>2</cp:revision>
  <cp:lastPrinted>2014-03-12T09:18:00Z</cp:lastPrinted>
  <dcterms:created xsi:type="dcterms:W3CDTF">2014-03-12T09:19:00Z</dcterms:created>
  <dcterms:modified xsi:type="dcterms:W3CDTF">2014-03-12T09:19:00Z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