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EC" w:rsidRPr="001E40EC" w:rsidRDefault="00AC47D5" w:rsidP="001E40EC">
      <w:pPr>
        <w:pStyle w:val="HeadHatzaotHok"/>
        <w:spacing w:before="0"/>
        <w:rPr>
          <w:rFonts w:hint="cs"/>
          <w:highlight w:val="yellow"/>
          <w:rtl/>
        </w:rPr>
      </w:pPr>
      <w:r w:rsidRPr="001E40EC">
        <w:rPr>
          <w:rFonts w:hint="cs"/>
          <w:highlight w:val="yellow"/>
          <w:rtl/>
        </w:rPr>
        <w:t xml:space="preserve">נוסח הצעת החוק כפי </w:t>
      </w:r>
      <w:r w:rsidR="001E40EC" w:rsidRPr="001E40EC">
        <w:rPr>
          <w:rFonts w:hint="cs"/>
          <w:highlight w:val="yellow"/>
          <w:rtl/>
        </w:rPr>
        <w:t>שאושרה בוועדת הפנים בכנסת ה-18</w:t>
      </w:r>
    </w:p>
    <w:p w:rsidR="00AC47D5" w:rsidRDefault="001E40EC" w:rsidP="001E40EC">
      <w:pPr>
        <w:pStyle w:val="HeadHatzaotHok"/>
        <w:spacing w:before="0"/>
        <w:rPr>
          <w:rFonts w:hint="cs"/>
          <w:rtl/>
        </w:rPr>
      </w:pPr>
      <w:r w:rsidRPr="001E40EC">
        <w:rPr>
          <w:rFonts w:hint="cs"/>
          <w:highlight w:val="yellow"/>
          <w:rtl/>
        </w:rPr>
        <w:t>ב</w:t>
      </w:r>
      <w:r w:rsidR="00AC47D5" w:rsidRPr="001E40EC">
        <w:rPr>
          <w:rFonts w:hint="cs"/>
          <w:highlight w:val="yellow"/>
          <w:rtl/>
        </w:rPr>
        <w:t xml:space="preserve">התאמות הנדרשות נוכח השינויים שחלו </w:t>
      </w:r>
      <w:r w:rsidRPr="001E40EC">
        <w:rPr>
          <w:rFonts w:hint="cs"/>
          <w:highlight w:val="yellow"/>
          <w:rtl/>
        </w:rPr>
        <w:t>בחוק סמכויות לשם שמירה על ביטחון הציבור מאז הדיונים</w:t>
      </w:r>
    </w:p>
    <w:p w:rsidR="00AC47D5" w:rsidRDefault="00AC47D5" w:rsidP="00AC47D5">
      <w:pPr>
        <w:pStyle w:val="HeadHatzaotHok"/>
        <w:spacing w:before="0"/>
        <w:rPr>
          <w:rFonts w:hint="cs"/>
          <w:rtl/>
        </w:rPr>
      </w:pPr>
    </w:p>
    <w:p w:rsidR="00AC47D5" w:rsidRDefault="00AC47D5" w:rsidP="00AC47D5">
      <w:pPr>
        <w:pStyle w:val="HeadHatzaotHok"/>
        <w:spacing w:before="0"/>
        <w:rPr>
          <w:rFonts w:hint="cs"/>
          <w:rtl/>
        </w:rPr>
      </w:pPr>
    </w:p>
    <w:p w:rsidR="00AC47D5" w:rsidRDefault="007D0981" w:rsidP="00AC47D5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הצעת </w:t>
      </w:r>
      <w:r w:rsidR="00AC47D5" w:rsidRPr="001E40EC">
        <w:rPr>
          <w:rFonts w:hint="cs"/>
          <w:rtl/>
        </w:rPr>
        <w:t xml:space="preserve">חוק סמכויות לשם שמירה על ביטחון הציבור (תיקון מס' ...), </w:t>
      </w:r>
      <w:proofErr w:type="spellStart"/>
      <w:r w:rsidR="00AC47D5" w:rsidRPr="001E40EC">
        <w:rPr>
          <w:rtl/>
        </w:rPr>
        <w:t>התשע"ד</w:t>
      </w:r>
      <w:proofErr w:type="spellEnd"/>
      <w:r w:rsidR="00AC47D5" w:rsidRPr="001E40EC">
        <w:rPr>
          <w:rtl/>
        </w:rPr>
        <w:t>–2014</w:t>
      </w:r>
    </w:p>
    <w:p w:rsidR="00AC47D5" w:rsidRDefault="00AC47D5" w:rsidP="00AC47D5">
      <w:pPr>
        <w:pStyle w:val="Noparagraphstyle"/>
        <w:ind w:right="-28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1248"/>
        <w:gridCol w:w="624"/>
        <w:gridCol w:w="4646"/>
        <w:gridCol w:w="9"/>
      </w:tblGrid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6א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בחוק סמכויות לשם שמירה על ביטחון הציבור, </w:t>
            </w:r>
            <w:proofErr w:type="spellStart"/>
            <w:r w:rsidRPr="009D5E51">
              <w:rPr>
                <w:rFonts w:hAnsi="HadasaMFOMedium"/>
                <w:sz w:val="26"/>
                <w:rtl/>
              </w:rPr>
              <w:t>התשס"ה</w:t>
            </w:r>
            <w:proofErr w:type="spellEnd"/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>2005‏</w:t>
            </w:r>
            <w:r w:rsidRPr="009D5E51">
              <w:rPr>
                <w:rStyle w:val="a3"/>
                <w:rFonts w:hAnsi="HadasaMFOMedium"/>
                <w:sz w:val="26"/>
                <w:rtl/>
              </w:rPr>
              <w:footnoteReference w:id="1"/>
            </w:r>
            <w:r w:rsidRPr="009D5E51">
              <w:rPr>
                <w:rFonts w:hAnsi="HadasaMFOMedium" w:hint="cs"/>
                <w:sz w:val="26"/>
                <w:vertAlign w:val="subscript"/>
                <w:rtl/>
              </w:rPr>
              <w:t xml:space="preserve"> </w:t>
            </w:r>
            <w:r>
              <w:rPr>
                <w:rFonts w:hAnsi="HadasaMFOMedium" w:hint="cs"/>
                <w:sz w:val="26"/>
                <w:rtl/>
              </w:rPr>
              <w:t xml:space="preserve">(להלן </w:t>
            </w:r>
            <w:r>
              <w:rPr>
                <w:rFonts w:hAnsi="HadasaMFOMedium"/>
                <w:sz w:val="26"/>
                <w:rtl/>
              </w:rPr>
              <w:t>–</w:t>
            </w:r>
            <w:r>
              <w:rPr>
                <w:rFonts w:hAnsi="HadasaMFOMedium" w:hint="cs"/>
                <w:sz w:val="26"/>
                <w:rtl/>
              </w:rPr>
              <w:t xml:space="preserve"> החוק העיקרי), ב</w:t>
            </w:r>
            <w:r w:rsidRPr="009D5E51">
              <w:rPr>
                <w:rFonts w:hAnsi="HadasaMFOMedium"/>
                <w:sz w:val="26"/>
                <w:rtl/>
              </w:rPr>
              <w:t>סעיף 6</w:t>
            </w:r>
            <w:r>
              <w:rPr>
                <w:rFonts w:hAnsi="HadasaMFOMedium" w:hint="cs"/>
                <w:sz w:val="26"/>
                <w:rtl/>
              </w:rPr>
              <w:t>א –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SideHeading"/>
              <w:rPr>
                <w:rFonts w:hint="cs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Text"/>
              <w:rPr>
                <w:rFonts w:hint="cs"/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(1)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בכותרת הסעיף, המילים "במקום המספק שירותי רווחה" – יימחקו;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SideHeading"/>
              <w:rPr>
                <w:rFonts w:hint="cs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Text"/>
              <w:rPr>
                <w:rFonts w:hint="cs"/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 w:hint="cs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(2)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בסעיף קטן (א), במקום "במחלקה לשירותים חברתיים או בכל מקום המספק שירותי רווחה, בפני מאבטח" יבוא "במקום כאמור בתוספת, בפני מאבטח כאמור בסעיף 7(א)(3) (בסעיף זה – מאבטח מוסמך)" ובכל מקום, במקום "המאבטח" יבוא "המאבטח המוסמך";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SideHeading"/>
              <w:rPr>
                <w:rFonts w:hint="cs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Text"/>
              <w:rPr>
                <w:rFonts w:hint="cs"/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 w:hint="cs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(3)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אחרי סעיף קטן (ב) יבוא:</w:t>
            </w:r>
          </w:p>
        </w:tc>
      </w:tr>
      <w:tr w:rsidR="00AC47D5" w:rsidTr="00196C8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AC47D5" w:rsidRDefault="00AC47D5" w:rsidP="00196C86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AC47D5" w:rsidRDefault="00AC47D5" w:rsidP="00196C86">
            <w:pPr>
              <w:pStyle w:val="TableText"/>
            </w:pPr>
          </w:p>
        </w:tc>
        <w:tc>
          <w:tcPr>
            <w:tcW w:w="624" w:type="dxa"/>
          </w:tcPr>
          <w:p w:rsidR="00AC47D5" w:rsidRDefault="00AC47D5" w:rsidP="00196C86">
            <w:pPr>
              <w:pStyle w:val="TableText"/>
              <w:rPr>
                <w:rFonts w:hint="cs"/>
              </w:rPr>
            </w:pPr>
          </w:p>
        </w:tc>
        <w:tc>
          <w:tcPr>
            <w:tcW w:w="6527" w:type="dxa"/>
            <w:gridSpan w:val="4"/>
          </w:tcPr>
          <w:p w:rsidR="00AC47D5" w:rsidRDefault="00AC47D5" w:rsidP="00196C86">
            <w:pPr>
              <w:pStyle w:val="TableBlock"/>
            </w:pPr>
            <w:r>
              <w:rPr>
                <w:rFonts w:hint="cs"/>
                <w:rtl/>
              </w:rPr>
              <w:t>"(ב1)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על אף האמור בסעיף קטן (א), לא יפעיל מאבטח מוסמך במוסד חינוך את סמכויותיו לפי סעיף זה כלפי תלמיד הלומד במוסד החינוך או עובד הוראה המועסק באותו מוסד.";</w:t>
            </w:r>
          </w:p>
        </w:tc>
      </w:tr>
      <w:tr w:rsidR="00AC47D5" w:rsidTr="00196C8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AC47D5" w:rsidRDefault="00AC47D5" w:rsidP="00196C86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AC47D5" w:rsidRDefault="00AC47D5" w:rsidP="00196C86">
            <w:pPr>
              <w:pStyle w:val="TableText"/>
            </w:pPr>
          </w:p>
        </w:tc>
        <w:tc>
          <w:tcPr>
            <w:tcW w:w="7151" w:type="dxa"/>
            <w:gridSpan w:val="5"/>
          </w:tcPr>
          <w:p w:rsidR="00AC47D5" w:rsidRPr="00C34DE2" w:rsidRDefault="00AC47D5" w:rsidP="00196C86">
            <w:pPr>
              <w:pStyle w:val="TableBlock"/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ההגדרות "מחלקה לשירותים חברתיים" ו"מקום המספק שירותי רווחה" – יימחקו.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7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בסעיף 7(א)</w:t>
            </w:r>
            <w:r>
              <w:rPr>
                <w:rFonts w:hAnsi="HadasaMFOMedium" w:hint="cs"/>
                <w:sz w:val="26"/>
                <w:rtl/>
              </w:rPr>
              <w:t xml:space="preserve"> לחוק העיקרי</w:t>
            </w:r>
            <w:r w:rsidRPr="009D5E51">
              <w:rPr>
                <w:rFonts w:hAnsi="HadasaMFOMedium"/>
                <w:sz w:val="26"/>
                <w:rtl/>
              </w:rPr>
              <w:t>, אחרי פסקה (2) יבוא: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"(3)</w:t>
            </w:r>
            <w:r w:rsidRPr="009D5E51">
              <w:rPr>
                <w:rFonts w:hAnsi="HadasaMFOMedium"/>
                <w:sz w:val="26"/>
                <w:rtl/>
              </w:rPr>
              <w:tab/>
              <w:t xml:space="preserve">על אף הוראות פסקה (1), הסמיך השר אדם בסמכויות הקבועות בסעיף 6א, יקבע השר בהסמכה את סוגי המקומות מאלה המנויים בתוספת, שבהם מוסמך אותו אדם להפעיל את סמכויותיו לפי </w:t>
            </w:r>
            <w:r>
              <w:rPr>
                <w:rFonts w:hAnsi="HadasaMFOMedium" w:hint="cs"/>
                <w:sz w:val="26"/>
                <w:rtl/>
              </w:rPr>
              <w:t>ה</w:t>
            </w:r>
            <w:r w:rsidRPr="009D5E51">
              <w:rPr>
                <w:rFonts w:hAnsi="HadasaMFOMedium"/>
                <w:sz w:val="26"/>
                <w:rtl/>
              </w:rPr>
              <w:t xml:space="preserve">סעיף </w:t>
            </w:r>
            <w:r>
              <w:rPr>
                <w:rFonts w:hAnsi="HadasaMFOMedium" w:hint="cs"/>
                <w:sz w:val="26"/>
                <w:rtl/>
              </w:rPr>
              <w:t>האמור</w:t>
            </w:r>
            <w:r w:rsidRPr="009D5E51">
              <w:rPr>
                <w:rFonts w:hAnsi="HadasaMFOMedium"/>
                <w:sz w:val="26"/>
                <w:rtl/>
              </w:rPr>
              <w:t>."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סעיף 11א</w:t>
            </w: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3.</w:t>
            </w: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אחרי סעיף 11 </w:t>
            </w:r>
            <w:r>
              <w:rPr>
                <w:rFonts w:hAnsi="HadasaMFOMedium" w:hint="cs"/>
                <w:sz w:val="26"/>
                <w:rtl/>
              </w:rPr>
              <w:t xml:space="preserve">לחוק העיקרי </w:t>
            </w:r>
            <w:r w:rsidRPr="009D5E51">
              <w:rPr>
                <w:rFonts w:hAnsi="HadasaMFOMedium"/>
                <w:sz w:val="26"/>
                <w:rtl/>
              </w:rPr>
              <w:t>יבוא: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2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InnerSideHeading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"שינוי התוספת</w:t>
            </w: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11א.</w:t>
            </w:r>
          </w:p>
        </w:tc>
        <w:tc>
          <w:tcPr>
            <w:tcW w:w="4646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pacing w:val="-4"/>
                <w:sz w:val="26"/>
                <w:rtl/>
              </w:rPr>
              <w:t xml:space="preserve">השר רשאי, </w:t>
            </w:r>
            <w:r>
              <w:rPr>
                <w:rFonts w:hAnsi="HadasaMFOMedium" w:hint="cs"/>
                <w:spacing w:val="-4"/>
                <w:sz w:val="26"/>
                <w:rtl/>
              </w:rPr>
              <w:t xml:space="preserve">באישור ועדת הפנים והגנת הסביבה של הכנסת, </w:t>
            </w:r>
            <w:r w:rsidRPr="009D5E51">
              <w:rPr>
                <w:rFonts w:hAnsi="HadasaMFOMedium"/>
                <w:spacing w:val="-4"/>
                <w:sz w:val="26"/>
                <w:rtl/>
              </w:rPr>
              <w:t>להוסיף</w:t>
            </w:r>
            <w:r>
              <w:rPr>
                <w:rFonts w:hAnsi="HadasaMFOMedium" w:hint="cs"/>
                <w:spacing w:val="-4"/>
                <w:sz w:val="26"/>
                <w:rtl/>
              </w:rPr>
              <w:t>, בצו,</w:t>
            </w:r>
            <w:r w:rsidRPr="009D5E51">
              <w:rPr>
                <w:rFonts w:hAnsi="HadasaMFOMedium"/>
                <w:spacing w:val="-4"/>
                <w:sz w:val="26"/>
                <w:rtl/>
              </w:rPr>
              <w:t xml:space="preserve"> סוגי מקומות לתוספת, אם שוכנע כי קיים חשש לפגיעה בשלום הציבור באותם סוגי מקומות כתוצאה ממעשי אלימות, וכי הסמכויות האמורות בסעיף 6א דרושות למניעת מעשי אלימות כאמור באותם סוגי מקומות."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תוספת</w:t>
            </w: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אחרי סעיף 16 </w:t>
            </w:r>
            <w:r>
              <w:rPr>
                <w:rFonts w:hAnsi="HadasaMFOMedium" w:hint="cs"/>
                <w:sz w:val="26"/>
                <w:rtl/>
              </w:rPr>
              <w:t xml:space="preserve">לחוק העיקרי </w:t>
            </w:r>
            <w:r w:rsidRPr="009D5E51">
              <w:rPr>
                <w:rFonts w:hAnsi="HadasaMFOMedium"/>
                <w:sz w:val="26"/>
                <w:rtl/>
              </w:rPr>
              <w:t>יבוא: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3935A6" w:rsidRDefault="00AC47D5" w:rsidP="00196C86">
            <w:pPr>
              <w:pStyle w:val="TableHead"/>
              <w:rPr>
                <w:rtl/>
              </w:rPr>
            </w:pPr>
            <w:r w:rsidRPr="003935A6">
              <w:rPr>
                <w:rtl/>
              </w:rPr>
              <w:t xml:space="preserve">"תוספת 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C94647" w:rsidRDefault="00AC47D5" w:rsidP="00196C86">
            <w:pPr>
              <w:pStyle w:val="TableHead"/>
              <w:rPr>
                <w:b w:val="0"/>
                <w:bCs w:val="0"/>
                <w:rtl/>
              </w:rPr>
            </w:pPr>
            <w:r w:rsidRPr="00C94647">
              <w:rPr>
                <w:b w:val="0"/>
                <w:bCs w:val="0"/>
                <w:rtl/>
              </w:rPr>
              <w:t>(סעיפים 6א ו</w:t>
            </w:r>
            <w:r w:rsidRPr="00C94647">
              <w:rPr>
                <w:rFonts w:hint="cs"/>
                <w:b w:val="0"/>
                <w:bCs w:val="0"/>
                <w:rtl/>
              </w:rPr>
              <w:t>-</w:t>
            </w:r>
            <w:r w:rsidRPr="00C94647">
              <w:rPr>
                <w:b w:val="0"/>
                <w:bCs w:val="0"/>
                <w:rtl/>
              </w:rPr>
              <w:t>7(א)(3))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1.</w:t>
            </w:r>
            <w:r w:rsidRPr="009D5E51">
              <w:rPr>
                <w:rFonts w:hAnsi="HadasaMFOMedium" w:cs="Times New Roman"/>
                <w:sz w:val="26"/>
                <w:rtl/>
              </w:rPr>
              <w:t> </w:t>
            </w:r>
            <w:r w:rsidRPr="009D5E51">
              <w:rPr>
                <w:rFonts w:hAnsi="HadasaMFOMedium"/>
                <w:sz w:val="26"/>
                <w:rtl/>
              </w:rPr>
              <w:t xml:space="preserve">בית חולים, מרפאה וכל מוסד אחר אשר תפקידו העיקרי הוא מתן שירותי בריאות; לעניין זה </w:t>
            </w:r>
            <w:r>
              <w:rPr>
                <w:rFonts w:hAnsi="HadasaMFOMedium"/>
                <w:sz w:val="26"/>
                <w:rtl/>
              </w:rPr>
              <w:t>–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BlockOutdent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"בית חולים" </w:t>
            </w:r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 xml:space="preserve"> מוסד רפואי הרשום כבית חולים לפי פקודת בריאות העם, 1940‏</w:t>
            </w:r>
            <w:r w:rsidRPr="009D5E51">
              <w:rPr>
                <w:rStyle w:val="a3"/>
                <w:rFonts w:hAnsi="HadasaMFOMedium"/>
                <w:sz w:val="26"/>
                <w:rtl/>
              </w:rPr>
              <w:footnoteReference w:id="2"/>
            </w:r>
            <w:r w:rsidRPr="009D5E51">
              <w:rPr>
                <w:rFonts w:hAnsi="HadasaMFOMedium" w:hint="cs"/>
                <w:sz w:val="26"/>
                <w:rtl/>
              </w:rPr>
              <w:t xml:space="preserve"> </w:t>
            </w:r>
            <w:r w:rsidRPr="009D5E51">
              <w:rPr>
                <w:rFonts w:hAnsi="HadasaMFOMedium"/>
                <w:sz w:val="26"/>
                <w:rtl/>
              </w:rPr>
              <w:t xml:space="preserve">(להלן </w:t>
            </w:r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 xml:space="preserve"> פקודת בריאות העם);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BlockOutdent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"מרפאה" </w:t>
            </w:r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 xml:space="preserve"> כהגדרתה בסעיף 34(ג) לפקודת בריאות העם.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D11023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 w:rsidRPr="00D11023">
              <w:rPr>
                <w:rFonts w:hAnsi="HadasaMFOMedium"/>
                <w:sz w:val="26"/>
                <w:rtl/>
              </w:rPr>
              <w:t>2.</w:t>
            </w:r>
            <w:r w:rsidRPr="00D11023">
              <w:rPr>
                <w:rFonts w:hAnsi="HadasaMFOMedium" w:cs="Times New Roman"/>
                <w:sz w:val="26"/>
                <w:rtl/>
              </w:rPr>
              <w:t> </w:t>
            </w:r>
            <w:r w:rsidRPr="00AA0E22">
              <w:rPr>
                <w:rFonts w:hAnsi="HadasaMFOMedium"/>
                <w:rtl/>
              </w:rPr>
              <w:t xml:space="preserve"> מ</w:t>
            </w:r>
            <w:r w:rsidRPr="00AA0E22">
              <w:rPr>
                <w:rFonts w:hAnsi="HadasaMFOMedium" w:hint="cs"/>
                <w:rtl/>
              </w:rPr>
              <w:t>וס</w:t>
            </w:r>
            <w:r w:rsidRPr="00AA0E22">
              <w:rPr>
                <w:rFonts w:hAnsi="HadasaMFOMedium"/>
                <w:rtl/>
              </w:rPr>
              <w:t>דו</w:t>
            </w:r>
            <w:r w:rsidRPr="00AA0E22">
              <w:rPr>
                <w:rFonts w:hAnsi="HadasaMFOMedium" w:hint="cs"/>
                <w:rtl/>
              </w:rPr>
              <w:t>ת חינוך: גן ילדים, בית ספר יסודי, תלמוד תורה, חטיבת ביניים, בית ספר על-יסודי, מוסד חינוך משלים, מפעל קיט לילדים, מרכז תרבו</w:t>
            </w:r>
            <w:r w:rsidRPr="00AA0E22">
              <w:rPr>
                <w:rFonts w:hAnsi="HadasaMFOMedium"/>
                <w:rtl/>
              </w:rPr>
              <w:t xml:space="preserve">ת </w:t>
            </w:r>
            <w:r w:rsidRPr="00AA0E22">
              <w:rPr>
                <w:rFonts w:hAnsi="HadasaMFOMedium" w:hint="cs"/>
                <w:rtl/>
              </w:rPr>
              <w:t>נו</w:t>
            </w:r>
            <w:r w:rsidRPr="00AA0E22">
              <w:rPr>
                <w:rFonts w:hAnsi="HadasaMFOMedium"/>
                <w:rtl/>
              </w:rPr>
              <w:t>ער</w:t>
            </w:r>
            <w:r w:rsidRPr="00AA0E22">
              <w:rPr>
                <w:rFonts w:hAnsi="HadasaMFOMedium" w:hint="cs"/>
                <w:rtl/>
              </w:rPr>
              <w:t xml:space="preserve"> וספורט, </w:t>
            </w:r>
            <w:proofErr w:type="spellStart"/>
            <w:r w:rsidRPr="00AA0E22">
              <w:rPr>
                <w:rFonts w:hAnsi="HadasaMFOMedium" w:hint="cs"/>
                <w:rtl/>
              </w:rPr>
              <w:t>פנימיה</w:t>
            </w:r>
            <w:proofErr w:type="spellEnd"/>
            <w:r w:rsidRPr="00AA0E22">
              <w:rPr>
                <w:rFonts w:hAnsi="HadasaMFOMedium" w:hint="cs"/>
                <w:rtl/>
              </w:rPr>
              <w:t>, מוסד להשכלה גבוהה וכל מוסד אחר שבו ניתן חינוך.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 w:hint="cs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3.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 xml:space="preserve">מחלקה לשירותים חברתיים או מקום המספק שירותי רווחה, כהגדרתם בחוק למניעת אלימות במוסדות למתן טיפול, </w:t>
            </w:r>
            <w:proofErr w:type="spellStart"/>
            <w:r>
              <w:rPr>
                <w:rFonts w:hAnsi="HadasaMFOMedium" w:hint="cs"/>
                <w:sz w:val="26"/>
                <w:rtl/>
              </w:rPr>
              <w:t>התשע"א</w:t>
            </w:r>
            <w:proofErr w:type="spellEnd"/>
            <w:r>
              <w:rPr>
                <w:rFonts w:hAnsi="HadasaMFOMedium" w:hint="cs"/>
                <w:sz w:val="26"/>
                <w:rtl/>
              </w:rPr>
              <w:t>–2011.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D11023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 xml:space="preserve">4. 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פאב, מועדון או דיסקוטק.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 w:hint="cs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 xml:space="preserve">5. 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מקום שבו נערכים משחקים באמצעות מכונות, משחקי ביליארד, קלפים, קוביות וכיוצא באלה.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AC47D5" w:rsidRDefault="00AC47D5" w:rsidP="00196C86">
            <w:pPr>
              <w:pStyle w:val="TableBlock"/>
              <w:tabs>
                <w:tab w:val="left" w:pos="624"/>
                <w:tab w:val="left" w:pos="1247"/>
              </w:tabs>
              <w:rPr>
                <w:rFonts w:hAnsi="HadasaMFOMedium" w:hint="cs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 xml:space="preserve">6. 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מגרשי ספורט, אצטדיונים וכל מקום אחר שבו נערכות תחרויות ספורט."</w:t>
            </w:r>
          </w:p>
        </w:tc>
      </w:tr>
    </w:tbl>
    <w:p w:rsidR="00AC47D5" w:rsidRDefault="00AC47D5" w:rsidP="00AC47D5">
      <w:pPr>
        <w:ind w:right="-28"/>
        <w:jc w:val="center"/>
        <w:rPr>
          <w:sz w:val="26"/>
          <w:szCs w:val="26"/>
          <w:rtl/>
        </w:rPr>
      </w:pPr>
    </w:p>
    <w:p w:rsidR="00AC47D5" w:rsidRDefault="00AC47D5" w:rsidP="00AC47D5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8501F4" w:rsidRDefault="006F3096"/>
    <w:sectPr w:rsidR="008501F4" w:rsidSect="00EE1EE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096" w:rsidRDefault="006F3096" w:rsidP="00AC47D5">
      <w:pPr>
        <w:spacing w:before="0" w:line="240" w:lineRule="auto"/>
      </w:pPr>
      <w:r>
        <w:separator/>
      </w:r>
    </w:p>
  </w:endnote>
  <w:endnote w:type="continuationSeparator" w:id="0">
    <w:p w:rsidR="006F3096" w:rsidRDefault="006F3096" w:rsidP="00AC47D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Medium">
    <w:panose1 w:val="00000000000000000000"/>
    <w:charset w:val="B1"/>
    <w:family w:val="auto"/>
    <w:notTrueType/>
    <w:pitch w:val="default"/>
    <w:sig w:usb0="00001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096" w:rsidRDefault="006F3096" w:rsidP="00AC47D5">
      <w:pPr>
        <w:spacing w:before="0" w:line="240" w:lineRule="auto"/>
      </w:pPr>
      <w:r>
        <w:separator/>
      </w:r>
    </w:p>
  </w:footnote>
  <w:footnote w:type="continuationSeparator" w:id="0">
    <w:p w:rsidR="006F3096" w:rsidRDefault="006F3096" w:rsidP="00AC47D5">
      <w:pPr>
        <w:spacing w:before="0" w:line="240" w:lineRule="auto"/>
      </w:pPr>
      <w:r>
        <w:continuationSeparator/>
      </w:r>
    </w:p>
  </w:footnote>
  <w:footnote w:id="1">
    <w:p w:rsidR="00AC47D5" w:rsidRDefault="00AC47D5" w:rsidP="00AC47D5">
      <w:pPr>
        <w:pStyle w:val="a4"/>
        <w:rPr>
          <w:rFonts w:hint="cs"/>
          <w:rtl/>
        </w:rPr>
      </w:pPr>
      <w:r>
        <w:rPr>
          <w:rStyle w:val="a3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התשס"ה</w:t>
      </w:r>
      <w:proofErr w:type="spellEnd"/>
      <w:r>
        <w:rPr>
          <w:rFonts w:hint="cs"/>
          <w:rtl/>
        </w:rPr>
        <w:t xml:space="preserve">, עמ' 758; </w:t>
      </w:r>
      <w:proofErr w:type="spellStart"/>
      <w:r>
        <w:rPr>
          <w:rFonts w:hint="cs"/>
          <w:rtl/>
        </w:rPr>
        <w:t>התשע"א</w:t>
      </w:r>
      <w:proofErr w:type="spellEnd"/>
      <w:r>
        <w:rPr>
          <w:rFonts w:hint="cs"/>
          <w:rtl/>
        </w:rPr>
        <w:t>, עמ' 1203.</w:t>
      </w:r>
    </w:p>
  </w:footnote>
  <w:footnote w:id="2">
    <w:p w:rsidR="00AC47D5" w:rsidRDefault="00AC47D5" w:rsidP="00AC47D5">
      <w:pPr>
        <w:pStyle w:val="a4"/>
        <w:rPr>
          <w:rFonts w:hint="cs"/>
          <w:rtl/>
        </w:rPr>
      </w:pPr>
      <w:r>
        <w:rPr>
          <w:rStyle w:val="a3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ע"ר</w:t>
      </w:r>
      <w:proofErr w:type="spellEnd"/>
      <w:r>
        <w:rPr>
          <w:rFonts w:hint="cs"/>
          <w:rtl/>
        </w:rPr>
        <w:t xml:space="preserve"> 1940, </w:t>
      </w:r>
      <w:proofErr w:type="spellStart"/>
      <w:r>
        <w:rPr>
          <w:rFonts w:hint="cs"/>
          <w:rtl/>
        </w:rPr>
        <w:t>תוס</w:t>
      </w:r>
      <w:proofErr w:type="spellEnd"/>
      <w:r>
        <w:rPr>
          <w:rFonts w:hint="cs"/>
          <w:rtl/>
        </w:rPr>
        <w:t>' 1, עמ' (ע) 191, (א) 239.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7D5"/>
    <w:rsid w:val="001E40EC"/>
    <w:rsid w:val="0068752B"/>
    <w:rsid w:val="006F3096"/>
    <w:rsid w:val="007D0981"/>
    <w:rsid w:val="00A63699"/>
    <w:rsid w:val="00AC47D5"/>
    <w:rsid w:val="00EE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D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C47D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C47D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C47D5"/>
    <w:pPr>
      <w:ind w:right="0"/>
      <w:jc w:val="both"/>
    </w:pPr>
  </w:style>
  <w:style w:type="paragraph" w:customStyle="1" w:styleId="TableHead">
    <w:name w:val="Table Head"/>
    <w:basedOn w:val="TableText"/>
    <w:rsid w:val="00AC47D5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C47D5"/>
  </w:style>
  <w:style w:type="paragraph" w:customStyle="1" w:styleId="Noparagraphstyle">
    <w:name w:val="[No paragraph style]"/>
    <w:rsid w:val="00AC47D5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AC47D5"/>
  </w:style>
  <w:style w:type="character" w:styleId="a3">
    <w:name w:val="footnote reference"/>
    <w:aliases w:val="Footnote Reference"/>
    <w:rsid w:val="00AC47D5"/>
    <w:rPr>
      <w:vertAlign w:val="superscript"/>
    </w:rPr>
  </w:style>
  <w:style w:type="paragraph" w:styleId="a4">
    <w:name w:val="footnote text"/>
    <w:basedOn w:val="a"/>
    <w:link w:val="a5"/>
    <w:autoRedefine/>
    <w:rsid w:val="00AC47D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5">
    <w:name w:val="טקסט הערת שוליים תו"/>
    <w:basedOn w:val="a0"/>
    <w:link w:val="a4"/>
    <w:rsid w:val="00AC47D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TableBlockOutdent">
    <w:name w:val="Table BlockOutdent"/>
    <w:basedOn w:val="TableBlock"/>
    <w:rsid w:val="00AC47D5"/>
    <w:pPr>
      <w:ind w:left="624" w:hanging="62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D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C47D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C47D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C47D5"/>
    <w:pPr>
      <w:ind w:right="0"/>
      <w:jc w:val="both"/>
    </w:pPr>
  </w:style>
  <w:style w:type="paragraph" w:customStyle="1" w:styleId="TableHead">
    <w:name w:val="Table Head"/>
    <w:basedOn w:val="TableText"/>
    <w:rsid w:val="00AC47D5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C47D5"/>
  </w:style>
  <w:style w:type="paragraph" w:customStyle="1" w:styleId="Noparagraphstyle">
    <w:name w:val="[No paragraph style]"/>
    <w:rsid w:val="00AC47D5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AC47D5"/>
  </w:style>
  <w:style w:type="character" w:styleId="a3">
    <w:name w:val="footnote reference"/>
    <w:aliases w:val="Footnote Reference"/>
    <w:rsid w:val="00AC47D5"/>
    <w:rPr>
      <w:vertAlign w:val="superscript"/>
    </w:rPr>
  </w:style>
  <w:style w:type="paragraph" w:styleId="a4">
    <w:name w:val="footnote text"/>
    <w:basedOn w:val="a"/>
    <w:link w:val="a5"/>
    <w:autoRedefine/>
    <w:rsid w:val="00AC47D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5">
    <w:name w:val="טקסט הערת שוליים תו"/>
    <w:basedOn w:val="a0"/>
    <w:link w:val="a4"/>
    <w:rsid w:val="00AC47D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TableBlockOutdent">
    <w:name w:val="Table BlockOutdent"/>
    <w:basedOn w:val="TableBlock"/>
    <w:rsid w:val="00AC47D5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757F32-AB06-4AEF-AE21-DBA38A502767}"/>
</file>

<file path=customXml/itemProps2.xml><?xml version="1.0" encoding="utf-8"?>
<ds:datastoreItem xmlns:ds="http://schemas.openxmlformats.org/officeDocument/2006/customXml" ds:itemID="{4F2B20CD-28D1-43A7-AD83-3CEEB69ADE42}"/>
</file>

<file path=customXml/itemProps3.xml><?xml version="1.0" encoding="utf-8"?>
<ds:datastoreItem xmlns:ds="http://schemas.openxmlformats.org/officeDocument/2006/customXml" ds:itemID="{FDAEABA0-C7C6-45A4-9908-52AD3CABFC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323</Words>
  <Characters>2059</Characters>
  <Application>Microsoft Office Word</Application>
  <DocSecurity>0</DocSecurity>
  <Lines>158</Lines>
  <Paragraphs>82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עידו בן יצחק</dc:creator>
  <cp:lastModifiedBy>עידו בן יצחק</cp:lastModifiedBy>
  <cp:revision>2</cp:revision>
  <dcterms:created xsi:type="dcterms:W3CDTF">2014-05-29T08:44:00Z</dcterms:created>
  <dcterms:modified xsi:type="dcterms:W3CDTF">2014-05-29T08:49:00Z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