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241B97" w:rsidRDefault="004033D8" w:rsidP="002C2E29">
      <w:pPr>
        <w:pStyle w:val="HeadHatzaotHok"/>
        <w:jc w:val="right"/>
        <w:rPr>
          <w:b w:val="0"/>
          <w:bCs w:val="0"/>
          <w:sz w:val="17"/>
          <w:szCs w:val="17"/>
        </w:rPr>
      </w:pPr>
      <w:r w:rsidRPr="00241B97">
        <w:rPr>
          <w:rFonts w:hint="cs"/>
          <w:b w:val="0"/>
          <w:bCs w:val="0"/>
          <w:sz w:val="17"/>
          <w:szCs w:val="17"/>
          <w:rtl/>
        </w:rPr>
        <w:t xml:space="preserve">(מספר פנימי: </w:t>
      </w:r>
      <w:bookmarkStart w:id="0" w:name="ItemID"/>
      <w:r w:rsidR="005B5AD8" w:rsidRPr="005B5AD8">
        <w:rPr>
          <w:b w:val="0"/>
          <w:bCs w:val="0"/>
          <w:sz w:val="17"/>
          <w:szCs w:val="17"/>
          <w:rtl/>
        </w:rPr>
        <w:t>541865</w:t>
      </w:r>
      <w:bookmarkEnd w:id="0"/>
      <w:r w:rsidRPr="00241B97">
        <w:rPr>
          <w:rFonts w:hint="cs"/>
          <w:b w:val="0"/>
          <w:bCs w:val="0"/>
          <w:sz w:val="17"/>
          <w:szCs w:val="17"/>
          <w:rtl/>
        </w:rPr>
        <w:t>)</w:t>
      </w:r>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1" w:name="KnessetNum"/>
      <w:r w:rsidR="005B5AD8" w:rsidRPr="005B5AD8">
        <w:rPr>
          <w:sz w:val="28"/>
          <w:szCs w:val="28"/>
          <w:rtl/>
        </w:rPr>
        <w:t>התשע-עשרה</w:t>
      </w:r>
      <w:bookmarkEnd w:id="1"/>
    </w:p>
    <w:p w:rsidR="00E13C27" w:rsidRDefault="00E13C27" w:rsidP="00E13C27">
      <w:pPr>
        <w:rPr>
          <w:rFonts w:cs="David"/>
          <w:sz w:val="26"/>
          <w:szCs w:val="26"/>
          <w:rtl/>
        </w:rPr>
      </w:pPr>
    </w:p>
    <w:p w:rsidR="006961E2" w:rsidRPr="0092213C" w:rsidRDefault="00D22B79" w:rsidP="0091204F">
      <w:pPr>
        <w:pStyle w:val="David"/>
        <w:ind w:left="2880" w:firstLine="663"/>
        <w:rPr>
          <w:b/>
          <w:bCs/>
        </w:rPr>
      </w:pPr>
      <w:bookmarkStart w:id="2" w:name="MKsSingleOrMulti"/>
      <w:r w:rsidRPr="0092213C">
        <w:rPr>
          <w:b/>
          <w:bCs/>
          <w:rtl/>
        </w:rPr>
        <w:t>יוזמים:      חברי הכנסת</w:t>
      </w:r>
      <w:bookmarkEnd w:id="2"/>
      <w:r w:rsidR="00B35784" w:rsidRPr="0092213C">
        <w:rPr>
          <w:b/>
          <w:bCs/>
        </w:rPr>
        <w:tab/>
      </w:r>
      <w:bookmarkStart w:id="3" w:name="MKs"/>
      <w:r w:rsidR="006961E2" w:rsidRPr="0092213C">
        <w:rPr>
          <w:b/>
          <w:bCs/>
          <w:rtl/>
        </w:rPr>
        <w:t>אורית סטרוק</w:t>
      </w:r>
    </w:p>
    <w:p w:rsidR="006961E2" w:rsidRPr="0092213C" w:rsidRDefault="006961E2" w:rsidP="0091204F">
      <w:pPr>
        <w:pStyle w:val="David"/>
        <w:ind w:left="2880" w:firstLine="663"/>
        <w:rPr>
          <w:b/>
          <w:bCs/>
        </w:rPr>
      </w:pPr>
      <w:r w:rsidRPr="0092213C">
        <w:rPr>
          <w:b/>
          <w:bCs/>
        </w:rPr>
        <w:tab/>
      </w:r>
      <w:r w:rsidRPr="0092213C">
        <w:rPr>
          <w:b/>
          <w:bCs/>
        </w:rPr>
        <w:tab/>
      </w:r>
      <w:r w:rsidRPr="0092213C">
        <w:rPr>
          <w:b/>
          <w:bCs/>
        </w:rPr>
        <w:tab/>
      </w:r>
      <w:r w:rsidRPr="0092213C">
        <w:rPr>
          <w:b/>
          <w:bCs/>
        </w:rPr>
        <w:tab/>
      </w:r>
      <w:r w:rsidRPr="0092213C">
        <w:rPr>
          <w:b/>
          <w:bCs/>
        </w:rPr>
        <w:tab/>
      </w:r>
      <w:r w:rsidRPr="0092213C">
        <w:rPr>
          <w:b/>
          <w:bCs/>
          <w:rtl/>
        </w:rPr>
        <w:t>שולי מועלם-רפאלי</w:t>
      </w:r>
    </w:p>
    <w:p w:rsidR="006961E2" w:rsidRPr="0092213C" w:rsidRDefault="006961E2" w:rsidP="0091204F">
      <w:pPr>
        <w:pStyle w:val="David"/>
        <w:ind w:left="2880" w:firstLine="663"/>
        <w:rPr>
          <w:b/>
          <w:bCs/>
        </w:rPr>
      </w:pPr>
      <w:r w:rsidRPr="0092213C">
        <w:rPr>
          <w:b/>
          <w:bCs/>
        </w:rPr>
        <w:tab/>
      </w:r>
      <w:r w:rsidRPr="0092213C">
        <w:rPr>
          <w:b/>
          <w:bCs/>
        </w:rPr>
        <w:tab/>
      </w:r>
      <w:r w:rsidRPr="0092213C">
        <w:rPr>
          <w:b/>
          <w:bCs/>
        </w:rPr>
        <w:tab/>
      </w:r>
      <w:r w:rsidRPr="0092213C">
        <w:rPr>
          <w:b/>
          <w:bCs/>
        </w:rPr>
        <w:tab/>
      </w:r>
      <w:r w:rsidRPr="0092213C">
        <w:rPr>
          <w:b/>
          <w:bCs/>
        </w:rPr>
        <w:tab/>
      </w:r>
      <w:r w:rsidRPr="0092213C">
        <w:rPr>
          <w:b/>
          <w:bCs/>
          <w:rtl/>
        </w:rPr>
        <w:t>פנינה תמנו-שטה</w:t>
      </w:r>
    </w:p>
    <w:p w:rsidR="006961E2" w:rsidRPr="0092213C" w:rsidRDefault="006961E2" w:rsidP="0091204F">
      <w:pPr>
        <w:pStyle w:val="David"/>
        <w:ind w:left="2880" w:firstLine="663"/>
        <w:rPr>
          <w:b/>
          <w:bCs/>
        </w:rPr>
      </w:pPr>
      <w:r w:rsidRPr="0092213C">
        <w:rPr>
          <w:b/>
          <w:bCs/>
        </w:rPr>
        <w:tab/>
      </w:r>
      <w:r w:rsidRPr="0092213C">
        <w:rPr>
          <w:b/>
          <w:bCs/>
        </w:rPr>
        <w:tab/>
      </w:r>
      <w:r w:rsidRPr="0092213C">
        <w:rPr>
          <w:b/>
          <w:bCs/>
        </w:rPr>
        <w:tab/>
      </w:r>
      <w:r w:rsidRPr="0092213C">
        <w:rPr>
          <w:b/>
          <w:bCs/>
        </w:rPr>
        <w:tab/>
      </w:r>
      <w:r w:rsidRPr="0092213C">
        <w:rPr>
          <w:b/>
          <w:bCs/>
        </w:rPr>
        <w:tab/>
      </w:r>
      <w:r w:rsidRPr="0092213C">
        <w:rPr>
          <w:b/>
          <w:bCs/>
          <w:rtl/>
        </w:rPr>
        <w:t>דב חנין</w:t>
      </w:r>
    </w:p>
    <w:p w:rsidR="006961E2" w:rsidRPr="0092213C" w:rsidRDefault="006961E2" w:rsidP="0091204F">
      <w:pPr>
        <w:pStyle w:val="David"/>
        <w:ind w:left="2880" w:firstLine="663"/>
        <w:rPr>
          <w:b/>
          <w:bCs/>
        </w:rPr>
      </w:pPr>
      <w:r w:rsidRPr="0092213C">
        <w:rPr>
          <w:b/>
          <w:bCs/>
        </w:rPr>
        <w:tab/>
      </w:r>
      <w:r w:rsidRPr="0092213C">
        <w:rPr>
          <w:b/>
          <w:bCs/>
        </w:rPr>
        <w:tab/>
      </w:r>
      <w:r w:rsidRPr="0092213C">
        <w:rPr>
          <w:b/>
          <w:bCs/>
        </w:rPr>
        <w:tab/>
      </w:r>
      <w:r w:rsidRPr="0092213C">
        <w:rPr>
          <w:b/>
          <w:bCs/>
        </w:rPr>
        <w:tab/>
      </w:r>
      <w:r w:rsidRPr="0092213C">
        <w:rPr>
          <w:b/>
          <w:bCs/>
        </w:rPr>
        <w:tab/>
      </w:r>
      <w:r w:rsidRPr="0092213C">
        <w:rPr>
          <w:b/>
          <w:bCs/>
          <w:rtl/>
        </w:rPr>
        <w:t>דב ליפמן</w:t>
      </w:r>
    </w:p>
    <w:p w:rsidR="006961E2" w:rsidRPr="0092213C" w:rsidRDefault="006961E2" w:rsidP="0091204F">
      <w:pPr>
        <w:pStyle w:val="David"/>
        <w:ind w:left="2880" w:firstLine="663"/>
        <w:rPr>
          <w:b/>
          <w:bCs/>
        </w:rPr>
      </w:pPr>
      <w:r w:rsidRPr="0092213C">
        <w:rPr>
          <w:b/>
          <w:bCs/>
        </w:rPr>
        <w:tab/>
      </w:r>
      <w:r w:rsidRPr="0092213C">
        <w:rPr>
          <w:b/>
          <w:bCs/>
        </w:rPr>
        <w:tab/>
      </w:r>
      <w:r w:rsidRPr="0092213C">
        <w:rPr>
          <w:b/>
          <w:bCs/>
        </w:rPr>
        <w:tab/>
      </w:r>
      <w:r w:rsidRPr="0092213C">
        <w:rPr>
          <w:b/>
          <w:bCs/>
        </w:rPr>
        <w:tab/>
      </w:r>
      <w:r w:rsidRPr="0092213C">
        <w:rPr>
          <w:b/>
          <w:bCs/>
        </w:rPr>
        <w:tab/>
      </w:r>
      <w:r w:rsidRPr="0092213C">
        <w:rPr>
          <w:b/>
          <w:bCs/>
          <w:rtl/>
        </w:rPr>
        <w:t>נחמן שי</w:t>
      </w:r>
    </w:p>
    <w:p w:rsidR="00F813BA" w:rsidRDefault="006961E2" w:rsidP="0092213C">
      <w:pPr>
        <w:pStyle w:val="David"/>
        <w:ind w:left="2880" w:firstLine="663"/>
        <w:rPr>
          <w:b/>
          <w:bCs/>
          <w:rtl/>
        </w:rPr>
      </w:pPr>
      <w:r w:rsidRPr="0092213C">
        <w:rPr>
          <w:b/>
          <w:bCs/>
        </w:rPr>
        <w:tab/>
      </w:r>
      <w:r w:rsidRPr="0092213C">
        <w:rPr>
          <w:b/>
          <w:bCs/>
        </w:rPr>
        <w:tab/>
      </w:r>
      <w:r w:rsidRPr="0092213C">
        <w:rPr>
          <w:b/>
          <w:bCs/>
        </w:rPr>
        <w:tab/>
      </w:r>
      <w:r w:rsidRPr="0092213C">
        <w:rPr>
          <w:b/>
          <w:bCs/>
        </w:rPr>
        <w:tab/>
      </w:r>
      <w:r w:rsidRPr="0092213C">
        <w:rPr>
          <w:b/>
          <w:bCs/>
        </w:rPr>
        <w:tab/>
      </w:r>
      <w:r w:rsidRPr="0092213C">
        <w:rPr>
          <w:b/>
          <w:bCs/>
          <w:rtl/>
        </w:rPr>
        <w:t>יצחק הרצוג</w:t>
      </w:r>
      <w:bookmarkEnd w:id="3"/>
    </w:p>
    <w:p w:rsidR="00E13C27" w:rsidRPr="0092213C" w:rsidRDefault="0014195F" w:rsidP="0092213C">
      <w:pPr>
        <w:pStyle w:val="David"/>
        <w:ind w:left="2880" w:firstLine="663"/>
        <w:rPr>
          <w:b/>
          <w:bCs/>
          <w:rtl/>
        </w:rPr>
      </w:pPr>
      <w:r>
        <w:rPr>
          <w:noProof/>
          <w:rtl/>
          <w:lang w:eastAsia="en-US"/>
        </w:rPr>
        <mc:AlternateContent>
          <mc:Choice Requires="wps">
            <w:drawing>
              <wp:anchor distT="0" distB="0" distL="114300" distR="114300" simplePos="0" relativeHeight="251658240" behindDoc="0" locked="0" layoutInCell="1" allowOverlap="1" wp14:anchorId="5D172047" wp14:editId="5B3E3BAD">
                <wp:simplePos x="0" y="0"/>
                <wp:positionH relativeFrom="column">
                  <wp:posOffset>1270</wp:posOffset>
                </wp:positionH>
                <wp:positionV relativeFrom="paragraph">
                  <wp:posOffset>48895</wp:posOffset>
                </wp:positionV>
                <wp:extent cx="3869690" cy="15875"/>
                <wp:effectExtent l="0" t="38100" r="0" b="41275"/>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9690" cy="15875"/>
                        </a:xfrm>
                        <a:custGeom>
                          <a:avLst/>
                          <a:gdLst>
                            <a:gd name="T0" fmla="*/ 0 w 6094"/>
                            <a:gd name="T1" fmla="*/ 25 h 25"/>
                            <a:gd name="T2" fmla="*/ 6094 w 6094"/>
                            <a:gd name="T3" fmla="*/ 0 h 25"/>
                          </a:gdLst>
                          <a:ahLst/>
                          <a:cxnLst>
                            <a:cxn ang="0">
                              <a:pos x="T0" y="T1"/>
                            </a:cxn>
                            <a:cxn ang="0">
                              <a:pos x="T2" y="T3"/>
                            </a:cxn>
                          </a:cxnLst>
                          <a:rect l="0" t="0" r="r" b="b"/>
                          <a:pathLst>
                            <a:path w="6094" h="25">
                              <a:moveTo>
                                <a:pt x="0" y="25"/>
                              </a:moveTo>
                              <a:lnTo>
                                <a:pt x="6094" y="0"/>
                              </a:lnTo>
                            </a:path>
                          </a:pathLst>
                        </a:custGeom>
                        <a:noFill/>
                        <a:ln w="9525">
                          <a:noFill/>
                          <a:round/>
                          <a:headEnd/>
                          <a:tailE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4.8pt,3.85pt" coordsize="60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" filled="f" stroked="f">
                <v:path arrowok="t" o:connecttype="custom" o:connectlocs="0,15875;3869690,0" o:connectangles="0,0"/>
              </v:polyline>
            </w:pict>
          </mc:Fallback>
        </mc:AlternateContent>
      </w:r>
      <w:bookmarkStart w:id="4" w:name="MKsSingleOrMulti1"/>
      <w:bookmarkEnd w:id="4"/>
      <w:r w:rsidR="002200A1">
        <w:rPr>
          <w:rFonts w:hint="cs"/>
          <w:rtl/>
        </w:rPr>
        <w:tab/>
      </w:r>
      <w:bookmarkStart w:id="5" w:name="MKs1"/>
      <w:bookmarkEnd w:id="5"/>
    </w:p>
    <w:p w:rsidR="00E13C27" w:rsidRDefault="0014195F" w:rsidP="00292712">
      <w:pPr>
        <w:ind w:left="2919" w:firstLine="720"/>
        <w:rPr>
          <w:rFonts w:cs="David"/>
          <w:sz w:val="26"/>
          <w:szCs w:val="26"/>
          <w:rtl/>
        </w:rPr>
      </w:pPr>
      <w:r>
        <w:rPr>
          <w:rFonts w:cs="David"/>
          <w:noProof/>
          <w:sz w:val="26"/>
          <w:szCs w:val="26"/>
          <w:rtl/>
          <w:lang w:eastAsia="en-US"/>
        </w:rPr>
        <mc:AlternateContent>
          <mc:Choice Requires="wps">
            <w:drawing>
              <wp:anchor distT="0" distB="0" distL="114300" distR="114300" simplePos="0" relativeHeight="251657216" behindDoc="0" locked="0" layoutInCell="1" allowOverlap="1" wp14:anchorId="58098B07" wp14:editId="1B0811B0">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Pr>
          <w:rFonts w:cs="David" w:hint="cs"/>
          <w:sz w:val="26"/>
          <w:szCs w:val="26"/>
          <w:rtl/>
        </w:rPr>
        <w:tab/>
      </w:r>
      <w:r w:rsidR="00E13C27">
        <w:rPr>
          <w:rFonts w:cs="David" w:hint="cs"/>
          <w:sz w:val="26"/>
          <w:szCs w:val="26"/>
          <w:rtl/>
        </w:rPr>
        <w:tab/>
      </w:r>
      <w:r w:rsidR="00E13C27">
        <w:rPr>
          <w:rFonts w:cs="David" w:hint="cs"/>
          <w:sz w:val="26"/>
          <w:szCs w:val="26"/>
          <w:rtl/>
        </w:rPr>
        <w:tab/>
      </w:r>
      <w:r w:rsidR="00E13C27">
        <w:rPr>
          <w:rFonts w:cs="David" w:hint="cs"/>
          <w:sz w:val="26"/>
          <w:szCs w:val="26"/>
          <w:rtl/>
        </w:rPr>
        <w:tab/>
      </w:r>
      <w:bookmarkStart w:id="6" w:name="LawNum"/>
      <w:r w:rsidR="00633DB2" w:rsidRPr="00633DB2">
        <w:rPr>
          <w:rFonts w:cs="David"/>
          <w:sz w:val="26"/>
          <w:szCs w:val="26"/>
          <w:rtl/>
        </w:rPr>
        <w:t>פ/1996/19</w:t>
      </w:r>
      <w:bookmarkEnd w:id="6"/>
      <w:r w:rsidR="00E13C27">
        <w:rPr>
          <w:rFonts w:cs="David" w:hint="cs"/>
          <w:sz w:val="26"/>
          <w:szCs w:val="26"/>
          <w:rtl/>
        </w:rPr>
        <w:tab/>
      </w:r>
      <w:r w:rsidR="00E13C27">
        <w:rPr>
          <w:rFonts w:cs="David" w:hint="cs"/>
          <w:sz w:val="26"/>
          <w:szCs w:val="26"/>
          <w:rtl/>
        </w:rPr>
        <w:tab/>
      </w:r>
      <w:r w:rsidR="00E13C27">
        <w:rPr>
          <w:rFonts w:cs="David" w:hint="cs"/>
          <w:sz w:val="26"/>
          <w:szCs w:val="26"/>
          <w:rtl/>
        </w:rPr>
        <w:tab/>
      </w:r>
    </w:p>
    <w:p w:rsidR="00E13C27" w:rsidRDefault="00E13C27" w:rsidP="00E13C27">
      <w:pPr>
        <w:spacing w:before="0" w:line="360" w:lineRule="auto"/>
        <w:ind w:left="2880" w:firstLine="720"/>
        <w:rPr>
          <w:rFonts w:cs="David"/>
          <w:sz w:val="26"/>
          <w:szCs w:val="26"/>
          <w:rtl/>
        </w:rPr>
      </w:pPr>
    </w:p>
    <w:p w:rsidR="00E13C27" w:rsidRDefault="00157D2F" w:rsidP="0092213C">
      <w:pPr>
        <w:pStyle w:val="HeadHatzaotHok"/>
        <w:tabs>
          <w:tab w:val="left" w:pos="4071"/>
          <w:tab w:val="center" w:pos="4819"/>
        </w:tabs>
        <w:spacing w:before="0"/>
        <w:rPr>
          <w:sz w:val="26"/>
          <w:rtl/>
        </w:rPr>
      </w:pPr>
      <w:bookmarkStart w:id="7" w:name="Title"/>
      <w:r w:rsidRPr="00157D2F">
        <w:rPr>
          <w:sz w:val="26"/>
          <w:rtl/>
        </w:rPr>
        <w:t xml:space="preserve">הצעת חוק הפליה מחמת גיל (תיקוני חקיקה), </w:t>
      </w:r>
      <w:proofErr w:type="spellStart"/>
      <w:r w:rsidRPr="00157D2F">
        <w:rPr>
          <w:sz w:val="26"/>
          <w:rtl/>
        </w:rPr>
        <w:t>התשע"ד</w:t>
      </w:r>
      <w:proofErr w:type="spellEnd"/>
      <w:r w:rsidR="0092213C">
        <w:rPr>
          <w:rFonts w:hint="cs"/>
          <w:sz w:val="26"/>
          <w:rtl/>
        </w:rPr>
        <w:t>–</w:t>
      </w:r>
      <w:r w:rsidRPr="00157D2F">
        <w:rPr>
          <w:sz w:val="26"/>
          <w:rtl/>
        </w:rPr>
        <w:t>2013</w:t>
      </w:r>
      <w:bookmarkEnd w:id="7"/>
    </w:p>
    <w:p w:rsidR="00F813BA" w:rsidRDefault="00F813BA" w:rsidP="0092213C">
      <w:pPr>
        <w:pStyle w:val="HeadHatzaotHok"/>
        <w:tabs>
          <w:tab w:val="left" w:pos="4071"/>
          <w:tab w:val="center" w:pos="4819"/>
        </w:tabs>
        <w:spacing w:before="0"/>
        <w:rPr>
          <w:sz w:val="26"/>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F419B0" w:rsidTr="00B961B9">
        <w:trPr>
          <w:cantSplit/>
          <w:trHeight w:val="60"/>
        </w:trPr>
        <w:tc>
          <w:tcPr>
            <w:tcW w:w="1871" w:type="dxa"/>
          </w:tcPr>
          <w:p w:rsidR="00F419B0" w:rsidRDefault="00F419B0" w:rsidP="00B961B9">
            <w:pPr>
              <w:pStyle w:val="TableSideHeading"/>
              <w:keepLines w:val="0"/>
            </w:pPr>
            <w:r>
              <w:rPr>
                <w:rFonts w:hint="cs"/>
                <w:rtl/>
              </w:rPr>
              <w:t>תיקון חוק איסור הפליה במוצרים, בשירותים ובכניסה למקומות ציבוריים</w:t>
            </w:r>
          </w:p>
        </w:tc>
        <w:tc>
          <w:tcPr>
            <w:tcW w:w="624" w:type="dxa"/>
          </w:tcPr>
          <w:p w:rsidR="00F419B0" w:rsidRDefault="00F419B0" w:rsidP="00B961B9">
            <w:pPr>
              <w:pStyle w:val="TableText"/>
              <w:keepLines w:val="0"/>
            </w:pPr>
            <w:r>
              <w:rPr>
                <w:rFonts w:hint="cs"/>
                <w:rtl/>
              </w:rPr>
              <w:t>1.</w:t>
            </w:r>
          </w:p>
        </w:tc>
        <w:tc>
          <w:tcPr>
            <w:tcW w:w="7146" w:type="dxa"/>
            <w:gridSpan w:val="2"/>
          </w:tcPr>
          <w:p w:rsidR="00F419B0" w:rsidRPr="00C34DE2" w:rsidRDefault="00F419B0" w:rsidP="00995893">
            <w:pPr>
              <w:pStyle w:val="TableBlock"/>
              <w:keepLines w:val="0"/>
            </w:pPr>
            <w:r w:rsidRPr="008105CF">
              <w:rPr>
                <w:rtl/>
              </w:rPr>
              <w:t xml:space="preserve">בחוק איסור הפליה במוצרים, בשירותים ובכניסה למקומות בידור ולמקומות ציבוריים, </w:t>
            </w:r>
            <w:proofErr w:type="spellStart"/>
            <w:r>
              <w:rPr>
                <w:rFonts w:hint="cs"/>
                <w:rtl/>
              </w:rPr>
              <w:t>ה</w:t>
            </w:r>
            <w:r>
              <w:rPr>
                <w:rtl/>
              </w:rPr>
              <w:t>תשס"א</w:t>
            </w:r>
            <w:proofErr w:type="spellEnd"/>
            <w:r>
              <w:rPr>
                <w:rFonts w:hint="cs"/>
                <w:rtl/>
              </w:rPr>
              <w:t>–</w:t>
            </w:r>
            <w:r w:rsidRPr="008105CF">
              <w:rPr>
                <w:rtl/>
              </w:rPr>
              <w:t>2000</w:t>
            </w:r>
            <w:r>
              <w:rPr>
                <w:rStyle w:val="a6"/>
                <w:rtl/>
              </w:rPr>
              <w:footnoteReference w:id="2"/>
            </w:r>
            <w:r w:rsidRPr="008105CF">
              <w:rPr>
                <w:rtl/>
              </w:rPr>
              <w:t>, בסעיף 3(א), אחרי "מעמד אישי" יבוא "גיל".</w:t>
            </w:r>
          </w:p>
        </w:tc>
      </w:tr>
      <w:tr w:rsidR="00F419B0" w:rsidTr="00B961B9">
        <w:trPr>
          <w:cantSplit/>
          <w:trHeight w:val="60"/>
        </w:trPr>
        <w:tc>
          <w:tcPr>
            <w:tcW w:w="1871" w:type="dxa"/>
          </w:tcPr>
          <w:p w:rsidR="00F419B0" w:rsidRDefault="00F419B0" w:rsidP="00B961B9">
            <w:pPr>
              <w:pStyle w:val="TableSideHeading"/>
              <w:keepLines w:val="0"/>
            </w:pPr>
            <w:r>
              <w:rPr>
                <w:rFonts w:hint="cs"/>
                <w:rtl/>
              </w:rPr>
              <w:t>תיקון חוק זכויות החולה</w:t>
            </w:r>
          </w:p>
        </w:tc>
        <w:tc>
          <w:tcPr>
            <w:tcW w:w="624" w:type="dxa"/>
          </w:tcPr>
          <w:p w:rsidR="00F419B0" w:rsidRDefault="00F419B0" w:rsidP="00B961B9">
            <w:pPr>
              <w:pStyle w:val="TableText"/>
              <w:rPr>
                <w:rtl/>
              </w:rPr>
            </w:pPr>
            <w:r>
              <w:rPr>
                <w:rFonts w:hint="cs"/>
                <w:rtl/>
              </w:rPr>
              <w:t>2.</w:t>
            </w:r>
          </w:p>
        </w:tc>
        <w:tc>
          <w:tcPr>
            <w:tcW w:w="7146" w:type="dxa"/>
            <w:gridSpan w:val="2"/>
          </w:tcPr>
          <w:p w:rsidR="00F419B0" w:rsidRPr="008105CF" w:rsidRDefault="00F419B0" w:rsidP="00995893">
            <w:pPr>
              <w:pStyle w:val="TableBlock"/>
              <w:keepLines w:val="0"/>
              <w:rPr>
                <w:rtl/>
              </w:rPr>
            </w:pPr>
            <w:r>
              <w:rPr>
                <w:rtl/>
              </w:rPr>
              <w:t xml:space="preserve">בחוק </w:t>
            </w:r>
            <w:r w:rsidRPr="008105CF">
              <w:rPr>
                <w:rtl/>
              </w:rPr>
              <w:t xml:space="preserve">זכויות החולה, </w:t>
            </w:r>
            <w:proofErr w:type="spellStart"/>
            <w:r>
              <w:rPr>
                <w:rFonts w:hint="cs"/>
                <w:rtl/>
              </w:rPr>
              <w:t>ה</w:t>
            </w:r>
            <w:r w:rsidRPr="008105CF">
              <w:rPr>
                <w:rtl/>
              </w:rPr>
              <w:t>תשנ"ו</w:t>
            </w:r>
            <w:proofErr w:type="spellEnd"/>
            <w:r>
              <w:rPr>
                <w:rtl/>
              </w:rPr>
              <w:t>–</w:t>
            </w:r>
            <w:r w:rsidRPr="008105CF">
              <w:rPr>
                <w:rtl/>
              </w:rPr>
              <w:t>1996</w:t>
            </w:r>
            <w:r>
              <w:rPr>
                <w:rStyle w:val="a6"/>
                <w:rtl/>
              </w:rPr>
              <w:footnoteReference w:id="3"/>
            </w:r>
            <w:r>
              <w:rPr>
                <w:rFonts w:hint="cs"/>
                <w:rtl/>
              </w:rPr>
              <w:t xml:space="preserve"> –</w:t>
            </w:r>
          </w:p>
        </w:tc>
      </w:tr>
      <w:tr w:rsidR="00995893" w:rsidTr="00B961B9">
        <w:trPr>
          <w:cantSplit/>
          <w:trHeight w:val="60"/>
        </w:trPr>
        <w:tc>
          <w:tcPr>
            <w:tcW w:w="1871" w:type="dxa"/>
          </w:tcPr>
          <w:p w:rsidR="00995893" w:rsidRDefault="00995893" w:rsidP="00B961B9">
            <w:pPr>
              <w:pStyle w:val="TableSideHeading"/>
              <w:keepLines w:val="0"/>
              <w:rPr>
                <w:rtl/>
              </w:rPr>
            </w:pPr>
          </w:p>
        </w:tc>
        <w:tc>
          <w:tcPr>
            <w:tcW w:w="624" w:type="dxa"/>
          </w:tcPr>
          <w:p w:rsidR="00995893" w:rsidRDefault="00995893" w:rsidP="00995893">
            <w:pPr>
              <w:pStyle w:val="TableText"/>
              <w:rPr>
                <w:rtl/>
              </w:rPr>
            </w:pPr>
          </w:p>
        </w:tc>
        <w:tc>
          <w:tcPr>
            <w:tcW w:w="7146" w:type="dxa"/>
            <w:gridSpan w:val="2"/>
          </w:tcPr>
          <w:p w:rsidR="00995893" w:rsidRDefault="00995893" w:rsidP="00995893">
            <w:pPr>
              <w:pStyle w:val="TableBlock"/>
              <w:keepLines w:val="0"/>
              <w:rPr>
                <w:rtl/>
              </w:rPr>
            </w:pPr>
            <w:r>
              <w:rPr>
                <w:rFonts w:hint="cs"/>
                <w:rtl/>
              </w:rPr>
              <w:t>(1)</w:t>
            </w:r>
            <w:r>
              <w:rPr>
                <w:rtl/>
              </w:rPr>
              <w:tab/>
            </w:r>
            <w:r>
              <w:rPr>
                <w:rFonts w:hint="cs"/>
                <w:rtl/>
              </w:rPr>
              <w:t xml:space="preserve">בסעיף 4 – </w:t>
            </w:r>
          </w:p>
        </w:tc>
      </w:tr>
      <w:tr w:rsidR="00995893">
        <w:trPr>
          <w:cantSplit/>
          <w:trHeight w:val="60"/>
        </w:trPr>
        <w:tc>
          <w:tcPr>
            <w:tcW w:w="1871" w:type="dxa"/>
          </w:tcPr>
          <w:p w:rsidR="00995893" w:rsidRDefault="00995893">
            <w:pPr>
              <w:pStyle w:val="TableSideHeading"/>
            </w:pPr>
          </w:p>
        </w:tc>
        <w:tc>
          <w:tcPr>
            <w:tcW w:w="624" w:type="dxa"/>
          </w:tcPr>
          <w:p w:rsidR="00995893" w:rsidRDefault="00995893">
            <w:pPr>
              <w:pStyle w:val="TableText"/>
            </w:pPr>
          </w:p>
        </w:tc>
        <w:tc>
          <w:tcPr>
            <w:tcW w:w="624" w:type="dxa"/>
          </w:tcPr>
          <w:p w:rsidR="00995893" w:rsidRDefault="00995893">
            <w:pPr>
              <w:pStyle w:val="TableText"/>
            </w:pPr>
          </w:p>
        </w:tc>
        <w:tc>
          <w:tcPr>
            <w:tcW w:w="6522" w:type="dxa"/>
          </w:tcPr>
          <w:p w:rsidR="00995893" w:rsidRDefault="00995893">
            <w:pPr>
              <w:pStyle w:val="TableBlock"/>
            </w:pPr>
            <w:r>
              <w:rPr>
                <w:rFonts w:hint="cs"/>
                <w:rtl/>
              </w:rPr>
              <w:t>(א)</w:t>
            </w:r>
            <w:r>
              <w:rPr>
                <w:rtl/>
              </w:rPr>
              <w:tab/>
            </w:r>
            <w:r>
              <w:rPr>
                <w:rFonts w:hint="cs"/>
                <w:rtl/>
              </w:rPr>
              <w:t>בסעיף קטן (א), אחרי "</w:t>
            </w:r>
            <w:proofErr w:type="spellStart"/>
            <w:r>
              <w:rPr>
                <w:rFonts w:hint="cs"/>
                <w:rtl/>
              </w:rPr>
              <w:t>נטיה</w:t>
            </w:r>
            <w:proofErr w:type="spellEnd"/>
            <w:r>
              <w:rPr>
                <w:rFonts w:hint="cs"/>
                <w:rtl/>
              </w:rPr>
              <w:t xml:space="preserve"> מינית" יבוא "גיל";</w:t>
            </w:r>
          </w:p>
        </w:tc>
      </w:tr>
      <w:tr w:rsidR="00995893">
        <w:trPr>
          <w:cantSplit/>
          <w:trHeight w:val="60"/>
        </w:trPr>
        <w:tc>
          <w:tcPr>
            <w:tcW w:w="1871" w:type="dxa"/>
          </w:tcPr>
          <w:p w:rsidR="00995893" w:rsidRDefault="00995893">
            <w:pPr>
              <w:pStyle w:val="TableSideHeading"/>
            </w:pPr>
          </w:p>
        </w:tc>
        <w:tc>
          <w:tcPr>
            <w:tcW w:w="624" w:type="dxa"/>
          </w:tcPr>
          <w:p w:rsidR="00995893" w:rsidRDefault="00995893" w:rsidP="00995893">
            <w:pPr>
              <w:pStyle w:val="TableText"/>
            </w:pPr>
          </w:p>
        </w:tc>
        <w:tc>
          <w:tcPr>
            <w:tcW w:w="624" w:type="dxa"/>
          </w:tcPr>
          <w:p w:rsidR="00995893" w:rsidRDefault="00995893">
            <w:pPr>
              <w:pStyle w:val="TableText"/>
            </w:pPr>
          </w:p>
        </w:tc>
        <w:tc>
          <w:tcPr>
            <w:tcW w:w="6522" w:type="dxa"/>
          </w:tcPr>
          <w:p w:rsidR="00995893" w:rsidRDefault="00995893">
            <w:pPr>
              <w:pStyle w:val="TableBlock"/>
              <w:rPr>
                <w:rtl/>
              </w:rPr>
            </w:pPr>
            <w:r>
              <w:rPr>
                <w:rFonts w:hint="cs"/>
                <w:rtl/>
              </w:rPr>
              <w:t>(ב)</w:t>
            </w:r>
            <w:r>
              <w:rPr>
                <w:rtl/>
              </w:rPr>
              <w:tab/>
            </w:r>
            <w:r>
              <w:rPr>
                <w:rFonts w:hint="cs"/>
                <w:rtl/>
              </w:rPr>
              <w:t xml:space="preserve">בסעיף קטן (ב), </w:t>
            </w:r>
            <w:proofErr w:type="spellStart"/>
            <w:r>
              <w:rPr>
                <w:rFonts w:hint="cs"/>
                <w:rtl/>
              </w:rPr>
              <w:t>הרישה</w:t>
            </w:r>
            <w:proofErr w:type="spellEnd"/>
            <w:r>
              <w:rPr>
                <w:rFonts w:hint="cs"/>
                <w:rtl/>
              </w:rPr>
              <w:t xml:space="preserve"> עד </w:t>
            </w:r>
            <w:r w:rsidR="00F813BA">
              <w:rPr>
                <w:rFonts w:hint="cs"/>
                <w:rtl/>
              </w:rPr>
              <w:t xml:space="preserve">המילה </w:t>
            </w:r>
            <w:r>
              <w:rPr>
                <w:rFonts w:hint="cs"/>
                <w:rtl/>
              </w:rPr>
              <w:t>"ואולם" – תימחק,</w:t>
            </w:r>
            <w:r w:rsidR="00F813BA">
              <w:rPr>
                <w:rFonts w:hint="cs"/>
                <w:rtl/>
              </w:rPr>
              <w:t xml:space="preserve"> ואחרי "הפליה" יבוא "מטעמי גיל";</w:t>
            </w:r>
          </w:p>
        </w:tc>
      </w:tr>
      <w:tr w:rsidR="00F419B0" w:rsidTr="00B961B9">
        <w:trPr>
          <w:cantSplit/>
          <w:trHeight w:val="60"/>
        </w:trPr>
        <w:tc>
          <w:tcPr>
            <w:tcW w:w="1871" w:type="dxa"/>
          </w:tcPr>
          <w:p w:rsidR="00F419B0" w:rsidRDefault="00F419B0" w:rsidP="00B961B9">
            <w:pPr>
              <w:pStyle w:val="TableSideHeading"/>
            </w:pPr>
          </w:p>
        </w:tc>
        <w:tc>
          <w:tcPr>
            <w:tcW w:w="624" w:type="dxa"/>
          </w:tcPr>
          <w:p w:rsidR="00F419B0" w:rsidRDefault="00F419B0" w:rsidP="00B961B9">
            <w:pPr>
              <w:pStyle w:val="TableText"/>
            </w:pPr>
          </w:p>
        </w:tc>
        <w:tc>
          <w:tcPr>
            <w:tcW w:w="7146" w:type="dxa"/>
            <w:gridSpan w:val="2"/>
          </w:tcPr>
          <w:p w:rsidR="00F419B0" w:rsidRDefault="00F419B0" w:rsidP="00995893">
            <w:pPr>
              <w:pStyle w:val="TableBlock"/>
            </w:pPr>
            <w:r>
              <w:rPr>
                <w:rFonts w:hint="cs"/>
                <w:rtl/>
              </w:rPr>
              <w:t>(</w:t>
            </w:r>
            <w:r w:rsidR="00995893">
              <w:rPr>
                <w:rFonts w:hint="cs"/>
                <w:rtl/>
              </w:rPr>
              <w:t>2</w:t>
            </w:r>
            <w:r>
              <w:rPr>
                <w:rFonts w:hint="cs"/>
                <w:rtl/>
              </w:rPr>
              <w:t>)</w:t>
            </w:r>
            <w:r>
              <w:rPr>
                <w:rtl/>
              </w:rPr>
              <w:tab/>
            </w:r>
            <w:r>
              <w:rPr>
                <w:rFonts w:hint="cs"/>
                <w:rtl/>
              </w:rPr>
              <w:t xml:space="preserve">בסעיף 28, </w:t>
            </w:r>
            <w:r w:rsidRPr="009B515D">
              <w:rPr>
                <w:rtl/>
              </w:rPr>
              <w:t xml:space="preserve">במקום "ארץ מוצא או </w:t>
            </w:r>
            <w:proofErr w:type="spellStart"/>
            <w:r w:rsidRPr="009B515D">
              <w:rPr>
                <w:rtl/>
              </w:rPr>
              <w:t>נטיה</w:t>
            </w:r>
            <w:proofErr w:type="spellEnd"/>
            <w:r w:rsidRPr="009B515D">
              <w:rPr>
                <w:rtl/>
              </w:rPr>
              <w:t xml:space="preserve"> מינית" יבו</w:t>
            </w:r>
            <w:r>
              <w:rPr>
                <w:rtl/>
              </w:rPr>
              <w:t xml:space="preserve">א "ארץ מוצא, </w:t>
            </w:r>
            <w:proofErr w:type="spellStart"/>
            <w:r>
              <w:rPr>
                <w:rtl/>
              </w:rPr>
              <w:t>נטיה</w:t>
            </w:r>
            <w:proofErr w:type="spellEnd"/>
            <w:r>
              <w:rPr>
                <w:rtl/>
              </w:rPr>
              <w:t xml:space="preserve"> מינית או גיל</w:t>
            </w:r>
            <w:r w:rsidR="00995893">
              <w:rPr>
                <w:rFonts w:hint="cs"/>
                <w:rtl/>
              </w:rPr>
              <w:t>, בניגוד להוראות סעיף 4</w:t>
            </w:r>
            <w:r>
              <w:rPr>
                <w:rtl/>
              </w:rPr>
              <w:t>"</w:t>
            </w:r>
            <w:r w:rsidR="00F813BA">
              <w:rPr>
                <w:rFonts w:hint="cs"/>
                <w:rtl/>
              </w:rPr>
              <w:t>;</w:t>
            </w:r>
          </w:p>
        </w:tc>
      </w:tr>
      <w:tr w:rsidR="00F419B0" w:rsidTr="00B961B9">
        <w:trPr>
          <w:cantSplit/>
          <w:trHeight w:val="60"/>
        </w:trPr>
        <w:tc>
          <w:tcPr>
            <w:tcW w:w="1871" w:type="dxa"/>
          </w:tcPr>
          <w:p w:rsidR="00F419B0" w:rsidRDefault="00F419B0" w:rsidP="00B961B9">
            <w:pPr>
              <w:pStyle w:val="TableSideHeading"/>
            </w:pPr>
          </w:p>
        </w:tc>
        <w:tc>
          <w:tcPr>
            <w:tcW w:w="624" w:type="dxa"/>
          </w:tcPr>
          <w:p w:rsidR="00F419B0" w:rsidRDefault="00F419B0" w:rsidP="00B961B9">
            <w:pPr>
              <w:pStyle w:val="TableText"/>
            </w:pPr>
          </w:p>
        </w:tc>
        <w:tc>
          <w:tcPr>
            <w:tcW w:w="7146" w:type="dxa"/>
            <w:gridSpan w:val="2"/>
          </w:tcPr>
          <w:p w:rsidR="00F419B0" w:rsidRDefault="00F419B0" w:rsidP="00F813BA">
            <w:pPr>
              <w:pStyle w:val="TableBlock"/>
              <w:rPr>
                <w:rtl/>
              </w:rPr>
            </w:pPr>
            <w:r>
              <w:rPr>
                <w:rFonts w:hint="cs"/>
                <w:rtl/>
              </w:rPr>
              <w:t>(</w:t>
            </w:r>
            <w:r w:rsidR="00995893">
              <w:rPr>
                <w:rFonts w:hint="cs"/>
                <w:rtl/>
              </w:rPr>
              <w:t>3</w:t>
            </w:r>
            <w:r>
              <w:rPr>
                <w:rFonts w:hint="cs"/>
                <w:rtl/>
              </w:rPr>
              <w:t>)</w:t>
            </w:r>
            <w:r>
              <w:rPr>
                <w:rtl/>
              </w:rPr>
              <w:tab/>
            </w:r>
            <w:r w:rsidR="00F813BA">
              <w:rPr>
                <w:rFonts w:hint="cs"/>
                <w:rtl/>
              </w:rPr>
              <w:t xml:space="preserve">בסעיף 28א, </w:t>
            </w:r>
            <w:r>
              <w:rPr>
                <w:rFonts w:hint="cs"/>
                <w:rtl/>
              </w:rPr>
              <w:t>במקום "סעיף 4(א)" יבוא "סעיף 4".</w:t>
            </w:r>
          </w:p>
        </w:tc>
      </w:tr>
    </w:tbl>
    <w:p w:rsidR="00F419B0" w:rsidRDefault="00F419B0" w:rsidP="00F419B0">
      <w:pPr>
        <w:pStyle w:val="Hesber"/>
        <w:jc w:val="center"/>
        <w:rPr>
          <w:rtl/>
        </w:rPr>
      </w:pPr>
    </w:p>
    <w:p w:rsidR="00F813BA" w:rsidRDefault="00F813BA" w:rsidP="00F419B0">
      <w:pPr>
        <w:pStyle w:val="Hesber"/>
        <w:jc w:val="center"/>
        <w:rPr>
          <w:rtl/>
        </w:rPr>
      </w:pPr>
    </w:p>
    <w:p w:rsidR="00F813BA" w:rsidRDefault="00F813BA" w:rsidP="00F419B0">
      <w:pPr>
        <w:pStyle w:val="Hesber"/>
        <w:jc w:val="center"/>
        <w:rPr>
          <w:rtl/>
        </w:rPr>
      </w:pPr>
    </w:p>
    <w:p w:rsidR="00F419B0" w:rsidRPr="0092213C" w:rsidRDefault="00F419B0" w:rsidP="00F813BA">
      <w:pPr>
        <w:pStyle w:val="HeadDivreiHesber"/>
        <w:rPr>
          <w:rtl/>
        </w:rPr>
      </w:pPr>
      <w:r>
        <w:rPr>
          <w:rFonts w:hint="cs"/>
          <w:rtl/>
        </w:rPr>
        <w:t>דברי הסבר</w:t>
      </w:r>
    </w:p>
    <w:p w:rsidR="00F419B0" w:rsidRPr="00904FF0" w:rsidRDefault="00F419B0" w:rsidP="00F419B0">
      <w:pPr>
        <w:pStyle w:val="Hesber"/>
        <w:rPr>
          <w:rtl/>
        </w:rPr>
      </w:pPr>
      <w:r w:rsidRPr="00904FF0">
        <w:rPr>
          <w:rtl/>
        </w:rPr>
        <w:t xml:space="preserve">ארבעה חוקים שונים המטפלים בתחומי הרפואה, השירותים והכניסה למקומות ציבוריים, התעסוקה וחובת המכרזים כוללים כיום איסור על הפליה מטעמים שונים. שני חוקים מתוך הארבעה: חוק חובת </w:t>
      </w:r>
      <w:r w:rsidR="00F813BA">
        <w:rPr>
          <w:rFonts w:hint="cs"/>
          <w:rtl/>
        </w:rPr>
        <w:t>ה</w:t>
      </w:r>
      <w:r w:rsidRPr="00904FF0">
        <w:rPr>
          <w:rtl/>
        </w:rPr>
        <w:t>מכרזים וחוק שוויון ה</w:t>
      </w:r>
      <w:r w:rsidR="00F813BA">
        <w:rPr>
          <w:rFonts w:hint="cs"/>
          <w:rtl/>
        </w:rPr>
        <w:t>ה</w:t>
      </w:r>
      <w:r w:rsidRPr="00904FF0">
        <w:rPr>
          <w:rtl/>
        </w:rPr>
        <w:t>זדמנויות בעבודה, כוללים בתוך רשימת הטעמים שבשל</w:t>
      </w:r>
      <w:r w:rsidR="00F813BA">
        <w:rPr>
          <w:rFonts w:hint="cs"/>
          <w:rtl/>
        </w:rPr>
        <w:t>ה</w:t>
      </w:r>
      <w:r w:rsidRPr="00904FF0">
        <w:rPr>
          <w:rtl/>
        </w:rPr>
        <w:t>ם הפליה תיחשב לאסורה את גילו של האדם. לעומתם, שניים אחרים: חוק זכויות החולה וחוק איסור הפליה במוצרים, בשירותים ובכניסה למקומות בידור ולמקומות ציבוריים, אינם כוללים ברשימת הטעמים האסורים את גילו של האדם או שלכל הפחות הפלייתו של אדם מחמת גיל אינה מטופלת בהם בדרך דומה להפלייתו של אדם מסיבות אחרות.</w:t>
      </w:r>
    </w:p>
    <w:p w:rsidR="00F419B0" w:rsidRPr="00904FF0" w:rsidRDefault="00F419B0" w:rsidP="00F419B0">
      <w:pPr>
        <w:pStyle w:val="Hesber"/>
        <w:rPr>
          <w:rtl/>
        </w:rPr>
      </w:pPr>
      <w:r w:rsidRPr="00904FF0">
        <w:rPr>
          <w:rtl/>
        </w:rPr>
        <w:t xml:space="preserve">הפלייתו של אדם מחמת גילו, יהא גילו אשר יהא, מהווה פגיעה בכבוד האדם ויש לאסרה. הפלייתו של אדם, בשל גילו המבוגר דווקא, מהווה פגיעה חמורה במיוחד ומנוגדת ליסודות עליהם מושתתת חברתנו. מפורסמים בעניין זה דברי נשיא בית המשפט העליון (כתוארו אז) השופט אהרון ברק, בפרשת </w:t>
      </w:r>
      <w:proofErr w:type="spellStart"/>
      <w:r w:rsidRPr="00F813BA">
        <w:rPr>
          <w:b/>
          <w:bCs/>
          <w:rtl/>
        </w:rPr>
        <w:t>רקנט</w:t>
      </w:r>
      <w:proofErr w:type="spellEnd"/>
      <w:r w:rsidRPr="00F813BA">
        <w:rPr>
          <w:b/>
          <w:bCs/>
          <w:rtl/>
        </w:rPr>
        <w:t xml:space="preserve"> נ. אל על</w:t>
      </w:r>
      <w:r w:rsidRPr="00904FF0">
        <w:rPr>
          <w:rtl/>
        </w:rPr>
        <w:t>, שקבע כי הפסוק "אל תשליכני לעת זקנה" מהווה "ביטוי לתפיסה הטבועה עמוק בתרבות החברתית שלנו" (</w:t>
      </w:r>
      <w:proofErr w:type="spellStart"/>
      <w:r w:rsidRPr="00904FF0">
        <w:rPr>
          <w:rtl/>
        </w:rPr>
        <w:t>כדנג"צ</w:t>
      </w:r>
      <w:proofErr w:type="spellEnd"/>
      <w:r w:rsidRPr="00904FF0">
        <w:rPr>
          <w:rtl/>
        </w:rPr>
        <w:t xml:space="preserve"> 4191/97, </w:t>
      </w:r>
      <w:proofErr w:type="spellStart"/>
      <w:r w:rsidRPr="00F813BA">
        <w:rPr>
          <w:b/>
          <w:bCs/>
          <w:rtl/>
        </w:rPr>
        <w:t>רקנט</w:t>
      </w:r>
      <w:proofErr w:type="spellEnd"/>
      <w:r w:rsidRPr="00F813BA">
        <w:rPr>
          <w:b/>
          <w:bCs/>
          <w:rtl/>
        </w:rPr>
        <w:t xml:space="preserve"> ואח' נ. בית הדין הארצי לעבודה ואח'</w:t>
      </w:r>
      <w:r w:rsidRPr="00904FF0">
        <w:rPr>
          <w:rtl/>
        </w:rPr>
        <w:t xml:space="preserve">, </w:t>
      </w:r>
      <w:proofErr w:type="spellStart"/>
      <w:r w:rsidRPr="00904FF0">
        <w:rPr>
          <w:rtl/>
        </w:rPr>
        <w:t>ודנג"צ</w:t>
      </w:r>
      <w:proofErr w:type="spellEnd"/>
      <w:r w:rsidRPr="00904FF0">
        <w:rPr>
          <w:rtl/>
        </w:rPr>
        <w:t xml:space="preserve">, פ"ד נד' (5) 330 בעמ' 370). </w:t>
      </w:r>
    </w:p>
    <w:p w:rsidR="00F419B0" w:rsidRPr="00904FF0" w:rsidRDefault="00F419B0" w:rsidP="00F419B0">
      <w:pPr>
        <w:pStyle w:val="Hesber"/>
        <w:rPr>
          <w:rtl/>
        </w:rPr>
      </w:pPr>
      <w:r w:rsidRPr="00904FF0">
        <w:rPr>
          <w:rtl/>
        </w:rPr>
        <w:t>פגיעה בכבודו של האדם בשל גילו, צעיר כמבוגר, מקוממת לא פחות מצורות הפליה אחרות שמפניהן בחר המחוקק להגן, וזה כאמור, כבר נתן את דעתו בשני חוקים שונים כי אכן יש לאסרה באמצעות חוק. הצעת החוק מבקשת לסיים את המלאכה אותה החל המחוקק, ומציעה להשוות בין הנורמות השונות שנקבעו בארבעת החוקים השונים העוסקים בסוגי ה</w:t>
      </w:r>
      <w:r w:rsidR="00F813BA">
        <w:rPr>
          <w:rFonts w:hint="cs"/>
          <w:rtl/>
        </w:rPr>
        <w:t>ה</w:t>
      </w:r>
      <w:r w:rsidRPr="00904FF0">
        <w:rPr>
          <w:rtl/>
        </w:rPr>
        <w:t>פליה השונים, כך שאיסור ההפליה מחמת גיל ייאסר בכל תחום בו הפליה מסוג אחר אסורה והסנקציה בגין הפלייה מסוג זה תהיה דומה לזו שמופעלת בגין סוגי הפלייה אחרים. בכך תיווצר הרמוניה חוקית מלאה. מדובר בצורת הפליה נוספת שכחברה מתוקנת עלינו להקיא מתוכנו.</w:t>
      </w:r>
    </w:p>
    <w:p w:rsidR="00F419B0" w:rsidRPr="00904FF0" w:rsidRDefault="00F419B0" w:rsidP="00F419B0">
      <w:pPr>
        <w:pStyle w:val="Hesber"/>
        <w:rPr>
          <w:rtl/>
        </w:rPr>
      </w:pPr>
      <w:r w:rsidRPr="00904FF0">
        <w:rPr>
          <w:rtl/>
        </w:rPr>
        <w:t xml:space="preserve">יש לציין כי ביחס לשירותים ומוצרים מסוימים מתבקשת הבחנה בין קטינים לבגירים, בין אם הדבר נקבע בחוק ובין אם מדובר בנורמה מסוג אחר, ככל שמדובר בהבחנה המתחייבת בשל אופיו או מהותו של המוצר או השירות הציבורי, הרי שאבחנה מחמת גיל לא תחשב להפליה אסורה וזאת בשל קיומו של סעיף 3(ד)(1) לחוק איסור הפליה במוצרים, בשירותים ובכניסה למקומות בידור ולמקומות ציבוריים, </w:t>
      </w:r>
      <w:proofErr w:type="spellStart"/>
      <w:r w:rsidRPr="00904FF0">
        <w:rPr>
          <w:rtl/>
        </w:rPr>
        <w:t>התשס"א</w:t>
      </w:r>
      <w:proofErr w:type="spellEnd"/>
      <w:r w:rsidRPr="00904FF0">
        <w:rPr>
          <w:rtl/>
        </w:rPr>
        <w:t>–2000.</w:t>
      </w:r>
    </w:p>
    <w:p w:rsidR="00CE327B" w:rsidRDefault="00CE327B" w:rsidP="0092213C">
      <w:pPr>
        <w:pStyle w:val="Hesber"/>
        <w:rPr>
          <w:rtl/>
        </w:rPr>
      </w:pPr>
    </w:p>
    <w:p w:rsidR="00F813BA" w:rsidRDefault="00F813BA" w:rsidP="0092213C">
      <w:pPr>
        <w:pStyle w:val="Hesber"/>
        <w:rPr>
          <w:rtl/>
        </w:rPr>
      </w:pPr>
    </w:p>
    <w:p w:rsidR="00F813BA" w:rsidRPr="0092213C" w:rsidRDefault="00F813BA" w:rsidP="0092213C">
      <w:pPr>
        <w:pStyle w:val="Hesber"/>
        <w:rPr>
          <w:rtl/>
        </w:rPr>
      </w:pPr>
    </w:p>
    <w:p w:rsidR="00F813BA" w:rsidRDefault="00F813BA" w:rsidP="00F813BA">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rsidR="00F813BA" w:rsidRDefault="00F813BA" w:rsidP="00F813BA">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rsidR="00F813BA" w:rsidRDefault="00F813BA" w:rsidP="00F813BA">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rsidR="00F813BA" w:rsidRDefault="00F813BA" w:rsidP="00F813BA">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כ' בטבת </w:t>
      </w:r>
      <w:proofErr w:type="spellStart"/>
      <w:r>
        <w:rPr>
          <w:rFonts w:ascii="Arial" w:eastAsia="Arial Unicode MS" w:hAnsi="Arial" w:cs="David" w:hint="cs"/>
          <w:snapToGrid w:val="0"/>
          <w:spacing w:val="0"/>
          <w:sz w:val="20"/>
          <w:szCs w:val="26"/>
          <w:rtl/>
        </w:rPr>
        <w:t>התשע"ד</w:t>
      </w:r>
      <w:proofErr w:type="spellEnd"/>
      <w:r>
        <w:rPr>
          <w:rFonts w:ascii="Arial" w:eastAsia="Arial Unicode MS" w:hAnsi="Arial" w:cs="David" w:hint="cs"/>
          <w:snapToGrid w:val="0"/>
          <w:spacing w:val="0"/>
          <w:sz w:val="20"/>
          <w:szCs w:val="26"/>
          <w:rtl/>
        </w:rPr>
        <w:t xml:space="preserve"> – 23.12.13</w:t>
      </w:r>
    </w:p>
    <w:p w:rsidR="00F813BA" w:rsidRDefault="00F813BA" w:rsidP="00F813BA">
      <w:pPr>
        <w:ind w:left="340" w:firstLine="0"/>
        <w:rPr>
          <w:rFonts w:ascii="Arial" w:eastAsia="Arial Unicode MS" w:hAnsi="Arial" w:cs="David"/>
          <w:snapToGrid w:val="0"/>
          <w:spacing w:val="0"/>
          <w:sz w:val="20"/>
          <w:szCs w:val="26"/>
        </w:rPr>
      </w:pPr>
    </w:p>
    <w:p w:rsidR="008D1518" w:rsidRDefault="008D1518" w:rsidP="00F813BA">
      <w:pPr>
        <w:pStyle w:val="Hesber"/>
        <w:rPr>
          <w:rtl/>
        </w:rPr>
      </w:pPr>
    </w:p>
    <w:sectPr w:rsidR="008D1518"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862" w:rsidRDefault="008D4862">
      <w:r>
        <w:separator/>
      </w:r>
    </w:p>
  </w:endnote>
  <w:endnote w:type="continuationSeparator" w:id="0">
    <w:p w:rsidR="008D4862" w:rsidRDefault="008D4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497A5E">
      <w:rPr>
        <w:rStyle w:val="ab"/>
        <w:noProof/>
        <w:rtl/>
      </w:rPr>
      <w:t>2</w:t>
    </w:r>
    <w:r>
      <w:rPr>
        <w:rStyle w:val="ab"/>
        <w:rtl/>
      </w:rPr>
      <w:fldChar w:fldCharType="end"/>
    </w:r>
  </w:p>
  <w:p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862" w:rsidRDefault="008D4862">
      <w:r>
        <w:separator/>
      </w:r>
    </w:p>
  </w:footnote>
  <w:footnote w:type="continuationSeparator" w:id="0">
    <w:p w:rsidR="008D4862" w:rsidRDefault="008D4862">
      <w:r>
        <w:continuationSeparator/>
      </w:r>
    </w:p>
  </w:footnote>
  <w:footnote w:type="continuationNotice" w:id="1">
    <w:p w:rsidR="008D4862" w:rsidRDefault="008D4862"/>
  </w:footnote>
  <w:footnote w:id="2">
    <w:p w:rsidR="00F419B0" w:rsidRDefault="00F419B0" w:rsidP="00F419B0">
      <w:pPr>
        <w:pStyle w:val="a4"/>
        <w:rPr>
          <w:rtl/>
        </w:rPr>
      </w:pPr>
      <w:r>
        <w:rPr>
          <w:rStyle w:val="a6"/>
        </w:rPr>
        <w:footnoteRef/>
      </w:r>
      <w:r>
        <w:rPr>
          <w:rtl/>
        </w:rPr>
        <w:t xml:space="preserve"> </w:t>
      </w:r>
      <w:r>
        <w:rPr>
          <w:rFonts w:hint="cs"/>
          <w:rtl/>
        </w:rPr>
        <w:t xml:space="preserve">ס"ח </w:t>
      </w:r>
      <w:proofErr w:type="spellStart"/>
      <w:r w:rsidR="00F813BA">
        <w:rPr>
          <w:rFonts w:hint="cs"/>
          <w:rtl/>
        </w:rPr>
        <w:t>ה</w:t>
      </w:r>
      <w:r>
        <w:rPr>
          <w:rFonts w:hint="cs"/>
          <w:rtl/>
        </w:rPr>
        <w:t>תשס"א</w:t>
      </w:r>
      <w:proofErr w:type="spellEnd"/>
      <w:r>
        <w:rPr>
          <w:rFonts w:hint="cs"/>
          <w:rtl/>
        </w:rPr>
        <w:t>, עמ' 58.</w:t>
      </w:r>
    </w:p>
  </w:footnote>
  <w:footnote w:id="3">
    <w:p w:rsidR="00F419B0" w:rsidRDefault="00F419B0" w:rsidP="00F419B0">
      <w:pPr>
        <w:pStyle w:val="a4"/>
        <w:rPr>
          <w:rtl/>
        </w:rPr>
      </w:pPr>
      <w:r>
        <w:rPr>
          <w:rStyle w:val="a6"/>
        </w:rPr>
        <w:footnoteRef/>
      </w:r>
      <w:r>
        <w:rPr>
          <w:rtl/>
        </w:rPr>
        <w:t xml:space="preserve"> </w:t>
      </w:r>
      <w:r>
        <w:rPr>
          <w:rFonts w:hint="cs"/>
          <w:rtl/>
        </w:rPr>
        <w:t xml:space="preserve">ס"ח </w:t>
      </w:r>
      <w:proofErr w:type="spellStart"/>
      <w:r w:rsidR="00F813BA">
        <w:rPr>
          <w:rFonts w:hint="cs"/>
          <w:rtl/>
        </w:rPr>
        <w:t>ה</w:t>
      </w:r>
      <w:r>
        <w:rPr>
          <w:rFonts w:hint="cs"/>
          <w:rtl/>
        </w:rPr>
        <w:t>תשנ"ו</w:t>
      </w:r>
      <w:proofErr w:type="spellEnd"/>
      <w:r>
        <w:rPr>
          <w:rFonts w:hint="cs"/>
          <w:rtl/>
        </w:rPr>
        <w:t>, עמ' 327.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A526140"/>
    <w:multiLevelType w:val="hybridMultilevel"/>
    <w:tmpl w:val="0FCC83D6"/>
    <w:lvl w:ilvl="0" w:tplc="5B680EF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1865lsCopyOriginal.docx"/>
    <w:docVar w:name="StartMode" w:val="2"/>
  </w:docVars>
  <w:rsids>
    <w:rsidRoot w:val="00DB7060"/>
    <w:rsid w:val="00015B27"/>
    <w:rsid w:val="000A542E"/>
    <w:rsid w:val="001207F8"/>
    <w:rsid w:val="00121924"/>
    <w:rsid w:val="001279A8"/>
    <w:rsid w:val="0014195F"/>
    <w:rsid w:val="00152609"/>
    <w:rsid w:val="00153E1B"/>
    <w:rsid w:val="00157D2F"/>
    <w:rsid w:val="0016005B"/>
    <w:rsid w:val="001A0623"/>
    <w:rsid w:val="001C23B0"/>
    <w:rsid w:val="00203A7F"/>
    <w:rsid w:val="002200A1"/>
    <w:rsid w:val="002362BF"/>
    <w:rsid w:val="00241B97"/>
    <w:rsid w:val="00254605"/>
    <w:rsid w:val="002728B4"/>
    <w:rsid w:val="00292712"/>
    <w:rsid w:val="002C2E29"/>
    <w:rsid w:val="003232A2"/>
    <w:rsid w:val="003710F6"/>
    <w:rsid w:val="00386E88"/>
    <w:rsid w:val="003D74A0"/>
    <w:rsid w:val="004033D8"/>
    <w:rsid w:val="00497A5E"/>
    <w:rsid w:val="004D3876"/>
    <w:rsid w:val="004E4552"/>
    <w:rsid w:val="00526653"/>
    <w:rsid w:val="00553C9D"/>
    <w:rsid w:val="005B064E"/>
    <w:rsid w:val="005B5AD8"/>
    <w:rsid w:val="005D51AE"/>
    <w:rsid w:val="00633DB2"/>
    <w:rsid w:val="00644940"/>
    <w:rsid w:val="006818A9"/>
    <w:rsid w:val="006961E2"/>
    <w:rsid w:val="006C1D0D"/>
    <w:rsid w:val="0070601E"/>
    <w:rsid w:val="00765F66"/>
    <w:rsid w:val="007D5A12"/>
    <w:rsid w:val="007E59F9"/>
    <w:rsid w:val="008105CF"/>
    <w:rsid w:val="00810BCD"/>
    <w:rsid w:val="00812C98"/>
    <w:rsid w:val="00814D92"/>
    <w:rsid w:val="00840110"/>
    <w:rsid w:val="00892135"/>
    <w:rsid w:val="00895449"/>
    <w:rsid w:val="00897879"/>
    <w:rsid w:val="008A1A33"/>
    <w:rsid w:val="008C2DDC"/>
    <w:rsid w:val="008D1518"/>
    <w:rsid w:val="008D4862"/>
    <w:rsid w:val="008F0D63"/>
    <w:rsid w:val="008F2C35"/>
    <w:rsid w:val="0091204F"/>
    <w:rsid w:val="009203DB"/>
    <w:rsid w:val="0092213C"/>
    <w:rsid w:val="00943386"/>
    <w:rsid w:val="00957589"/>
    <w:rsid w:val="00982412"/>
    <w:rsid w:val="00995893"/>
    <w:rsid w:val="00A26BD6"/>
    <w:rsid w:val="00A82CB7"/>
    <w:rsid w:val="00AC36F7"/>
    <w:rsid w:val="00B35784"/>
    <w:rsid w:val="00B708D0"/>
    <w:rsid w:val="00B72170"/>
    <w:rsid w:val="00BC45FB"/>
    <w:rsid w:val="00C013DA"/>
    <w:rsid w:val="00C11251"/>
    <w:rsid w:val="00C9176A"/>
    <w:rsid w:val="00CE327B"/>
    <w:rsid w:val="00D22B79"/>
    <w:rsid w:val="00D867D7"/>
    <w:rsid w:val="00DB7060"/>
    <w:rsid w:val="00DC4D52"/>
    <w:rsid w:val="00DE3153"/>
    <w:rsid w:val="00E11B90"/>
    <w:rsid w:val="00E13C27"/>
    <w:rsid w:val="00E33BBD"/>
    <w:rsid w:val="00E45103"/>
    <w:rsid w:val="00E665B9"/>
    <w:rsid w:val="00EA01E6"/>
    <w:rsid w:val="00EA758F"/>
    <w:rsid w:val="00ED4A6F"/>
    <w:rsid w:val="00EF3A3A"/>
    <w:rsid w:val="00F419B0"/>
    <w:rsid w:val="00F813B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link w:val="a5"/>
    <w:autoRedefine/>
    <w:semiHidden/>
    <w:rsid w:val="00943386"/>
    <w:pPr>
      <w:spacing w:line="240" w:lineRule="auto"/>
      <w:ind w:left="227" w:hanging="227"/>
    </w:pPr>
    <w:rPr>
      <w:sz w:val="14"/>
      <w:szCs w:val="20"/>
    </w:rPr>
  </w:style>
  <w:style w:type="character" w:styleId="a6">
    <w:name w:val="footnote reference"/>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styleId="ac">
    <w:name w:val="Strong"/>
    <w:basedOn w:val="a0"/>
    <w:uiPriority w:val="22"/>
    <w:qFormat/>
    <w:rsid w:val="008D1518"/>
    <w:rPr>
      <w:b/>
      <w:bCs/>
    </w:rPr>
  </w:style>
  <w:style w:type="paragraph" w:styleId="ad">
    <w:name w:val="Balloon Text"/>
    <w:basedOn w:val="a"/>
    <w:link w:val="ae"/>
    <w:semiHidden/>
    <w:unhideWhenUsed/>
    <w:rsid w:val="00C013DA"/>
    <w:pPr>
      <w:spacing w:before="0" w:line="240" w:lineRule="auto"/>
    </w:pPr>
    <w:rPr>
      <w:rFonts w:ascii="Tahoma" w:hAnsi="Tahoma" w:cs="Tahoma"/>
      <w:sz w:val="16"/>
      <w:szCs w:val="16"/>
    </w:rPr>
  </w:style>
  <w:style w:type="character" w:customStyle="1" w:styleId="ae">
    <w:name w:val="טקסט בלונים תו"/>
    <w:basedOn w:val="a0"/>
    <w:link w:val="ad"/>
    <w:semiHidden/>
    <w:rsid w:val="00C013DA"/>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F419B0"/>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link w:val="a5"/>
    <w:autoRedefine/>
    <w:semiHidden/>
    <w:rsid w:val="00943386"/>
    <w:pPr>
      <w:spacing w:line="240" w:lineRule="auto"/>
      <w:ind w:left="227" w:hanging="227"/>
    </w:pPr>
    <w:rPr>
      <w:sz w:val="14"/>
      <w:szCs w:val="20"/>
    </w:rPr>
  </w:style>
  <w:style w:type="character" w:styleId="a6">
    <w:name w:val="footnote reference"/>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styleId="ac">
    <w:name w:val="Strong"/>
    <w:basedOn w:val="a0"/>
    <w:uiPriority w:val="22"/>
    <w:qFormat/>
    <w:rsid w:val="008D1518"/>
    <w:rPr>
      <w:b/>
      <w:bCs/>
    </w:rPr>
  </w:style>
  <w:style w:type="paragraph" w:styleId="ad">
    <w:name w:val="Balloon Text"/>
    <w:basedOn w:val="a"/>
    <w:link w:val="ae"/>
    <w:semiHidden/>
    <w:unhideWhenUsed/>
    <w:rsid w:val="00C013DA"/>
    <w:pPr>
      <w:spacing w:before="0" w:line="240" w:lineRule="auto"/>
    </w:pPr>
    <w:rPr>
      <w:rFonts w:ascii="Tahoma" w:hAnsi="Tahoma" w:cs="Tahoma"/>
      <w:sz w:val="16"/>
      <w:szCs w:val="16"/>
    </w:rPr>
  </w:style>
  <w:style w:type="character" w:customStyle="1" w:styleId="ae">
    <w:name w:val="טקסט בלונים תו"/>
    <w:basedOn w:val="a0"/>
    <w:link w:val="ad"/>
    <w:semiHidden/>
    <w:rsid w:val="00C013DA"/>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F419B0"/>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37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D7972B-5706-4646-ACEF-DC79A021AC6B}"/>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352127E7-FA4F-4875-B492-C591FC231E20}"/>
</file>

<file path=docProps/app.xml><?xml version="1.0" encoding="utf-8"?>
<Properties xmlns="http://schemas.openxmlformats.org/officeDocument/2006/extended-properties" xmlns:vt="http://schemas.openxmlformats.org/officeDocument/2006/docPropsVTypes">
  <Template>Normal</Template>
  <TotalTime>0</TotalTime>
  <Pages>1</Pages>
  <Words>476</Words>
  <Characters>2380</Characters>
  <Application>Microsoft Office Word</Application>
  <DocSecurity>0</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 </Company>
  <LinksUpToDate>false</LinksUpToDate>
  <CharactersWithSpaces>2851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גיל ברינגר</dc:creator>
  <cp:keywords/>
  <dc:description/>
  <cp:lastModifiedBy>לילך יעיש</cp:lastModifiedBy>
  <cp:revision>2</cp:revision>
  <cp:lastPrinted>2013-12-19T12:23:00Z</cp:lastPrinted>
  <dcterms:created xsi:type="dcterms:W3CDTF">2013-12-19T12:23:00Z</dcterms:created>
  <dcterms:modified xsi:type="dcterms:W3CDTF">2013-12-19T12:23:00Z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