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153994" w:rsidRDefault="004033D8" w:rsidP="002C2E29">
      <w:pPr>
        <w:pStyle w:val="HeadHatzaotHok"/>
        <w:jc w:val="right"/>
        <w:rPr>
          <w:b w:val="0"/>
          <w:bCs w:val="0"/>
          <w:szCs w:val="20"/>
        </w:rPr>
      </w:pPr>
      <w:r w:rsidRPr="00153994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F679D2" w:rsidRPr="00153994">
        <w:rPr>
          <w:b w:val="0"/>
          <w:bCs w:val="0"/>
          <w:szCs w:val="20"/>
          <w:rtl/>
        </w:rPr>
        <w:t>544636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F679D2" w:rsidRPr="00F679D2">
        <w:rPr>
          <w:sz w:val="28"/>
          <w:szCs w:val="28"/>
          <w:rtl/>
        </w:rPr>
        <w:t>התשע-עשרה</w:t>
      </w:r>
      <w:bookmarkEnd w:id="1"/>
    </w:p>
    <w:p w:rsidR="00E13C27" w:rsidRPr="00E90646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0D6201" w:rsidRPr="00E90646" w:rsidRDefault="00DE6F2F" w:rsidP="0091204F">
      <w:pPr>
        <w:pStyle w:val="David"/>
        <w:ind w:left="2880" w:firstLine="663"/>
        <w:rPr>
          <w:b/>
          <w:bCs/>
        </w:rPr>
      </w:pPr>
      <w:bookmarkStart w:id="2" w:name="MKsSingleOrMulti"/>
      <w:r w:rsidRPr="00E90646">
        <w:rPr>
          <w:b/>
          <w:bCs/>
          <w:rtl/>
        </w:rPr>
        <w:t>יוזמים:      חברי הכנסת</w:t>
      </w:r>
      <w:bookmarkEnd w:id="2"/>
      <w:r w:rsidR="00B35784" w:rsidRPr="00E90646">
        <w:rPr>
          <w:b/>
          <w:bCs/>
        </w:rPr>
        <w:tab/>
      </w:r>
      <w:bookmarkStart w:id="3" w:name="MKs"/>
      <w:r w:rsidR="000D6201" w:rsidRPr="00E90646">
        <w:rPr>
          <w:b/>
          <w:bCs/>
          <w:rtl/>
        </w:rPr>
        <w:t>רינה פרנקל</w:t>
      </w:r>
    </w:p>
    <w:p w:rsidR="00E13C27" w:rsidRDefault="000D6201" w:rsidP="0091204F">
      <w:pPr>
        <w:pStyle w:val="David"/>
        <w:ind w:left="2880" w:firstLine="663"/>
        <w:rPr>
          <w:b/>
          <w:bCs/>
          <w:rtl/>
        </w:rPr>
      </w:pPr>
      <w:r w:rsidRPr="00E90646">
        <w:rPr>
          <w:b/>
          <w:bCs/>
        </w:rPr>
        <w:tab/>
      </w:r>
      <w:r w:rsidRPr="00E90646">
        <w:rPr>
          <w:b/>
          <w:bCs/>
        </w:rPr>
        <w:tab/>
      </w:r>
      <w:r w:rsidRPr="00E90646">
        <w:rPr>
          <w:b/>
          <w:bCs/>
        </w:rPr>
        <w:tab/>
      </w:r>
      <w:r w:rsidRPr="00E90646">
        <w:rPr>
          <w:b/>
          <w:bCs/>
        </w:rPr>
        <w:tab/>
      </w:r>
      <w:r w:rsidRPr="00E90646">
        <w:rPr>
          <w:b/>
          <w:bCs/>
        </w:rPr>
        <w:tab/>
      </w:r>
      <w:r w:rsidRPr="00E90646">
        <w:rPr>
          <w:b/>
          <w:bCs/>
          <w:rtl/>
        </w:rPr>
        <w:t>חיים כץ</w:t>
      </w:r>
      <w:bookmarkEnd w:id="3"/>
    </w:p>
    <w:p w:rsidR="00153994" w:rsidRPr="00E90646" w:rsidRDefault="00153994" w:rsidP="0091204F">
      <w:pPr>
        <w:pStyle w:val="David"/>
        <w:ind w:left="2880" w:firstLine="663"/>
        <w:rPr>
          <w:b/>
          <w:bCs/>
          <w:rtl/>
        </w:rPr>
      </w:pPr>
    </w:p>
    <w:p w:rsidR="0035793C" w:rsidRPr="00BA2E01" w:rsidRDefault="0014195F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2C06A4" wp14:editId="0607C90D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0" r="0" b="0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" fill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r w:rsidR="0007080D" w:rsidRPr="00BA2E01">
        <w:rPr>
          <w:rFonts w:cs="David"/>
          <w:sz w:val="26"/>
          <w:szCs w:val="26"/>
          <w:rtl/>
        </w:rPr>
        <w:t>מצטרפים: חברי הכנסת</w:t>
      </w:r>
      <w:bookmarkEnd w:id="4"/>
      <w:r w:rsidR="002200A1" w:rsidRPr="00BA2E01">
        <w:rPr>
          <w:rFonts w:cs="David" w:hint="cs"/>
          <w:sz w:val="26"/>
          <w:szCs w:val="26"/>
          <w:rtl/>
        </w:rPr>
        <w:tab/>
      </w:r>
      <w:bookmarkStart w:id="5" w:name="MKs1"/>
      <w:r w:rsidR="0035793C" w:rsidRPr="00BA2E01">
        <w:rPr>
          <w:rFonts w:cs="David"/>
          <w:sz w:val="26"/>
          <w:szCs w:val="26"/>
          <w:rtl/>
        </w:rPr>
        <w:t>יפעת קריב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קארין אלהרר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דב חנין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דב ליפמן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מרב מיכאלי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מאיר פרוש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משה מזרחי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ישראל אייכלר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בועז טופורובסקי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ניצן הורוביץ</w:t>
      </w:r>
    </w:p>
    <w:p w:rsidR="0035793C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פנינה תמנו-שטה</w:t>
      </w:r>
    </w:p>
    <w:p w:rsidR="00E13C27" w:rsidRPr="00BA2E01" w:rsidRDefault="0035793C" w:rsidP="00B35784">
      <w:pPr>
        <w:ind w:firstLine="3543"/>
        <w:rPr>
          <w:rFonts w:cs="David"/>
          <w:sz w:val="26"/>
          <w:szCs w:val="26"/>
          <w:rtl/>
        </w:rPr>
      </w:pP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</w:r>
      <w:r w:rsidRPr="00BA2E01">
        <w:rPr>
          <w:rFonts w:cs="David"/>
          <w:sz w:val="26"/>
          <w:szCs w:val="26"/>
          <w:rtl/>
        </w:rPr>
        <w:tab/>
        <w:t>עליזה לביא</w:t>
      </w:r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B8BAC8" wp14:editId="10E27A4D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2A5BC3" w:rsidRPr="002A5BC3">
        <w:rPr>
          <w:rFonts w:cs="David"/>
          <w:sz w:val="26"/>
          <w:szCs w:val="26"/>
          <w:rtl/>
        </w:rPr>
        <w:t>פ/2033/19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647735" w:rsidP="00153994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647735">
        <w:rPr>
          <w:sz w:val="26"/>
          <w:rtl/>
        </w:rPr>
        <w:t xml:space="preserve">הצעת חוק זכויות החולה (תיקון </w:t>
      </w:r>
      <w:r w:rsidR="00153994">
        <w:rPr>
          <w:rFonts w:hint="cs"/>
          <w:sz w:val="26"/>
          <w:rtl/>
        </w:rPr>
        <w:t>–</w:t>
      </w:r>
      <w:r w:rsidRPr="00647735">
        <w:rPr>
          <w:sz w:val="26"/>
          <w:rtl/>
        </w:rPr>
        <w:t xml:space="preserve"> סנקציה על הפליה מחמת גיל), </w:t>
      </w:r>
      <w:proofErr w:type="spellStart"/>
      <w:r w:rsidRPr="00647735">
        <w:rPr>
          <w:sz w:val="26"/>
          <w:rtl/>
        </w:rPr>
        <w:t>התשע"ד</w:t>
      </w:r>
      <w:proofErr w:type="spellEnd"/>
      <w:r w:rsidR="00153994">
        <w:rPr>
          <w:rFonts w:hint="cs"/>
          <w:sz w:val="26"/>
          <w:rtl/>
        </w:rPr>
        <w:t>–</w:t>
      </w:r>
      <w:r w:rsidRPr="00647735">
        <w:rPr>
          <w:sz w:val="26"/>
          <w:rtl/>
        </w:rPr>
        <w:t>2014</w:t>
      </w:r>
      <w:bookmarkEnd w:id="7"/>
    </w:p>
    <w:p w:rsidR="00153994" w:rsidRDefault="00153994" w:rsidP="00153994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2"/>
        <w:gridCol w:w="9"/>
        <w:gridCol w:w="612"/>
        <w:gridCol w:w="12"/>
        <w:gridCol w:w="7101"/>
        <w:gridCol w:w="45"/>
      </w:tblGrid>
      <w:tr w:rsidR="00BA2E01" w:rsidTr="00BA2E01">
        <w:trPr>
          <w:gridAfter w:val="1"/>
          <w:wAfter w:w="45" w:type="dxa"/>
          <w:cantSplit/>
          <w:trHeight w:val="55"/>
        </w:trPr>
        <w:tc>
          <w:tcPr>
            <w:tcW w:w="1862" w:type="dxa"/>
          </w:tcPr>
          <w:p w:rsidR="00BA2E01" w:rsidRDefault="00BA2E01" w:rsidP="00153994">
            <w:pPr>
              <w:pStyle w:val="TableSideHeading"/>
            </w:pPr>
            <w:r>
              <w:rPr>
                <w:rFonts w:hint="cs"/>
                <w:rtl/>
              </w:rPr>
              <w:t xml:space="preserve">תיקון סעיף </w:t>
            </w:r>
            <w:r w:rsidR="00153994">
              <w:rPr>
                <w:rFonts w:hint="cs"/>
                <w:rtl/>
              </w:rPr>
              <w:t>4</w:t>
            </w:r>
          </w:p>
        </w:tc>
        <w:tc>
          <w:tcPr>
            <w:tcW w:w="621" w:type="dxa"/>
            <w:gridSpan w:val="2"/>
          </w:tcPr>
          <w:p w:rsidR="00BA2E01" w:rsidRDefault="00BA2E01" w:rsidP="002263F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13" w:type="dxa"/>
            <w:gridSpan w:val="2"/>
          </w:tcPr>
          <w:p w:rsidR="00BA2E01" w:rsidRPr="008105CF" w:rsidRDefault="00BA2E01" w:rsidP="00153994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בחוק </w:t>
            </w:r>
            <w:r w:rsidRPr="008105CF">
              <w:rPr>
                <w:rtl/>
              </w:rPr>
              <w:t xml:space="preserve">זכויות החולה, </w:t>
            </w:r>
            <w:proofErr w:type="spellStart"/>
            <w:r>
              <w:rPr>
                <w:rFonts w:hint="cs"/>
                <w:rtl/>
              </w:rPr>
              <w:t>ה</w:t>
            </w:r>
            <w:r w:rsidRPr="008105CF">
              <w:rPr>
                <w:rtl/>
              </w:rPr>
              <w:t>תשנ"ו</w:t>
            </w:r>
            <w:proofErr w:type="spellEnd"/>
            <w:r>
              <w:rPr>
                <w:rtl/>
              </w:rPr>
              <w:t>–</w:t>
            </w:r>
            <w:r w:rsidRPr="008105CF">
              <w:rPr>
                <w:rtl/>
              </w:rPr>
              <w:t>1996</w:t>
            </w:r>
            <w:r w:rsidRPr="00BA2E01">
              <w:rPr>
                <w:rStyle w:val="a6"/>
                <w:rtl/>
              </w:rPr>
              <w:footnoteReference w:id="2"/>
            </w:r>
            <w:r w:rsidR="00153994">
              <w:rPr>
                <w:rFonts w:hint="cs"/>
                <w:rtl/>
              </w:rPr>
              <w:t xml:space="preserve"> (להלן – החוק העיקרי), בסעיף 4 –</w:t>
            </w:r>
          </w:p>
        </w:tc>
      </w:tr>
      <w:tr w:rsidR="00BA2E01" w:rsidTr="00BA2E01">
        <w:trPr>
          <w:gridAfter w:val="1"/>
          <w:wAfter w:w="45" w:type="dxa"/>
          <w:cantSplit/>
          <w:trHeight w:val="55"/>
        </w:trPr>
        <w:tc>
          <w:tcPr>
            <w:tcW w:w="1862" w:type="dxa"/>
          </w:tcPr>
          <w:p w:rsidR="00BA2E01" w:rsidRDefault="00BA2E01" w:rsidP="00BA2E01">
            <w:pPr>
              <w:pStyle w:val="TableSideHeading"/>
              <w:rPr>
                <w:rtl/>
              </w:rPr>
            </w:pPr>
          </w:p>
        </w:tc>
        <w:tc>
          <w:tcPr>
            <w:tcW w:w="621" w:type="dxa"/>
            <w:gridSpan w:val="2"/>
          </w:tcPr>
          <w:p w:rsidR="00BA2E01" w:rsidRDefault="00BA2E01" w:rsidP="002263F3">
            <w:pPr>
              <w:pStyle w:val="TableText"/>
              <w:rPr>
                <w:rtl/>
              </w:rPr>
            </w:pPr>
          </w:p>
        </w:tc>
        <w:tc>
          <w:tcPr>
            <w:tcW w:w="7113" w:type="dxa"/>
            <w:gridSpan w:val="2"/>
          </w:tcPr>
          <w:p w:rsidR="00BA2E01" w:rsidRDefault="00BA2E01" w:rsidP="0015399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 w:rsidR="00153994">
              <w:rPr>
                <w:rtl/>
              </w:rPr>
              <w:tab/>
            </w:r>
            <w:r w:rsidR="00153994">
              <w:rPr>
                <w:rFonts w:hint="cs"/>
                <w:rtl/>
              </w:rPr>
              <w:t>בסעיף קטן (א), אחרי "</w:t>
            </w:r>
            <w:proofErr w:type="spellStart"/>
            <w:r w:rsidR="00153994">
              <w:rPr>
                <w:rFonts w:hint="cs"/>
                <w:rtl/>
              </w:rPr>
              <w:t>נטיה</w:t>
            </w:r>
            <w:proofErr w:type="spellEnd"/>
            <w:r w:rsidR="00153994">
              <w:rPr>
                <w:rFonts w:hint="cs"/>
                <w:rtl/>
              </w:rPr>
              <w:t xml:space="preserve"> מינית" יבוא "גיל";</w:t>
            </w:r>
          </w:p>
        </w:tc>
      </w:tr>
      <w:tr w:rsidR="00153994" w:rsidTr="00182546">
        <w:trPr>
          <w:cantSplit/>
          <w:trHeight w:val="60"/>
        </w:trPr>
        <w:tc>
          <w:tcPr>
            <w:tcW w:w="1871" w:type="dxa"/>
            <w:gridSpan w:val="2"/>
          </w:tcPr>
          <w:p w:rsidR="00153994" w:rsidRDefault="00153994" w:rsidP="002263F3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153994" w:rsidRDefault="00153994" w:rsidP="002263F3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153994" w:rsidRDefault="00153994" w:rsidP="0015399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(ב), </w:t>
            </w:r>
            <w:proofErr w:type="spellStart"/>
            <w:r>
              <w:rPr>
                <w:rFonts w:hint="cs"/>
                <w:rtl/>
              </w:rPr>
              <w:t>הרישה</w:t>
            </w:r>
            <w:proofErr w:type="spellEnd"/>
            <w:r>
              <w:rPr>
                <w:rFonts w:hint="cs"/>
                <w:rtl/>
              </w:rPr>
              <w:t xml:space="preserve"> עד המילה "ואולם" – תימחק, ואחרי "הפליה" יבוא "מטעמי גיל".</w:t>
            </w:r>
          </w:p>
        </w:tc>
      </w:tr>
      <w:tr w:rsidR="00153994" w:rsidTr="00BA2E01">
        <w:trPr>
          <w:cantSplit/>
          <w:trHeight w:val="60"/>
        </w:trPr>
        <w:tc>
          <w:tcPr>
            <w:tcW w:w="1871" w:type="dxa"/>
            <w:gridSpan w:val="2"/>
          </w:tcPr>
          <w:p w:rsidR="00153994" w:rsidRDefault="00153994" w:rsidP="002263F3">
            <w:pPr>
              <w:pStyle w:val="TableSideHeading"/>
            </w:pPr>
            <w:r>
              <w:rPr>
                <w:rFonts w:hint="cs"/>
                <w:rtl/>
              </w:rPr>
              <w:t>תיקון סעיף 28</w:t>
            </w:r>
          </w:p>
        </w:tc>
        <w:tc>
          <w:tcPr>
            <w:tcW w:w="624" w:type="dxa"/>
            <w:gridSpan w:val="2"/>
          </w:tcPr>
          <w:p w:rsidR="00153994" w:rsidRDefault="00153994" w:rsidP="002263F3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:rsidR="00153994" w:rsidRDefault="00153994" w:rsidP="002263F3">
            <w:pPr>
              <w:pStyle w:val="TableBlock"/>
            </w:pPr>
            <w:r>
              <w:rPr>
                <w:rFonts w:hint="cs"/>
                <w:rtl/>
              </w:rPr>
              <w:t xml:space="preserve">בסעיף 28 לחוק העיקרי, </w:t>
            </w:r>
            <w:r w:rsidRPr="009B515D">
              <w:rPr>
                <w:rtl/>
              </w:rPr>
              <w:t xml:space="preserve">במקום "ארץ מוצא או </w:t>
            </w:r>
            <w:proofErr w:type="spellStart"/>
            <w:r w:rsidRPr="009B515D">
              <w:rPr>
                <w:rtl/>
              </w:rPr>
              <w:t>נטיה</w:t>
            </w:r>
            <w:proofErr w:type="spellEnd"/>
            <w:r w:rsidRPr="009B515D">
              <w:rPr>
                <w:rtl/>
              </w:rPr>
              <w:t xml:space="preserve"> מינית" יבו</w:t>
            </w:r>
            <w:r>
              <w:rPr>
                <w:rtl/>
              </w:rPr>
              <w:t xml:space="preserve">א "ארץ מוצא, </w:t>
            </w:r>
            <w:proofErr w:type="spellStart"/>
            <w:r>
              <w:rPr>
                <w:rtl/>
              </w:rPr>
              <w:t>נטיה</w:t>
            </w:r>
            <w:proofErr w:type="spellEnd"/>
            <w:r>
              <w:rPr>
                <w:rtl/>
              </w:rPr>
              <w:t xml:space="preserve"> מינית או גיל</w:t>
            </w:r>
            <w:r>
              <w:rPr>
                <w:rFonts w:hint="cs"/>
                <w:rtl/>
              </w:rPr>
              <w:t>, בניגוד להוראות סעיף 4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.</w:t>
            </w:r>
          </w:p>
        </w:tc>
      </w:tr>
      <w:tr w:rsidR="00153994" w:rsidTr="00BA2E01">
        <w:trPr>
          <w:cantSplit/>
          <w:trHeight w:val="60"/>
        </w:trPr>
        <w:tc>
          <w:tcPr>
            <w:tcW w:w="1871" w:type="dxa"/>
            <w:gridSpan w:val="2"/>
          </w:tcPr>
          <w:p w:rsidR="00153994" w:rsidRDefault="00153994" w:rsidP="002263F3">
            <w:pPr>
              <w:pStyle w:val="TableSideHeading"/>
            </w:pPr>
            <w:r>
              <w:rPr>
                <w:rFonts w:hint="cs"/>
                <w:rtl/>
              </w:rPr>
              <w:t>תיקון סעיף 28א</w:t>
            </w:r>
          </w:p>
        </w:tc>
        <w:tc>
          <w:tcPr>
            <w:tcW w:w="624" w:type="dxa"/>
            <w:gridSpan w:val="2"/>
          </w:tcPr>
          <w:p w:rsidR="00153994" w:rsidRDefault="00153994" w:rsidP="002263F3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2"/>
          </w:tcPr>
          <w:p w:rsidR="00153994" w:rsidRDefault="00153994" w:rsidP="0015399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28א לחוק העיקרי, במקום "סעיף 4(א)" יבוא "סעיף 4".</w:t>
            </w:r>
          </w:p>
        </w:tc>
      </w:tr>
    </w:tbl>
    <w:p w:rsidR="00BA2E01" w:rsidRDefault="00BA2E01" w:rsidP="00E90646">
      <w:pPr>
        <w:pStyle w:val="HeadDivreiHesber"/>
        <w:rPr>
          <w:rtl/>
        </w:rPr>
      </w:pPr>
    </w:p>
    <w:p w:rsidR="00153994" w:rsidRPr="00BA2E01" w:rsidRDefault="00153994" w:rsidP="00E90646">
      <w:pPr>
        <w:pStyle w:val="HeadDivreiHesber"/>
        <w:rPr>
          <w:rtl/>
        </w:rPr>
      </w:pPr>
    </w:p>
    <w:p w:rsidR="00E13C27" w:rsidRPr="00E90646" w:rsidRDefault="00E13C27" w:rsidP="00E90646">
      <w:pPr>
        <w:pStyle w:val="HeadDivreiHesber"/>
        <w:rPr>
          <w:rtl/>
        </w:rPr>
      </w:pPr>
      <w:r w:rsidRPr="00E90646">
        <w:rPr>
          <w:rFonts w:hint="cs"/>
          <w:rtl/>
        </w:rPr>
        <w:t>דברי הסבר</w:t>
      </w:r>
    </w:p>
    <w:p w:rsidR="002C7C31" w:rsidRPr="001F132A" w:rsidRDefault="00153994" w:rsidP="00153994">
      <w:pPr>
        <w:pStyle w:val="Hesber"/>
        <w:rPr>
          <w:rtl/>
        </w:rPr>
      </w:pPr>
      <w:r>
        <w:rPr>
          <w:rFonts w:hint="cs"/>
          <w:rtl/>
        </w:rPr>
        <w:t>ה</w:t>
      </w:r>
      <w:r w:rsidR="002C7C31" w:rsidRPr="001F132A">
        <w:rPr>
          <w:rFonts w:hint="cs"/>
          <w:rtl/>
        </w:rPr>
        <w:t>פליה מחמת גיל היא פגיעה קשה בכבוד האדם. כפי שנפסק בידי בית המשפט העליון: "</w:t>
      </w:r>
      <w:r w:rsidR="002C7C31" w:rsidRPr="001F132A">
        <w:rPr>
          <w:rtl/>
        </w:rPr>
        <w:t xml:space="preserve">הערך של "אל-תשליכני לעת זקנה" (תהילים </w:t>
      </w:r>
      <w:proofErr w:type="spellStart"/>
      <w:r w:rsidR="002C7C31" w:rsidRPr="001F132A">
        <w:rPr>
          <w:rtl/>
        </w:rPr>
        <w:t>עא</w:t>
      </w:r>
      <w:proofErr w:type="spellEnd"/>
      <w:r w:rsidR="002C7C31" w:rsidRPr="001F132A">
        <w:rPr>
          <w:rtl/>
        </w:rPr>
        <w:t xml:space="preserve">, ט) הוא ביטוי לתפישה, הטבועה עמוק בתרבות החברתית שלנו. הפליה של אדם מחמת גילו המבוגר </w:t>
      </w:r>
      <w:r>
        <w:rPr>
          <w:rFonts w:hint="cs"/>
          <w:rtl/>
        </w:rPr>
        <w:t>–</w:t>
      </w:r>
      <w:r w:rsidR="002C7C31" w:rsidRPr="001F132A">
        <w:rPr>
          <w:rtl/>
        </w:rPr>
        <w:t xml:space="preserve"> להבדיל מסוגים אחרים של הפליה על בסיס של גיל </w:t>
      </w:r>
      <w:r>
        <w:rPr>
          <w:rFonts w:hint="eastAsia"/>
          <w:rtl/>
        </w:rPr>
        <w:t>–</w:t>
      </w:r>
      <w:r w:rsidR="002C7C31" w:rsidRPr="001F132A">
        <w:rPr>
          <w:rtl/>
        </w:rPr>
        <w:t xml:space="preserve"> מהווה פגיעה קשה בכבודו של העובד המבוגר. אינני סבור שפגיעה זו מקוממת פחות מפגיעות אחרות אשר בית המשפט העליון רואה בהם, כעניין שב</w:t>
      </w:r>
      <w:r w:rsidR="002C7C31" w:rsidRPr="001F132A">
        <w:rPr>
          <w:rFonts w:hint="cs"/>
          <w:rtl/>
        </w:rPr>
        <w:t>ש</w:t>
      </w:r>
      <w:r w:rsidR="002C7C31" w:rsidRPr="001F132A">
        <w:rPr>
          <w:rtl/>
        </w:rPr>
        <w:t>גרה, סתירה לתקנת הציבור</w:t>
      </w:r>
      <w:r w:rsidR="002C7C31" w:rsidRPr="001F132A">
        <w:rPr>
          <w:rFonts w:hint="cs"/>
          <w:rtl/>
        </w:rPr>
        <w:t xml:space="preserve">." (כב' הנשיא, </w:t>
      </w:r>
      <w:proofErr w:type="spellStart"/>
      <w:r w:rsidR="002C7C31" w:rsidRPr="001F132A">
        <w:rPr>
          <w:rFonts w:hint="cs"/>
          <w:rtl/>
        </w:rPr>
        <w:t>דנג"צ</w:t>
      </w:r>
      <w:proofErr w:type="spellEnd"/>
      <w:r w:rsidR="002C7C31" w:rsidRPr="001F132A">
        <w:rPr>
          <w:rFonts w:hint="cs"/>
          <w:rtl/>
        </w:rPr>
        <w:t xml:space="preserve"> 4191/97 </w:t>
      </w:r>
      <w:proofErr w:type="spellStart"/>
      <w:r w:rsidR="002C7C31" w:rsidRPr="00153994">
        <w:rPr>
          <w:rFonts w:hint="cs"/>
          <w:b/>
          <w:bCs/>
          <w:rtl/>
        </w:rPr>
        <w:t>רקנט</w:t>
      </w:r>
      <w:proofErr w:type="spellEnd"/>
      <w:r w:rsidR="002C7C31" w:rsidRPr="00153994">
        <w:rPr>
          <w:rFonts w:hint="cs"/>
          <w:b/>
          <w:bCs/>
          <w:rtl/>
        </w:rPr>
        <w:t xml:space="preserve"> נ. אל על</w:t>
      </w:r>
      <w:r w:rsidR="002C7C31" w:rsidRPr="001F132A">
        <w:rPr>
          <w:rFonts w:hint="cs"/>
          <w:rtl/>
        </w:rPr>
        <w:t>)</w:t>
      </w:r>
    </w:p>
    <w:p w:rsidR="002C7C31" w:rsidRPr="001F132A" w:rsidRDefault="002C7C31" w:rsidP="001F132A">
      <w:pPr>
        <w:pStyle w:val="Hesber"/>
        <w:rPr>
          <w:rtl/>
        </w:rPr>
      </w:pPr>
      <w:r w:rsidRPr="001F132A">
        <w:rPr>
          <w:rFonts w:hint="cs"/>
          <w:rtl/>
        </w:rPr>
        <w:t>בשנת 1996 עת חוקקו את חוק זכויות החולה לא היה קיים בו איסור על הפליה מחמת גיל.</w:t>
      </w:r>
      <w:r w:rsidR="001F132A" w:rsidRPr="001F132A">
        <w:rPr>
          <w:rFonts w:hint="cs"/>
          <w:rtl/>
        </w:rPr>
        <w:t xml:space="preserve"> </w:t>
      </w:r>
      <w:r w:rsidRPr="001F132A">
        <w:rPr>
          <w:rFonts w:hint="cs"/>
          <w:rtl/>
        </w:rPr>
        <w:t>רק בשנת 2010 ה</w:t>
      </w:r>
      <w:r w:rsidR="00153994">
        <w:rPr>
          <w:rFonts w:hint="cs"/>
          <w:rtl/>
        </w:rPr>
        <w:t>וכנס תיקון לחוק אשר אסר בסעיף 4</w:t>
      </w:r>
      <w:r w:rsidRPr="001F132A">
        <w:rPr>
          <w:rFonts w:hint="cs"/>
          <w:rtl/>
        </w:rPr>
        <w:t>(ב) להפלות מטופל מחמת גיל.</w:t>
      </w:r>
    </w:p>
    <w:p w:rsidR="002C7C31" w:rsidRPr="001F132A" w:rsidRDefault="002C7C31" w:rsidP="00BA2E01">
      <w:pPr>
        <w:pStyle w:val="Hesber"/>
        <w:rPr>
          <w:rtl/>
        </w:rPr>
      </w:pPr>
      <w:r w:rsidRPr="001F132A">
        <w:rPr>
          <w:rFonts w:hint="cs"/>
          <w:rtl/>
        </w:rPr>
        <w:t xml:space="preserve">כאשר הוכנס התיקון </w:t>
      </w:r>
      <w:r w:rsidR="00BA2E01">
        <w:rPr>
          <w:rFonts w:hint="cs"/>
          <w:rtl/>
        </w:rPr>
        <w:t xml:space="preserve">על ידי </w:t>
      </w:r>
      <w:r w:rsidR="00153994">
        <w:rPr>
          <w:rFonts w:hint="cs"/>
          <w:rtl/>
        </w:rPr>
        <w:t>הוספת סעיף 4</w:t>
      </w:r>
      <w:r w:rsidRPr="001F132A">
        <w:rPr>
          <w:rFonts w:hint="cs"/>
          <w:rtl/>
        </w:rPr>
        <w:t>(ב) לחוק הושמט התיקון של סעיף 28 וסעיף 28א שמעגנים את הסנקציו</w:t>
      </w:r>
      <w:r w:rsidRPr="001F132A">
        <w:rPr>
          <w:rFonts w:hint="eastAsia"/>
          <w:rtl/>
        </w:rPr>
        <w:t>ת</w:t>
      </w:r>
      <w:r w:rsidR="00153994">
        <w:rPr>
          <w:rFonts w:hint="cs"/>
          <w:rtl/>
        </w:rPr>
        <w:t xml:space="preserve"> הפליליות והאזרחיות בגין הפליה.</w:t>
      </w:r>
      <w:r w:rsidRPr="001F132A">
        <w:rPr>
          <w:rFonts w:hint="cs"/>
          <w:rtl/>
        </w:rPr>
        <w:t xml:space="preserve"> כתוצאה מכך אין סנקציות פליליות או אזרחיות על הפליה מחמת גיל (סנקציות אלו קיימות במקרה של הפליה מהטעמים האחרים המפורטים בחוק</w:t>
      </w:r>
      <w:r w:rsidRPr="001F132A">
        <w:rPr>
          <w:rtl/>
        </w:rPr>
        <w:t xml:space="preserve"> </w:t>
      </w:r>
      <w:r w:rsidR="00153994">
        <w:rPr>
          <w:rFonts w:hint="cs"/>
          <w:rtl/>
        </w:rPr>
        <w:t>על אף שה</w:t>
      </w:r>
      <w:r w:rsidRPr="001F132A">
        <w:rPr>
          <w:rFonts w:hint="cs"/>
          <w:rtl/>
        </w:rPr>
        <w:t xml:space="preserve">פליה זו </w:t>
      </w:r>
      <w:r w:rsidRPr="001F132A">
        <w:rPr>
          <w:rtl/>
        </w:rPr>
        <w:t>אינה פחותה בחשיבותה מאיסורי ההפליה האחרים הנקובים בחוק</w:t>
      </w:r>
      <w:r w:rsidRPr="001F132A">
        <w:rPr>
          <w:rFonts w:hint="cs"/>
          <w:rtl/>
        </w:rPr>
        <w:t>)</w:t>
      </w:r>
      <w:r w:rsidRPr="001F132A">
        <w:rPr>
          <w:rtl/>
        </w:rPr>
        <w:t>.</w:t>
      </w:r>
    </w:p>
    <w:p w:rsidR="002C7C31" w:rsidRDefault="001F132A" w:rsidP="001F132A">
      <w:pPr>
        <w:pStyle w:val="Hesber"/>
        <w:rPr>
          <w:rtl/>
        </w:rPr>
      </w:pPr>
      <w:r>
        <w:rPr>
          <w:rFonts w:hint="cs"/>
          <w:rtl/>
        </w:rPr>
        <w:t xml:space="preserve">לאור האמור, מוצע </w:t>
      </w:r>
      <w:r w:rsidR="002C7C31" w:rsidRPr="001F132A">
        <w:rPr>
          <w:rFonts w:hint="cs"/>
          <w:rtl/>
        </w:rPr>
        <w:t>לתקן את החוק כך שמעמד הפליה מחמת גיל יושווה</w:t>
      </w:r>
      <w:r>
        <w:rPr>
          <w:rFonts w:hint="cs"/>
          <w:rtl/>
        </w:rPr>
        <w:t>, לעניין הסנקציות,</w:t>
      </w:r>
      <w:r w:rsidR="002C7C31" w:rsidRPr="001F132A">
        <w:rPr>
          <w:rFonts w:hint="cs"/>
          <w:rtl/>
        </w:rPr>
        <w:t xml:space="preserve"> להפליות האסורות האחרות.</w:t>
      </w:r>
    </w:p>
    <w:p w:rsidR="005E0DBE" w:rsidRDefault="005E0DBE" w:rsidP="001F132A">
      <w:pPr>
        <w:pStyle w:val="Hesber"/>
        <w:rPr>
          <w:rtl/>
        </w:rPr>
      </w:pPr>
      <w:r>
        <w:rPr>
          <w:rFonts w:hint="cs"/>
          <w:rtl/>
        </w:rPr>
        <w:t>הצעת חוק דומה בעיקרה הונחה על שולחן הכנסת התשע-עשרה על ידי חברת הכנסת אורית סטרוק וקבוצת חברי הכנסת (פ/1996/19).</w:t>
      </w:r>
    </w:p>
    <w:p w:rsidR="00153994" w:rsidRDefault="00153994" w:rsidP="001F132A">
      <w:pPr>
        <w:pStyle w:val="Hesber"/>
        <w:rPr>
          <w:rtl/>
        </w:rPr>
      </w:pPr>
    </w:p>
    <w:p w:rsidR="00153994" w:rsidRDefault="00153994" w:rsidP="001F132A">
      <w:pPr>
        <w:pStyle w:val="Hesber"/>
        <w:rPr>
          <w:rtl/>
        </w:rPr>
      </w:pPr>
    </w:p>
    <w:p w:rsidR="00153994" w:rsidRDefault="00153994" w:rsidP="001F132A">
      <w:pPr>
        <w:pStyle w:val="Hesber"/>
        <w:rPr>
          <w:rtl/>
        </w:rPr>
      </w:pPr>
    </w:p>
    <w:p w:rsidR="00153994" w:rsidRPr="0022704F" w:rsidRDefault="00153994" w:rsidP="0015399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153994" w:rsidRPr="0022704F" w:rsidRDefault="00153994" w:rsidP="0015399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153994" w:rsidRPr="0022704F" w:rsidRDefault="00153994" w:rsidP="0015399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153994" w:rsidRPr="00935520" w:rsidRDefault="00153994" w:rsidP="0015399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ה' בשבט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התשע"ד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14</w:t>
      </w:r>
    </w:p>
    <w:p w:rsidR="00153994" w:rsidRDefault="00153994" w:rsidP="001F132A">
      <w:pPr>
        <w:pStyle w:val="Hesber"/>
        <w:rPr>
          <w:rtl/>
        </w:rPr>
      </w:pPr>
    </w:p>
    <w:p w:rsidR="00153994" w:rsidRPr="001F132A" w:rsidRDefault="00153994" w:rsidP="001F132A">
      <w:pPr>
        <w:pStyle w:val="Hesber"/>
        <w:rPr>
          <w:rtl/>
        </w:rPr>
      </w:pPr>
    </w:p>
    <w:sectPr w:rsidR="00153994" w:rsidRPr="001F132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BE4" w:rsidRDefault="008B2BE4">
      <w:r>
        <w:separator/>
      </w:r>
    </w:p>
  </w:endnote>
  <w:endnote w:type="continuationSeparator" w:id="0">
    <w:p w:rsidR="008B2BE4" w:rsidRDefault="008B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23EC9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BE4" w:rsidRDefault="008B2BE4">
      <w:r>
        <w:separator/>
      </w:r>
    </w:p>
  </w:footnote>
  <w:footnote w:type="continuationSeparator" w:id="0">
    <w:p w:rsidR="008B2BE4" w:rsidRDefault="008B2BE4">
      <w:r>
        <w:continuationSeparator/>
      </w:r>
    </w:p>
  </w:footnote>
  <w:footnote w:type="continuationNotice" w:id="1">
    <w:p w:rsidR="008B2BE4" w:rsidRDefault="008B2BE4"/>
  </w:footnote>
  <w:footnote w:id="2">
    <w:p w:rsidR="00BA2E01" w:rsidRDefault="00BA2E01" w:rsidP="00BA2E01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327.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4636lsCopyOriginal.docx"/>
    <w:docVar w:name="StartMode" w:val="2"/>
  </w:docVars>
  <w:rsids>
    <w:rsidRoot w:val="00DB7060"/>
    <w:rsid w:val="00015B27"/>
    <w:rsid w:val="00023EC9"/>
    <w:rsid w:val="000675D5"/>
    <w:rsid w:val="0007080D"/>
    <w:rsid w:val="000A542E"/>
    <w:rsid w:val="000D6201"/>
    <w:rsid w:val="001207F8"/>
    <w:rsid w:val="00121924"/>
    <w:rsid w:val="001279A8"/>
    <w:rsid w:val="0014195F"/>
    <w:rsid w:val="00152609"/>
    <w:rsid w:val="00153994"/>
    <w:rsid w:val="00153E1B"/>
    <w:rsid w:val="001A0623"/>
    <w:rsid w:val="001C23B0"/>
    <w:rsid w:val="001F132A"/>
    <w:rsid w:val="00203A7F"/>
    <w:rsid w:val="002200A1"/>
    <w:rsid w:val="002362BF"/>
    <w:rsid w:val="00241B97"/>
    <w:rsid w:val="00254605"/>
    <w:rsid w:val="002728B4"/>
    <w:rsid w:val="00292712"/>
    <w:rsid w:val="002A5BC3"/>
    <w:rsid w:val="002C2E29"/>
    <w:rsid w:val="002C7C31"/>
    <w:rsid w:val="003232A2"/>
    <w:rsid w:val="0035793C"/>
    <w:rsid w:val="003710F6"/>
    <w:rsid w:val="00386E88"/>
    <w:rsid w:val="003A5764"/>
    <w:rsid w:val="003D74A0"/>
    <w:rsid w:val="004033D8"/>
    <w:rsid w:val="004D3876"/>
    <w:rsid w:val="004E4552"/>
    <w:rsid w:val="00553C9D"/>
    <w:rsid w:val="005B064E"/>
    <w:rsid w:val="005B1D56"/>
    <w:rsid w:val="005D51AE"/>
    <w:rsid w:val="005E0DBE"/>
    <w:rsid w:val="00644940"/>
    <w:rsid w:val="00647735"/>
    <w:rsid w:val="006818A9"/>
    <w:rsid w:val="006C1D0D"/>
    <w:rsid w:val="0070601E"/>
    <w:rsid w:val="00765F66"/>
    <w:rsid w:val="007869C4"/>
    <w:rsid w:val="007D5A12"/>
    <w:rsid w:val="007E59F9"/>
    <w:rsid w:val="00810BCD"/>
    <w:rsid w:val="00812C98"/>
    <w:rsid w:val="00814D92"/>
    <w:rsid w:val="00892135"/>
    <w:rsid w:val="00895449"/>
    <w:rsid w:val="00897879"/>
    <w:rsid w:val="008B2BE4"/>
    <w:rsid w:val="008C2DDC"/>
    <w:rsid w:val="008F0D63"/>
    <w:rsid w:val="008F2C35"/>
    <w:rsid w:val="0091204F"/>
    <w:rsid w:val="009203DB"/>
    <w:rsid w:val="00943386"/>
    <w:rsid w:val="00957589"/>
    <w:rsid w:val="00982412"/>
    <w:rsid w:val="00A26BD6"/>
    <w:rsid w:val="00A82CB7"/>
    <w:rsid w:val="00AC36F7"/>
    <w:rsid w:val="00B35784"/>
    <w:rsid w:val="00B75455"/>
    <w:rsid w:val="00BA2E01"/>
    <w:rsid w:val="00BC45FB"/>
    <w:rsid w:val="00C9176A"/>
    <w:rsid w:val="00D867D7"/>
    <w:rsid w:val="00DB5F00"/>
    <w:rsid w:val="00DB7060"/>
    <w:rsid w:val="00DE3153"/>
    <w:rsid w:val="00DE6F2F"/>
    <w:rsid w:val="00E13C27"/>
    <w:rsid w:val="00E33BBD"/>
    <w:rsid w:val="00E45103"/>
    <w:rsid w:val="00E665B9"/>
    <w:rsid w:val="00E90646"/>
    <w:rsid w:val="00EA01E6"/>
    <w:rsid w:val="00EA4D90"/>
    <w:rsid w:val="00EA758F"/>
    <w:rsid w:val="00ED4A6F"/>
    <w:rsid w:val="00EF3A3A"/>
    <w:rsid w:val="00F679D2"/>
    <w:rsid w:val="00F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semiHidden/>
    <w:rsid w:val="00BA2E01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BA2E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BA2E01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semiHidden/>
    <w:rsid w:val="00BA2E01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BA2E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BA2E01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DAABFC-7C44-472F-8792-C2BA9FEF5685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ילנה מלנקוביץ</dc:creator>
  <cp:keywords/>
  <dc:description/>
  <cp:lastModifiedBy>לילך יעיש</cp:lastModifiedBy>
  <cp:revision>2</cp:revision>
  <cp:lastPrinted>2014-01-01T12:35:00Z</cp:lastPrinted>
  <dcterms:created xsi:type="dcterms:W3CDTF">2014-01-01T12:35:00Z</dcterms:created>
  <dcterms:modified xsi:type="dcterms:W3CDTF">2014-01-01T12:35:00Z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