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B53835" w:rsidRDefault="004033D8" w:rsidP="002C2E29">
      <w:pPr>
        <w:pStyle w:val="HeadHatzaotHok"/>
        <w:jc w:val="right"/>
        <w:rPr>
          <w:b w:val="0"/>
          <w:bCs w:val="0"/>
          <w:szCs w:val="20"/>
        </w:rPr>
      </w:pPr>
      <w:r w:rsidRPr="00B53835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7C39C1" w:rsidRPr="00B53835">
        <w:rPr>
          <w:b w:val="0"/>
          <w:bCs w:val="0"/>
          <w:szCs w:val="20"/>
          <w:rtl/>
        </w:rPr>
        <w:t>543838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7C39C1" w:rsidRPr="007C39C1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A16910" w:rsidRPr="00610BEA" w:rsidRDefault="004C1B32" w:rsidP="0091204F">
      <w:pPr>
        <w:pStyle w:val="David"/>
        <w:ind w:left="2880" w:firstLine="663"/>
        <w:rPr>
          <w:b/>
          <w:bCs/>
        </w:rPr>
      </w:pPr>
      <w:bookmarkStart w:id="2" w:name="MKsSingleOrMulti"/>
      <w:r w:rsidRPr="00610BEA">
        <w:rPr>
          <w:b/>
          <w:bCs/>
          <w:rtl/>
        </w:rPr>
        <w:t>יוזמים:      חברי הכנסת</w:t>
      </w:r>
      <w:bookmarkEnd w:id="2"/>
      <w:r w:rsidR="00B35784" w:rsidRPr="00610BEA">
        <w:rPr>
          <w:b/>
          <w:bCs/>
        </w:rPr>
        <w:tab/>
      </w:r>
      <w:bookmarkStart w:id="3" w:name="MKs"/>
      <w:r w:rsidR="00A16910" w:rsidRPr="00610BEA">
        <w:rPr>
          <w:b/>
          <w:bCs/>
          <w:rtl/>
        </w:rPr>
        <w:t>איתן כבל</w:t>
      </w:r>
    </w:p>
    <w:p w:rsidR="00A16910" w:rsidRPr="00610BEA" w:rsidRDefault="00A16910" w:rsidP="0091204F">
      <w:pPr>
        <w:pStyle w:val="David"/>
        <w:ind w:left="2880" w:firstLine="663"/>
        <w:rPr>
          <w:b/>
          <w:bCs/>
        </w:rPr>
      </w:pP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  <w:rtl/>
        </w:rPr>
        <w:t>דב חנין</w:t>
      </w:r>
    </w:p>
    <w:p w:rsidR="00A16910" w:rsidRPr="00610BEA" w:rsidRDefault="00A16910" w:rsidP="0091204F">
      <w:pPr>
        <w:pStyle w:val="David"/>
        <w:ind w:left="2880" w:firstLine="663"/>
        <w:rPr>
          <w:b/>
          <w:bCs/>
        </w:rPr>
      </w:pP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  <w:rtl/>
        </w:rPr>
        <w:t>מירי רגב</w:t>
      </w:r>
    </w:p>
    <w:p w:rsidR="00A16910" w:rsidRPr="00610BEA" w:rsidRDefault="00A16910" w:rsidP="0091204F">
      <w:pPr>
        <w:pStyle w:val="David"/>
        <w:ind w:left="2880" w:firstLine="663"/>
        <w:rPr>
          <w:b/>
          <w:bCs/>
        </w:rPr>
      </w:pP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  <w:rtl/>
        </w:rPr>
        <w:t>מאיר פרוש</w:t>
      </w:r>
    </w:p>
    <w:p w:rsidR="00A16910" w:rsidRPr="00610BEA" w:rsidRDefault="00A16910" w:rsidP="0091204F">
      <w:pPr>
        <w:pStyle w:val="David"/>
        <w:ind w:left="2880" w:firstLine="663"/>
        <w:rPr>
          <w:b/>
          <w:bCs/>
        </w:rPr>
      </w:pP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  <w:rtl/>
        </w:rPr>
        <w:t>יריב לוין</w:t>
      </w:r>
    </w:p>
    <w:p w:rsidR="00A16910" w:rsidRPr="00610BEA" w:rsidRDefault="00A16910" w:rsidP="0091204F">
      <w:pPr>
        <w:pStyle w:val="David"/>
        <w:ind w:left="2880" w:firstLine="663"/>
        <w:rPr>
          <w:b/>
          <w:bCs/>
        </w:rPr>
      </w:pP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  <w:rtl/>
        </w:rPr>
        <w:t>מאיר שטרית</w:t>
      </w:r>
    </w:p>
    <w:p w:rsidR="00E13C27" w:rsidRPr="00610BEA" w:rsidRDefault="00A16910" w:rsidP="0091204F">
      <w:pPr>
        <w:pStyle w:val="David"/>
        <w:ind w:left="2880" w:firstLine="663"/>
        <w:rPr>
          <w:b/>
          <w:bCs/>
          <w:rtl/>
        </w:rPr>
      </w:pP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</w:rPr>
        <w:tab/>
      </w:r>
      <w:r w:rsidRPr="00610BEA">
        <w:rPr>
          <w:b/>
          <w:bCs/>
          <w:rtl/>
        </w:rPr>
        <w:t>אחמד טיבי</w:t>
      </w:r>
      <w:bookmarkEnd w:id="3"/>
    </w:p>
    <w:p w:rsidR="00E13C27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05CF3C" wp14:editId="39EC08FD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Default="0014195F" w:rsidP="00026488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FA2EA3" wp14:editId="40DBF5B6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590A86" w:rsidRPr="00590A86">
        <w:rPr>
          <w:rFonts w:cs="David"/>
          <w:sz w:val="26"/>
          <w:szCs w:val="26"/>
          <w:rtl/>
        </w:rPr>
        <w:t>פ/2041/19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B53835">
        <w:rPr>
          <w:rFonts w:cs="David" w:hint="cs"/>
          <w:sz w:val="26"/>
          <w:szCs w:val="26"/>
          <w:rtl/>
        </w:rPr>
        <w:tab/>
      </w:r>
    </w:p>
    <w:p w:rsidR="00B53835" w:rsidRDefault="00B53835" w:rsidP="00B53835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</w:p>
    <w:p w:rsidR="00E13C27" w:rsidRDefault="00D65E66" w:rsidP="00B53835">
      <w:pPr>
        <w:pStyle w:val="HeadHatzaotHok"/>
        <w:tabs>
          <w:tab w:val="left" w:pos="4071"/>
          <w:tab w:val="center" w:pos="4819"/>
        </w:tabs>
        <w:spacing w:before="0"/>
        <w:rPr>
          <w:rtl/>
        </w:rPr>
      </w:pPr>
      <w:r w:rsidRPr="00D65E66">
        <w:rPr>
          <w:sz w:val="26"/>
          <w:rtl/>
        </w:rPr>
        <w:t xml:space="preserve">הצעת חוק הגנת הצרכן (תיקון </w:t>
      </w:r>
      <w:r w:rsidR="00B53835">
        <w:rPr>
          <w:rFonts w:hint="cs"/>
          <w:sz w:val="26"/>
          <w:rtl/>
        </w:rPr>
        <w:t>–</w:t>
      </w:r>
      <w:r w:rsidRPr="00D65E66">
        <w:rPr>
          <w:sz w:val="26"/>
          <w:rtl/>
        </w:rPr>
        <w:t xml:space="preserve"> הגבלת זמן המתנה בשירות טלפוני), התשע"ד</w:t>
      </w:r>
      <w:r w:rsidR="00B53835">
        <w:rPr>
          <w:rFonts w:hint="cs"/>
          <w:sz w:val="26"/>
          <w:rtl/>
        </w:rPr>
        <w:t>–</w:t>
      </w:r>
      <w:r w:rsidRPr="00D65E66">
        <w:rPr>
          <w:sz w:val="26"/>
          <w:rtl/>
        </w:rPr>
        <w:t>2014</w:t>
      </w:r>
      <w:bookmarkEnd w:id="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026488" w:rsidTr="00B53835">
        <w:trPr>
          <w:cantSplit/>
        </w:trPr>
        <w:tc>
          <w:tcPr>
            <w:tcW w:w="1871" w:type="dxa"/>
          </w:tcPr>
          <w:p w:rsidR="00026488" w:rsidRDefault="00026488" w:rsidP="00E469C8">
            <w:pPr>
              <w:pStyle w:val="TableSideHeading"/>
            </w:pPr>
            <w:r>
              <w:rPr>
                <w:rFonts w:hint="cs"/>
                <w:rtl/>
              </w:rPr>
              <w:t>תיקון סעיף 18ב</w:t>
            </w:r>
          </w:p>
        </w:tc>
        <w:tc>
          <w:tcPr>
            <w:tcW w:w="624" w:type="dxa"/>
          </w:tcPr>
          <w:p w:rsidR="00026488" w:rsidRPr="00B37D43" w:rsidRDefault="00026488" w:rsidP="00610BE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 w:rsidR="00610BEA">
              <w:t xml:space="preserve"> </w:t>
            </w:r>
            <w:r w:rsidR="00610BEA" w:rsidRPr="00B37D43">
              <w:t xml:space="preserve"> </w:t>
            </w:r>
            <w:r w:rsidR="00610BEA">
              <w:rPr>
                <w:rtl/>
              </w:rPr>
              <w:t xml:space="preserve"> </w:t>
            </w:r>
          </w:p>
        </w:tc>
        <w:tc>
          <w:tcPr>
            <w:tcW w:w="7143" w:type="dxa"/>
          </w:tcPr>
          <w:p w:rsidR="00026488" w:rsidRDefault="00610BEA" w:rsidP="00B53835">
            <w:pPr>
              <w:pStyle w:val="TableBlock"/>
            </w:pPr>
            <w:r w:rsidRPr="00796A18">
              <w:rPr>
                <w:spacing w:val="-6"/>
                <w:sz w:val="26"/>
                <w:rtl/>
              </w:rPr>
              <w:t xml:space="preserve">בחוק </w:t>
            </w:r>
            <w:r>
              <w:rPr>
                <w:rFonts w:hint="cs"/>
                <w:spacing w:val="-6"/>
                <w:sz w:val="26"/>
                <w:rtl/>
              </w:rPr>
              <w:t>הגנת הצרכן, התשמ"א–1981</w:t>
            </w:r>
            <w:r>
              <w:rPr>
                <w:rStyle w:val="a6"/>
                <w:spacing w:val="-6"/>
                <w:sz w:val="26"/>
                <w:rtl/>
              </w:rPr>
              <w:footnoteReference w:id="2"/>
            </w:r>
            <w:r w:rsidR="00026488">
              <w:rPr>
                <w:rFonts w:hint="cs"/>
                <w:rtl/>
              </w:rPr>
              <w:t>, בסעיף 18ב(א)(1)</w:t>
            </w:r>
            <w:r w:rsidR="00615A98">
              <w:rPr>
                <w:rFonts w:hint="cs"/>
                <w:rtl/>
              </w:rPr>
              <w:t>,</w:t>
            </w:r>
            <w:r w:rsidR="00026488">
              <w:rPr>
                <w:rFonts w:hint="cs"/>
                <w:rtl/>
              </w:rPr>
              <w:t xml:space="preserve"> </w:t>
            </w:r>
            <w:r w:rsidR="00615A98">
              <w:rPr>
                <w:rFonts w:hint="cs"/>
                <w:rtl/>
              </w:rPr>
              <w:t>אחרי "לכל פניה" יבוא "של צרכן" ו</w:t>
            </w:r>
            <w:r>
              <w:rPr>
                <w:rFonts w:hint="cs"/>
                <w:rtl/>
              </w:rPr>
              <w:t>הקטע החל במילים</w:t>
            </w:r>
            <w:r w:rsidR="00026488">
              <w:rPr>
                <w:rFonts w:hint="cs"/>
                <w:rtl/>
              </w:rPr>
              <w:t xml:space="preserve"> "שעניינה ליקויים</w:t>
            </w:r>
            <w:r>
              <w:rPr>
                <w:rFonts w:hint="cs"/>
                <w:rtl/>
              </w:rPr>
              <w:t>"</w:t>
            </w:r>
            <w:r w:rsidR="0002648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עד המילים "</w:t>
            </w:r>
            <w:r w:rsidR="00026488">
              <w:rPr>
                <w:rFonts w:hint="cs"/>
                <w:rtl/>
              </w:rPr>
              <w:t>(בסעיף זה</w:t>
            </w:r>
            <w:r w:rsidR="00615A98">
              <w:rPr>
                <w:rFonts w:hint="cs"/>
                <w:rtl/>
              </w:rPr>
              <w:t xml:space="preserve"> </w:t>
            </w:r>
            <w:r w:rsidR="007158BE">
              <w:rPr>
                <w:rFonts w:hint="eastAsia"/>
                <w:rtl/>
              </w:rPr>
              <w:t>–</w:t>
            </w:r>
            <w:r w:rsidR="00026488">
              <w:rPr>
                <w:rFonts w:hint="cs"/>
                <w:rtl/>
              </w:rPr>
              <w:t xml:space="preserve"> שירות טלפוני)"</w:t>
            </w:r>
            <w:r>
              <w:rPr>
                <w:rFonts w:hint="cs"/>
                <w:rtl/>
              </w:rPr>
              <w:t xml:space="preserve"> </w:t>
            </w:r>
            <w:r w:rsidR="00615A9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יימחק</w:t>
            </w:r>
            <w:r w:rsidR="00026488">
              <w:rPr>
                <w:rFonts w:hint="cs"/>
                <w:rtl/>
              </w:rPr>
              <w:t xml:space="preserve">. </w:t>
            </w:r>
          </w:p>
        </w:tc>
      </w:tr>
    </w:tbl>
    <w:p w:rsidR="00026488" w:rsidRPr="00026488" w:rsidRDefault="00026488" w:rsidP="00B53835">
      <w:pPr>
        <w:pStyle w:val="HeadDivreiHesber"/>
        <w:rPr>
          <w:rtl/>
        </w:rPr>
      </w:pPr>
      <w:r w:rsidRPr="00026488">
        <w:rPr>
          <w:rFonts w:hint="eastAsia"/>
          <w:rtl/>
        </w:rPr>
        <w:t>דברי</w:t>
      </w:r>
      <w:r w:rsidRPr="00026488">
        <w:rPr>
          <w:rtl/>
        </w:rPr>
        <w:t xml:space="preserve"> </w:t>
      </w:r>
      <w:r w:rsidRPr="00026488">
        <w:rPr>
          <w:rFonts w:hint="eastAsia"/>
          <w:rtl/>
        </w:rPr>
        <w:t>הסבר</w:t>
      </w:r>
    </w:p>
    <w:p w:rsidR="00B53835" w:rsidRDefault="00026488" w:rsidP="00B53835">
      <w:pPr>
        <w:pStyle w:val="Hesber"/>
        <w:rPr>
          <w:rtl/>
        </w:rPr>
      </w:pPr>
      <w:r w:rsidRPr="00610BEA">
        <w:rPr>
          <w:rFonts w:hint="cs"/>
          <w:rtl/>
        </w:rPr>
        <w:t xml:space="preserve">מטרתה של הצעת </w:t>
      </w:r>
      <w:r w:rsidR="001E1A1E">
        <w:rPr>
          <w:rFonts w:hint="cs"/>
          <w:rtl/>
        </w:rPr>
        <w:t>ה</w:t>
      </w:r>
      <w:r w:rsidRPr="00610BEA">
        <w:rPr>
          <w:rFonts w:hint="cs"/>
          <w:rtl/>
        </w:rPr>
        <w:t>חוק היא להרחיב את חובת</w:t>
      </w:r>
      <w:r w:rsidR="001E1A1E">
        <w:rPr>
          <w:rFonts w:hint="cs"/>
          <w:rtl/>
        </w:rPr>
        <w:t>ו של</w:t>
      </w:r>
      <w:r w:rsidRPr="00610BEA">
        <w:rPr>
          <w:rFonts w:hint="cs"/>
          <w:rtl/>
        </w:rPr>
        <w:t xml:space="preserve"> </w:t>
      </w:r>
      <w:r w:rsidR="00615A98">
        <w:rPr>
          <w:rFonts w:hint="cs"/>
          <w:rtl/>
        </w:rPr>
        <w:t>עוסק</w:t>
      </w:r>
      <w:r w:rsidRPr="00610BEA">
        <w:rPr>
          <w:rFonts w:hint="cs"/>
          <w:rtl/>
        </w:rPr>
        <w:t xml:space="preserve"> המנוי בתוספת</w:t>
      </w:r>
      <w:r w:rsidR="00615A98">
        <w:rPr>
          <w:rFonts w:hint="cs"/>
          <w:rtl/>
        </w:rPr>
        <w:t xml:space="preserve"> השני</w:t>
      </w:r>
      <w:r w:rsidR="00EB7241">
        <w:rPr>
          <w:rFonts w:hint="cs"/>
          <w:rtl/>
        </w:rPr>
        <w:t>י</w:t>
      </w:r>
      <w:r w:rsidR="00615A98">
        <w:rPr>
          <w:rFonts w:hint="cs"/>
          <w:rtl/>
        </w:rPr>
        <w:t>ה</w:t>
      </w:r>
      <w:r w:rsidR="007158BE">
        <w:rPr>
          <w:rFonts w:hint="cs"/>
          <w:rtl/>
        </w:rPr>
        <w:t xml:space="preserve"> לחוק הגנת הצרכן</w:t>
      </w:r>
      <w:r w:rsidRPr="00610BEA">
        <w:rPr>
          <w:rFonts w:hint="cs"/>
          <w:rtl/>
        </w:rPr>
        <w:t xml:space="preserve"> לספק </w:t>
      </w:r>
      <w:r w:rsidR="00615A98">
        <w:rPr>
          <w:rFonts w:hint="cs"/>
          <w:rtl/>
        </w:rPr>
        <w:t xml:space="preserve">לצרכן </w:t>
      </w:r>
      <w:r w:rsidRPr="00610BEA">
        <w:rPr>
          <w:rFonts w:hint="cs"/>
          <w:rtl/>
        </w:rPr>
        <w:t>שירות טלפוני חינם ולעמוד בהוראות תקנות הגנת הצרכן (מתן שירות טלפוני), התשע"ב</w:t>
      </w:r>
      <w:r w:rsidR="00B53835">
        <w:rPr>
          <w:rFonts w:hint="eastAsia"/>
          <w:rtl/>
        </w:rPr>
        <w:t>–</w:t>
      </w:r>
      <w:r w:rsidRPr="00610BEA">
        <w:rPr>
          <w:rFonts w:hint="cs"/>
          <w:rtl/>
        </w:rPr>
        <w:t>2012</w:t>
      </w:r>
      <w:r w:rsidR="001E1A1E">
        <w:rPr>
          <w:rFonts w:hint="cs"/>
          <w:rtl/>
        </w:rPr>
        <w:t>,</w:t>
      </w:r>
      <w:r w:rsidRPr="00610BEA">
        <w:rPr>
          <w:rFonts w:hint="cs"/>
          <w:rtl/>
        </w:rPr>
        <w:t xml:space="preserve"> </w:t>
      </w:r>
      <w:r w:rsidR="007158BE">
        <w:rPr>
          <w:rFonts w:hint="cs"/>
          <w:rtl/>
        </w:rPr>
        <w:t>ש</w:t>
      </w:r>
      <w:r w:rsidRPr="00610BEA">
        <w:rPr>
          <w:rFonts w:hint="cs"/>
          <w:rtl/>
        </w:rPr>
        <w:t>עניי</w:t>
      </w:r>
      <w:r w:rsidR="007158BE">
        <w:rPr>
          <w:rFonts w:hint="cs"/>
          <w:rtl/>
        </w:rPr>
        <w:t>נ</w:t>
      </w:r>
      <w:r w:rsidRPr="00610BEA">
        <w:rPr>
          <w:rFonts w:hint="cs"/>
          <w:rtl/>
        </w:rPr>
        <w:t xml:space="preserve">ן </w:t>
      </w:r>
      <w:r w:rsidR="00615A98">
        <w:rPr>
          <w:rFonts w:hint="cs"/>
          <w:rtl/>
        </w:rPr>
        <w:t xml:space="preserve">הגבלת </w:t>
      </w:r>
      <w:r w:rsidRPr="00610BEA">
        <w:rPr>
          <w:rFonts w:hint="cs"/>
          <w:rtl/>
        </w:rPr>
        <w:t>זמן המתנה למענה אנושי, כך ש</w:t>
      </w:r>
      <w:r w:rsidR="00615A98">
        <w:rPr>
          <w:rFonts w:hint="cs"/>
          <w:rtl/>
        </w:rPr>
        <w:t>החובה לפי התקנות ת</w:t>
      </w:r>
      <w:r w:rsidRPr="00610BEA">
        <w:rPr>
          <w:rFonts w:hint="cs"/>
          <w:rtl/>
        </w:rPr>
        <w:t xml:space="preserve">חול על כל פנייה </w:t>
      </w:r>
      <w:r w:rsidR="00615A98">
        <w:rPr>
          <w:rFonts w:hint="cs"/>
          <w:rtl/>
        </w:rPr>
        <w:t xml:space="preserve">של צרכן </w:t>
      </w:r>
      <w:r w:rsidRPr="00610BEA">
        <w:rPr>
          <w:rFonts w:hint="cs"/>
          <w:rtl/>
        </w:rPr>
        <w:t>ל</w:t>
      </w:r>
      <w:r w:rsidR="00615A98">
        <w:rPr>
          <w:rFonts w:hint="cs"/>
          <w:rtl/>
        </w:rPr>
        <w:t>עוסק</w:t>
      </w:r>
      <w:r w:rsidRPr="00610BEA">
        <w:rPr>
          <w:rFonts w:hint="cs"/>
          <w:rtl/>
        </w:rPr>
        <w:t xml:space="preserve"> ולא רק </w:t>
      </w:r>
      <w:r w:rsidR="00615A98">
        <w:rPr>
          <w:rFonts w:hint="cs"/>
          <w:rtl/>
        </w:rPr>
        <w:t xml:space="preserve">על </w:t>
      </w:r>
      <w:r w:rsidRPr="00610BEA">
        <w:rPr>
          <w:rFonts w:hint="cs"/>
          <w:rtl/>
        </w:rPr>
        <w:t>פנייה שעניינה ליקויים או פגמים</w:t>
      </w:r>
      <w:r w:rsidR="00615A98">
        <w:rPr>
          <w:rFonts w:hint="cs"/>
          <w:rtl/>
        </w:rPr>
        <w:t xml:space="preserve"> בטובין או בשירות</w:t>
      </w:r>
      <w:r w:rsidRPr="00610BEA">
        <w:rPr>
          <w:rFonts w:hint="cs"/>
          <w:rtl/>
        </w:rPr>
        <w:t>. סעיף 18ב</w:t>
      </w:r>
      <w:r w:rsidR="00615A98">
        <w:rPr>
          <w:rFonts w:hint="cs"/>
          <w:rtl/>
        </w:rPr>
        <w:t xml:space="preserve"> לחוק הגנת הצרכן,</w:t>
      </w:r>
      <w:r w:rsidRPr="00610BEA">
        <w:rPr>
          <w:rFonts w:hint="cs"/>
          <w:rtl/>
        </w:rPr>
        <w:t xml:space="preserve"> כנוסחו היום</w:t>
      </w:r>
      <w:r w:rsidR="00615A98">
        <w:rPr>
          <w:rFonts w:hint="cs"/>
          <w:rtl/>
        </w:rPr>
        <w:t>,</w:t>
      </w:r>
      <w:r w:rsidRPr="00610BEA">
        <w:rPr>
          <w:rFonts w:hint="cs"/>
          <w:rtl/>
        </w:rPr>
        <w:t xml:space="preserve"> הוביל בסופו של יום לפרשנות מצומצמת של </w:t>
      </w:r>
      <w:r w:rsidR="007158BE">
        <w:rPr>
          <w:rFonts w:hint="cs"/>
          <w:rtl/>
        </w:rPr>
        <w:t>החובה החלה על עוסקים</w:t>
      </w:r>
      <w:r w:rsidRPr="00610BEA">
        <w:rPr>
          <w:rFonts w:hint="cs"/>
          <w:rtl/>
        </w:rPr>
        <w:t xml:space="preserve"> המנויים בתוספת</w:t>
      </w:r>
      <w:r w:rsidR="007158BE">
        <w:rPr>
          <w:rFonts w:hint="cs"/>
          <w:rtl/>
        </w:rPr>
        <w:t xml:space="preserve"> השני</w:t>
      </w:r>
      <w:r w:rsidR="00EB7241">
        <w:rPr>
          <w:rFonts w:hint="cs"/>
          <w:rtl/>
        </w:rPr>
        <w:t>י</w:t>
      </w:r>
      <w:r w:rsidR="007158BE">
        <w:rPr>
          <w:rFonts w:hint="cs"/>
          <w:rtl/>
        </w:rPr>
        <w:t>ה</w:t>
      </w:r>
      <w:r w:rsidRPr="00610BEA">
        <w:rPr>
          <w:rFonts w:hint="cs"/>
          <w:rtl/>
        </w:rPr>
        <w:t xml:space="preserve">, באופן שעִיקֵר </w:t>
      </w:r>
      <w:r w:rsidR="007158BE">
        <w:rPr>
          <w:rFonts w:hint="cs"/>
          <w:rtl/>
        </w:rPr>
        <w:t xml:space="preserve">מתוכן </w:t>
      </w:r>
      <w:r w:rsidRPr="00610BEA">
        <w:rPr>
          <w:rFonts w:hint="cs"/>
          <w:rtl/>
        </w:rPr>
        <w:t xml:space="preserve">את </w:t>
      </w:r>
      <w:r w:rsidR="007158BE">
        <w:rPr>
          <w:rFonts w:hint="cs"/>
          <w:rtl/>
        </w:rPr>
        <w:t>התקנות שהותקנו מכוחו</w:t>
      </w:r>
      <w:r w:rsidRPr="00610BEA">
        <w:rPr>
          <w:rFonts w:hint="cs"/>
          <w:rtl/>
        </w:rPr>
        <w:t>. לשון אחר</w:t>
      </w:r>
      <w:r w:rsidR="007158BE">
        <w:rPr>
          <w:rFonts w:hint="cs"/>
          <w:rtl/>
        </w:rPr>
        <w:t>,</w:t>
      </w:r>
      <w:r w:rsidRPr="00610BEA">
        <w:rPr>
          <w:rFonts w:hint="cs"/>
          <w:rtl/>
        </w:rPr>
        <w:t xml:space="preserve"> החוק במתכונתו הנוכחית</w:t>
      </w:r>
      <w:r w:rsidR="001E1A1E">
        <w:rPr>
          <w:rFonts w:hint="cs"/>
          <w:rtl/>
        </w:rPr>
        <w:t xml:space="preserve"> לא השיג את מטרתו, שהיא</w:t>
      </w:r>
      <w:r w:rsidRPr="00610BEA">
        <w:rPr>
          <w:rFonts w:hint="cs"/>
          <w:rtl/>
        </w:rPr>
        <w:t xml:space="preserve"> שיפור איכות השירות ומניעת תחושת תסכול ובזבוז משאבים מצד הצרכן. על כן, מוצע כי חובת אספקת שירות טלפוני חינם הכולל מענה אנושי תורחב </w:t>
      </w:r>
      <w:r w:rsidR="007158BE">
        <w:rPr>
          <w:rFonts w:hint="cs"/>
          <w:rtl/>
        </w:rPr>
        <w:t>כך שיינתן</w:t>
      </w:r>
      <w:r w:rsidRPr="00610BEA">
        <w:rPr>
          <w:rFonts w:hint="cs"/>
          <w:rtl/>
        </w:rPr>
        <w:t xml:space="preserve"> מענה לכל פנייה</w:t>
      </w:r>
      <w:r w:rsidR="007158BE">
        <w:rPr>
          <w:rFonts w:hint="cs"/>
          <w:rtl/>
        </w:rPr>
        <w:t xml:space="preserve"> של צרכן</w:t>
      </w:r>
      <w:r w:rsidRPr="00610BEA">
        <w:rPr>
          <w:rFonts w:hint="cs"/>
          <w:rtl/>
        </w:rPr>
        <w:t xml:space="preserve">. </w:t>
      </w:r>
      <w:r w:rsidR="007158BE">
        <w:rPr>
          <w:rFonts w:hint="cs"/>
          <w:rtl/>
        </w:rPr>
        <w:t xml:space="preserve">כאמור, </w:t>
      </w:r>
      <w:r w:rsidRPr="00610BEA">
        <w:rPr>
          <w:rFonts w:hint="cs"/>
          <w:rtl/>
        </w:rPr>
        <w:t>חובה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זו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תחול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על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כל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עוסק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המנוי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בתוספת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השנייה</w:t>
      </w:r>
      <w:r w:rsidR="007158BE">
        <w:rPr>
          <w:rFonts w:hint="cs"/>
          <w:rtl/>
        </w:rPr>
        <w:t>, ומספק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שירותי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טלפון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נייח</w:t>
      </w:r>
      <w:r w:rsidR="007158BE">
        <w:rPr>
          <w:rFonts w:hint="cs"/>
          <w:rtl/>
        </w:rPr>
        <w:t xml:space="preserve">, </w:t>
      </w:r>
      <w:r w:rsidRPr="00610BEA">
        <w:rPr>
          <w:rFonts w:hint="cs"/>
          <w:rtl/>
        </w:rPr>
        <w:t>טלפון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נייד</w:t>
      </w:r>
      <w:r w:rsidR="007158B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כבלים</w:t>
      </w:r>
      <w:r w:rsidR="007158B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לוויין</w:t>
      </w:r>
      <w:r w:rsidR="007158B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אספקת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גז</w:t>
      </w:r>
      <w:r w:rsidR="007158B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אספקת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חשמל</w:t>
      </w:r>
      <w:r w:rsidR="007158B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אספקת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מים</w:t>
      </w:r>
      <w:r w:rsidR="007158B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="007158BE">
        <w:rPr>
          <w:rFonts w:hint="cs"/>
          <w:rtl/>
        </w:rPr>
        <w:t xml:space="preserve">שירותי </w:t>
      </w:r>
      <w:r w:rsidRPr="00610BEA">
        <w:rPr>
          <w:rFonts w:hint="cs"/>
          <w:rtl/>
        </w:rPr>
        <w:t>גלישה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באינטרנט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ושירותי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רפואה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דחופה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בעסקה</w:t>
      </w:r>
      <w:r w:rsidRPr="00610BEA">
        <w:rPr>
          <w:rtl/>
        </w:rPr>
        <w:t xml:space="preserve"> </w:t>
      </w:r>
      <w:r w:rsidRPr="00610BEA">
        <w:rPr>
          <w:rFonts w:hint="cs"/>
          <w:rtl/>
        </w:rPr>
        <w:t>מתמשכת</w:t>
      </w:r>
      <w:r w:rsidRPr="00610BEA">
        <w:rPr>
          <w:rtl/>
        </w:rPr>
        <w:t xml:space="preserve">. תקנות הגנת הצרכן (מתן שירות טלפוני), </w:t>
      </w:r>
      <w:r w:rsidR="001E1A1E">
        <w:rPr>
          <w:rFonts w:hint="cs"/>
          <w:rtl/>
        </w:rPr>
        <w:t>ה</w:t>
      </w:r>
      <w:r w:rsidRPr="00610BEA">
        <w:rPr>
          <w:rtl/>
        </w:rPr>
        <w:t>תשע"ב</w:t>
      </w:r>
      <w:r w:rsidR="00B53835">
        <w:rPr>
          <w:rFonts w:hint="cs"/>
          <w:rtl/>
        </w:rPr>
        <w:t>–</w:t>
      </w:r>
      <w:r w:rsidRPr="00610BEA">
        <w:rPr>
          <w:rtl/>
        </w:rPr>
        <w:t>2012</w:t>
      </w:r>
      <w:r w:rsidR="001E1A1E">
        <w:rPr>
          <w:rFonts w:hint="cs"/>
          <w:rtl/>
        </w:rPr>
        <w:t>,</w:t>
      </w:r>
      <w:r w:rsidRPr="00610BEA">
        <w:rPr>
          <w:rtl/>
        </w:rPr>
        <w:t xml:space="preserve"> </w:t>
      </w:r>
      <w:r w:rsidR="00B53835">
        <w:rPr>
          <w:rFonts w:hint="cs"/>
          <w:rtl/>
        </w:rPr>
        <w:t>יחולו</w:t>
      </w:r>
      <w:r w:rsidRPr="00610BEA">
        <w:rPr>
          <w:rtl/>
        </w:rPr>
        <w:t xml:space="preserve"> בהתאמה, </w:t>
      </w:r>
      <w:r w:rsidR="007158BE">
        <w:rPr>
          <w:rFonts w:hint="cs"/>
          <w:rtl/>
        </w:rPr>
        <w:t>ולפיהן</w:t>
      </w:r>
      <w:r w:rsidRPr="00610BEA">
        <w:rPr>
          <w:rtl/>
        </w:rPr>
        <w:t xml:space="preserve"> זמן ההמתנה למענה אנושי לא יעלה על שלוש דקות</w:t>
      </w:r>
      <w:r w:rsidR="007158BE">
        <w:rPr>
          <w:rFonts w:hint="cs"/>
          <w:rtl/>
        </w:rPr>
        <w:t xml:space="preserve"> מתחילת השיחה.</w:t>
      </w:r>
      <w:r w:rsidRPr="00610BEA">
        <w:rPr>
          <w:rtl/>
        </w:rPr>
        <w:t xml:space="preserve"> </w:t>
      </w:r>
    </w:p>
    <w:p w:rsidR="00B53835" w:rsidRDefault="00B53835">
      <w:pPr>
        <w:widowControl/>
        <w:autoSpaceDE/>
        <w:autoSpaceDN/>
        <w:bidi w:val="0"/>
        <w:adjustRightInd/>
        <w:spacing w:before="0" w:line="240" w:lineRule="auto"/>
        <w:ind w:firstLine="0"/>
        <w:jc w:val="left"/>
        <w:textAlignment w:val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tl/>
        </w:rPr>
        <w:br w:type="page"/>
      </w:r>
    </w:p>
    <w:p w:rsidR="00026488" w:rsidRDefault="007158BE" w:rsidP="00B53835">
      <w:pPr>
        <w:pStyle w:val="Hesber"/>
        <w:rPr>
          <w:rtl/>
        </w:rPr>
      </w:pPr>
      <w:r>
        <w:rPr>
          <w:rFonts w:hint="cs"/>
          <w:rtl/>
        </w:rPr>
        <w:t>נוסף</w:t>
      </w:r>
      <w:r w:rsidR="00B53835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, אם </w:t>
      </w:r>
      <w:r w:rsidR="00026488" w:rsidRPr="00610BEA">
        <w:rPr>
          <w:rFonts w:hint="cs"/>
          <w:rtl/>
        </w:rPr>
        <w:t>חלפו</w:t>
      </w:r>
      <w:r w:rsidR="00026488" w:rsidRPr="00610BEA">
        <w:rPr>
          <w:rtl/>
        </w:rPr>
        <w:t xml:space="preserve"> </w:t>
      </w:r>
      <w:r w:rsidR="00EB7241">
        <w:rPr>
          <w:rFonts w:hint="cs"/>
          <w:rtl/>
        </w:rPr>
        <w:t>שתי</w:t>
      </w:r>
      <w:r w:rsidR="00026488" w:rsidRPr="00610BEA">
        <w:rPr>
          <w:rtl/>
        </w:rPr>
        <w:t xml:space="preserve"> דקות וטרם התקבל מענה אנושי כאמור, </w:t>
      </w:r>
      <w:r w:rsidR="00EB7241">
        <w:rPr>
          <w:rFonts w:hint="cs"/>
          <w:rtl/>
        </w:rPr>
        <w:t xml:space="preserve">וצפוי כי זמן ההמתנה לקבלת מענה אנושי יעלה על שלוש דקות, </w:t>
      </w:r>
      <w:r w:rsidR="00026488" w:rsidRPr="00610BEA">
        <w:rPr>
          <w:rtl/>
        </w:rPr>
        <w:t xml:space="preserve">על העוסק להודיע לצרכן בהודעה מוקלטת כי </w:t>
      </w:r>
      <w:r>
        <w:rPr>
          <w:rFonts w:hint="cs"/>
          <w:rtl/>
        </w:rPr>
        <w:t xml:space="preserve">זמן ההמתנה הצפוי עולה על שלוש דקות וכי יש </w:t>
      </w:r>
      <w:r w:rsidR="00026488" w:rsidRPr="00610BEA">
        <w:rPr>
          <w:rtl/>
        </w:rPr>
        <w:t xml:space="preserve">באפשרותו להשאיר הודעה עם פרטי התקשרות </w:t>
      </w:r>
      <w:r w:rsidR="00B53835">
        <w:rPr>
          <w:rFonts w:hint="cs"/>
          <w:rtl/>
        </w:rPr>
        <w:t>כדי</w:t>
      </w:r>
      <w:r w:rsidR="00026488" w:rsidRPr="00610BEA">
        <w:rPr>
          <w:rtl/>
        </w:rPr>
        <w:t xml:space="preserve"> שנציג מטעם העוסק ישוב </w:t>
      </w:r>
      <w:r w:rsidR="00026488" w:rsidRPr="00610BEA">
        <w:rPr>
          <w:rFonts w:hint="cs"/>
          <w:rtl/>
        </w:rPr>
        <w:t>אליו</w:t>
      </w:r>
      <w:r>
        <w:rPr>
          <w:rFonts w:hint="cs"/>
          <w:rtl/>
        </w:rPr>
        <w:t>,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או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להמתין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לקבלת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מענה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אנושי</w:t>
      </w:r>
      <w:r>
        <w:rPr>
          <w:rFonts w:hint="cs"/>
          <w:rtl/>
        </w:rPr>
        <w:t>. אם</w:t>
      </w:r>
      <w:r w:rsidR="00026488" w:rsidRPr="00610BEA">
        <w:rPr>
          <w:rtl/>
        </w:rPr>
        <w:t xml:space="preserve"> בחר הצרכן בשירות השארת הודעה, העוסק </w:t>
      </w:r>
      <w:r w:rsidR="00B53835" w:rsidRPr="00610BEA">
        <w:rPr>
          <w:rtl/>
        </w:rPr>
        <w:t xml:space="preserve">ייצור </w:t>
      </w:r>
      <w:r w:rsidR="00026488" w:rsidRPr="00610BEA">
        <w:rPr>
          <w:rtl/>
        </w:rPr>
        <w:t xml:space="preserve">קשר עם </w:t>
      </w:r>
      <w:r>
        <w:rPr>
          <w:rFonts w:hint="cs"/>
          <w:rtl/>
        </w:rPr>
        <w:t>הצרכן</w:t>
      </w:r>
      <w:r w:rsidR="00026488" w:rsidRPr="00610BEA">
        <w:rPr>
          <w:rtl/>
        </w:rPr>
        <w:t xml:space="preserve"> בשירות טלפוני אנושי </w:t>
      </w:r>
      <w:r>
        <w:rPr>
          <w:rFonts w:hint="cs"/>
          <w:rtl/>
        </w:rPr>
        <w:t>לא יאוחר</w:t>
      </w:r>
      <w:r w:rsidR="00026488" w:rsidRPr="00610BEA">
        <w:rPr>
          <w:rtl/>
        </w:rPr>
        <w:t xml:space="preserve"> </w:t>
      </w:r>
      <w:r>
        <w:rPr>
          <w:rFonts w:hint="cs"/>
          <w:rtl/>
        </w:rPr>
        <w:t>מ</w:t>
      </w:r>
      <w:r w:rsidR="00026488" w:rsidRPr="00610BEA">
        <w:rPr>
          <w:rtl/>
        </w:rPr>
        <w:t>שלוש שעו</w:t>
      </w:r>
      <w:r w:rsidR="00026488" w:rsidRPr="00610BEA">
        <w:rPr>
          <w:rFonts w:hint="cs"/>
          <w:rtl/>
        </w:rPr>
        <w:t>ת</w:t>
      </w:r>
      <w:r w:rsidR="00026488" w:rsidRPr="00610BEA">
        <w:rPr>
          <w:rtl/>
        </w:rPr>
        <w:t xml:space="preserve"> </w:t>
      </w:r>
      <w:r>
        <w:rPr>
          <w:rFonts w:hint="cs"/>
          <w:rtl/>
        </w:rPr>
        <w:t>ממועד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השארת</w:t>
      </w:r>
      <w:r w:rsidR="00026488" w:rsidRPr="00610BEA">
        <w:rPr>
          <w:rtl/>
        </w:rPr>
        <w:t xml:space="preserve"> </w:t>
      </w:r>
      <w:r w:rsidR="00026488" w:rsidRPr="00610BEA">
        <w:rPr>
          <w:rFonts w:hint="cs"/>
          <w:rtl/>
        </w:rPr>
        <w:t>ההודעה</w:t>
      </w:r>
      <w:r>
        <w:rPr>
          <w:rFonts w:hint="cs"/>
          <w:rtl/>
        </w:rPr>
        <w:t>.</w:t>
      </w:r>
      <w:r w:rsidR="00026488" w:rsidRPr="00610BEA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026488" w:rsidRPr="00610BEA">
        <w:rPr>
          <w:rtl/>
        </w:rPr>
        <w:t>בחר הצרכן להמתין למענה אנושי, על העוסק להודיע לו מה מקומו בתור, מהו זמן ההמתנה המשוער ו</w:t>
      </w:r>
      <w:r>
        <w:rPr>
          <w:rFonts w:hint="cs"/>
          <w:rtl/>
        </w:rPr>
        <w:t>כי יש</w:t>
      </w:r>
      <w:r w:rsidR="00026488" w:rsidRPr="00610BEA">
        <w:rPr>
          <w:rtl/>
        </w:rPr>
        <w:t xml:space="preserve"> </w:t>
      </w:r>
      <w:r>
        <w:rPr>
          <w:rFonts w:hint="cs"/>
          <w:rtl/>
        </w:rPr>
        <w:t>ב</w:t>
      </w:r>
      <w:r w:rsidR="00026488" w:rsidRPr="00610BEA">
        <w:rPr>
          <w:rtl/>
        </w:rPr>
        <w:t>אפשרותו לעבור לשירות השארת הודעה בכל עת.</w:t>
      </w:r>
    </w:p>
    <w:p w:rsidR="00B53835" w:rsidRDefault="00B53835" w:rsidP="00B53835">
      <w:pPr>
        <w:pStyle w:val="Hesber"/>
        <w:rPr>
          <w:rtl/>
        </w:rPr>
      </w:pPr>
    </w:p>
    <w:p w:rsidR="00B53835" w:rsidRDefault="00B53835" w:rsidP="00B53835">
      <w:pPr>
        <w:pStyle w:val="Hesber"/>
        <w:rPr>
          <w:rtl/>
        </w:rPr>
      </w:pPr>
    </w:p>
    <w:p w:rsidR="00B53835" w:rsidRDefault="00B53835" w:rsidP="00B53835">
      <w:pPr>
        <w:pStyle w:val="Hesber"/>
        <w:rPr>
          <w:rtl/>
        </w:rPr>
      </w:pPr>
    </w:p>
    <w:p w:rsidR="00B53835" w:rsidRDefault="00B53835" w:rsidP="00B53835">
      <w:pPr>
        <w:pStyle w:val="Hesber"/>
        <w:rPr>
          <w:rtl/>
        </w:rPr>
      </w:pPr>
    </w:p>
    <w:p w:rsidR="00B53835" w:rsidRDefault="00B53835" w:rsidP="00B53835">
      <w:pPr>
        <w:pStyle w:val="Hesber"/>
        <w:rPr>
          <w:rtl/>
        </w:rPr>
      </w:pPr>
    </w:p>
    <w:p w:rsidR="00B53835" w:rsidRDefault="00B53835" w:rsidP="00B53835">
      <w:pPr>
        <w:pStyle w:val="Hesber"/>
        <w:rPr>
          <w:rtl/>
        </w:rPr>
      </w:pPr>
    </w:p>
    <w:p w:rsidR="00B53835" w:rsidRPr="0074279F" w:rsidRDefault="00B53835" w:rsidP="006361AB">
      <w:pPr>
        <w:pStyle w:val="Hesber"/>
        <w:rPr>
          <w:rtl/>
        </w:rPr>
      </w:pPr>
      <w:r w:rsidRPr="0074279F">
        <w:rPr>
          <w:rtl/>
        </w:rPr>
        <w:t>---------------------------------</w:t>
      </w:r>
    </w:p>
    <w:p w:rsidR="00B53835" w:rsidRPr="0074279F" w:rsidRDefault="00B53835" w:rsidP="006361AB">
      <w:pPr>
        <w:pStyle w:val="Hesber"/>
        <w:rPr>
          <w:rtl/>
        </w:rPr>
      </w:pPr>
      <w:r w:rsidRPr="0074279F">
        <w:rPr>
          <w:rtl/>
        </w:rPr>
        <w:t>הוגשה ליו"ר הכנסת והסגנים</w:t>
      </w:r>
    </w:p>
    <w:p w:rsidR="00B53835" w:rsidRPr="0074279F" w:rsidRDefault="00B53835" w:rsidP="006361AB">
      <w:pPr>
        <w:pStyle w:val="Hesber"/>
        <w:rPr>
          <w:rtl/>
        </w:rPr>
      </w:pPr>
      <w:r w:rsidRPr="0074279F">
        <w:rPr>
          <w:rtl/>
        </w:rPr>
        <w:t>והונחה על שולחן הכנסת ביום</w:t>
      </w:r>
    </w:p>
    <w:p w:rsidR="00B53835" w:rsidRPr="006361AB" w:rsidRDefault="00B53835" w:rsidP="006361AB">
      <w:pPr>
        <w:pStyle w:val="Hesber"/>
      </w:pPr>
      <w:r w:rsidRPr="0074279F">
        <w:rPr>
          <w:rFonts w:hint="cs"/>
          <w:rtl/>
        </w:rPr>
        <w:t xml:space="preserve">ה' בשבט התשע"ד </w:t>
      </w:r>
      <w:r w:rsidRPr="0074279F">
        <w:rPr>
          <w:rtl/>
        </w:rPr>
        <w:t>–</w:t>
      </w:r>
      <w:r w:rsidRPr="0074279F">
        <w:rPr>
          <w:rFonts w:hint="cs"/>
          <w:rtl/>
        </w:rPr>
        <w:t xml:space="preserve"> 6.1.14</w:t>
      </w:r>
    </w:p>
    <w:p w:rsidR="00B53835" w:rsidRPr="00610BEA" w:rsidRDefault="00B53835" w:rsidP="00B53835">
      <w:pPr>
        <w:pStyle w:val="Hesber"/>
        <w:rPr>
          <w:rtl/>
        </w:rPr>
      </w:pPr>
    </w:p>
    <w:sectPr w:rsidR="00B53835" w:rsidRPr="00610BE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498" w:rsidRDefault="00776498">
      <w:r>
        <w:separator/>
      </w:r>
    </w:p>
  </w:endnote>
  <w:endnote w:type="continuationSeparator" w:id="0">
    <w:p w:rsidR="00776498" w:rsidRDefault="0077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983C98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498" w:rsidRDefault="00776498">
      <w:r>
        <w:separator/>
      </w:r>
    </w:p>
  </w:footnote>
  <w:footnote w:type="continuationSeparator" w:id="0">
    <w:p w:rsidR="00776498" w:rsidRDefault="00776498">
      <w:r>
        <w:continuationSeparator/>
      </w:r>
    </w:p>
  </w:footnote>
  <w:footnote w:type="continuationNotice" w:id="1">
    <w:p w:rsidR="00776498" w:rsidRDefault="00776498"/>
  </w:footnote>
  <w:footnote w:id="2">
    <w:p w:rsidR="00610BEA" w:rsidRDefault="00610BEA" w:rsidP="00610BEA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ס"ח התשמ"א, עמ' 248.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3838lsCopyOriginal.docx"/>
    <w:docVar w:name="StartMode" w:val="2"/>
  </w:docVars>
  <w:rsids>
    <w:rsidRoot w:val="00DB7060"/>
    <w:rsid w:val="00015B27"/>
    <w:rsid w:val="000256DC"/>
    <w:rsid w:val="00026488"/>
    <w:rsid w:val="00053332"/>
    <w:rsid w:val="000A542E"/>
    <w:rsid w:val="000C1EB3"/>
    <w:rsid w:val="001207F8"/>
    <w:rsid w:val="00121924"/>
    <w:rsid w:val="001279A8"/>
    <w:rsid w:val="0014195F"/>
    <w:rsid w:val="0015240F"/>
    <w:rsid w:val="00152609"/>
    <w:rsid w:val="00153E1B"/>
    <w:rsid w:val="001A0623"/>
    <w:rsid w:val="001C23B0"/>
    <w:rsid w:val="001C53B9"/>
    <w:rsid w:val="001E1A1E"/>
    <w:rsid w:val="00203A7F"/>
    <w:rsid w:val="002200A1"/>
    <w:rsid w:val="002362BF"/>
    <w:rsid w:val="00241B97"/>
    <w:rsid w:val="00254605"/>
    <w:rsid w:val="002728B4"/>
    <w:rsid w:val="00292712"/>
    <w:rsid w:val="002C2E29"/>
    <w:rsid w:val="003232A2"/>
    <w:rsid w:val="00323733"/>
    <w:rsid w:val="00343C47"/>
    <w:rsid w:val="003710F6"/>
    <w:rsid w:val="00386E88"/>
    <w:rsid w:val="003D74A0"/>
    <w:rsid w:val="004033D8"/>
    <w:rsid w:val="004C1B32"/>
    <w:rsid w:val="004D3876"/>
    <w:rsid w:val="004E4552"/>
    <w:rsid w:val="00553C9D"/>
    <w:rsid w:val="00590A86"/>
    <w:rsid w:val="005B064E"/>
    <w:rsid w:val="005D51AE"/>
    <w:rsid w:val="00610BEA"/>
    <w:rsid w:val="00615A98"/>
    <w:rsid w:val="00644940"/>
    <w:rsid w:val="006818A9"/>
    <w:rsid w:val="006B3DF9"/>
    <w:rsid w:val="006C1D0D"/>
    <w:rsid w:val="0070601E"/>
    <w:rsid w:val="007158BE"/>
    <w:rsid w:val="00761DAD"/>
    <w:rsid w:val="00765F66"/>
    <w:rsid w:val="00776498"/>
    <w:rsid w:val="007A750E"/>
    <w:rsid w:val="007C39C1"/>
    <w:rsid w:val="007D5A12"/>
    <w:rsid w:val="007E59F9"/>
    <w:rsid w:val="00810BCD"/>
    <w:rsid w:val="00812C98"/>
    <w:rsid w:val="00814D92"/>
    <w:rsid w:val="00820D0B"/>
    <w:rsid w:val="008644B0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57589"/>
    <w:rsid w:val="00982412"/>
    <w:rsid w:val="00983C98"/>
    <w:rsid w:val="00A16910"/>
    <w:rsid w:val="00A26BD6"/>
    <w:rsid w:val="00A82CB7"/>
    <w:rsid w:val="00A91584"/>
    <w:rsid w:val="00AC36F7"/>
    <w:rsid w:val="00B35784"/>
    <w:rsid w:val="00B53835"/>
    <w:rsid w:val="00B910AF"/>
    <w:rsid w:val="00BC45FB"/>
    <w:rsid w:val="00C14D87"/>
    <w:rsid w:val="00C9176A"/>
    <w:rsid w:val="00D11EBF"/>
    <w:rsid w:val="00D65E66"/>
    <w:rsid w:val="00D867D7"/>
    <w:rsid w:val="00DB7060"/>
    <w:rsid w:val="00DE3153"/>
    <w:rsid w:val="00E0281E"/>
    <w:rsid w:val="00E13C27"/>
    <w:rsid w:val="00E33BBD"/>
    <w:rsid w:val="00E45103"/>
    <w:rsid w:val="00E665B9"/>
    <w:rsid w:val="00EA01E6"/>
    <w:rsid w:val="00EA758F"/>
    <w:rsid w:val="00EB7241"/>
    <w:rsid w:val="00ED4A6F"/>
    <w:rsid w:val="00EF3A3A"/>
    <w:rsid w:val="00FC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83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5383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53835"/>
    <w:rPr>
      <w:sz w:val="36"/>
      <w:szCs w:val="52"/>
    </w:rPr>
  </w:style>
  <w:style w:type="paragraph" w:customStyle="1" w:styleId="Cover3-Haknesset">
    <w:name w:val="Cover 3-Haknesset"/>
    <w:basedOn w:val="Cover1-Reshumot"/>
    <w:rsid w:val="00B53835"/>
    <w:rPr>
      <w:b/>
      <w:bCs/>
      <w:spacing w:val="60"/>
    </w:rPr>
  </w:style>
  <w:style w:type="paragraph" w:customStyle="1" w:styleId="Cover4-Date">
    <w:name w:val="Cover 4-Date"/>
    <w:basedOn w:val="a"/>
    <w:rsid w:val="00B5383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5383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5383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5383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5383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5383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53835"/>
  </w:style>
  <w:style w:type="paragraph" w:customStyle="1" w:styleId="TableBlock">
    <w:name w:val="Table Block"/>
    <w:basedOn w:val="TableText"/>
    <w:rsid w:val="00B53835"/>
    <w:pPr>
      <w:ind w:right="0"/>
      <w:jc w:val="both"/>
    </w:pPr>
  </w:style>
  <w:style w:type="paragraph" w:customStyle="1" w:styleId="TableHead">
    <w:name w:val="Table Head"/>
    <w:basedOn w:val="TableText"/>
    <w:rsid w:val="00B5383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53835"/>
  </w:style>
  <w:style w:type="paragraph" w:customStyle="1" w:styleId="Hesber">
    <w:name w:val="Hesber"/>
    <w:basedOn w:val="a"/>
    <w:rsid w:val="00B5383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5383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53835"/>
    <w:rPr>
      <w:vertAlign w:val="superscript"/>
    </w:rPr>
  </w:style>
  <w:style w:type="paragraph" w:customStyle="1" w:styleId="HesberHeading">
    <w:name w:val="Hesber Heading"/>
    <w:basedOn w:val="Hesber"/>
    <w:rsid w:val="00B5383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5383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5383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53835"/>
    <w:rPr>
      <w:vertAlign w:val="superscript"/>
    </w:rPr>
  </w:style>
  <w:style w:type="paragraph" w:customStyle="1" w:styleId="TableBlockOutdent">
    <w:name w:val="Table BlockOutdent"/>
    <w:basedOn w:val="TableBlock"/>
    <w:rsid w:val="00B53835"/>
    <w:pPr>
      <w:ind w:left="624" w:hanging="624"/>
    </w:pPr>
  </w:style>
  <w:style w:type="paragraph" w:styleId="a8">
    <w:name w:val="header"/>
    <w:basedOn w:val="a"/>
    <w:rsid w:val="00B5383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5383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5383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5383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5383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link w:val="a4"/>
    <w:semiHidden/>
    <w:rsid w:val="0002648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83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5383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53835"/>
    <w:rPr>
      <w:sz w:val="36"/>
      <w:szCs w:val="52"/>
    </w:rPr>
  </w:style>
  <w:style w:type="paragraph" w:customStyle="1" w:styleId="Cover3-Haknesset">
    <w:name w:val="Cover 3-Haknesset"/>
    <w:basedOn w:val="Cover1-Reshumot"/>
    <w:rsid w:val="00B53835"/>
    <w:rPr>
      <w:b/>
      <w:bCs/>
      <w:spacing w:val="60"/>
    </w:rPr>
  </w:style>
  <w:style w:type="paragraph" w:customStyle="1" w:styleId="Cover4-Date">
    <w:name w:val="Cover 4-Date"/>
    <w:basedOn w:val="a"/>
    <w:rsid w:val="00B5383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5383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5383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5383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5383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5383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53835"/>
  </w:style>
  <w:style w:type="paragraph" w:customStyle="1" w:styleId="TableBlock">
    <w:name w:val="Table Block"/>
    <w:basedOn w:val="TableText"/>
    <w:rsid w:val="00B53835"/>
    <w:pPr>
      <w:ind w:right="0"/>
      <w:jc w:val="both"/>
    </w:pPr>
  </w:style>
  <w:style w:type="paragraph" w:customStyle="1" w:styleId="TableHead">
    <w:name w:val="Table Head"/>
    <w:basedOn w:val="TableText"/>
    <w:rsid w:val="00B5383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53835"/>
  </w:style>
  <w:style w:type="paragraph" w:customStyle="1" w:styleId="Hesber">
    <w:name w:val="Hesber"/>
    <w:basedOn w:val="a"/>
    <w:rsid w:val="00B5383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5383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53835"/>
    <w:rPr>
      <w:vertAlign w:val="superscript"/>
    </w:rPr>
  </w:style>
  <w:style w:type="paragraph" w:customStyle="1" w:styleId="HesberHeading">
    <w:name w:val="Hesber Heading"/>
    <w:basedOn w:val="Hesber"/>
    <w:rsid w:val="00B5383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5383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5383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53835"/>
    <w:rPr>
      <w:vertAlign w:val="superscript"/>
    </w:rPr>
  </w:style>
  <w:style w:type="paragraph" w:customStyle="1" w:styleId="TableBlockOutdent">
    <w:name w:val="Table BlockOutdent"/>
    <w:basedOn w:val="TableBlock"/>
    <w:rsid w:val="00B53835"/>
    <w:pPr>
      <w:ind w:left="624" w:hanging="624"/>
    </w:pPr>
  </w:style>
  <w:style w:type="paragraph" w:styleId="a8">
    <w:name w:val="header"/>
    <w:basedOn w:val="a"/>
    <w:rsid w:val="00B5383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5383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5383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5383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5383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link w:val="a4"/>
    <w:semiHidden/>
    <w:rsid w:val="00026488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FB306-744A-43D7-9BE8-FFDBD50327C3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איתן כבל</dc:creator>
  <cp:keywords/>
  <dc:description/>
  <cp:lastModifiedBy>דפנה ברנאי, כנסת</cp:lastModifiedBy>
  <cp:revision>2</cp:revision>
  <cp:lastPrinted>2014-01-02T07:48:00Z</cp:lastPrinted>
  <dcterms:created xsi:type="dcterms:W3CDTF">2014-01-02T13:01:00Z</dcterms:created>
  <dcterms:modified xsi:type="dcterms:W3CDTF">2014-01-02T13:01:00Z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