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9C5030" w:rsidRDefault="004033D8" w:rsidP="002C2E29">
      <w:pPr>
        <w:pStyle w:val="HeadHatzaotHok"/>
        <w:jc w:val="right"/>
        <w:rPr>
          <w:b w:val="0"/>
          <w:bCs w:val="0"/>
          <w:szCs w:val="20"/>
        </w:rPr>
      </w:pPr>
      <w:r w:rsidRPr="009C5030">
        <w:rPr>
          <w:rFonts w:hint="cs"/>
          <w:b w:val="0"/>
          <w:bCs w:val="0"/>
          <w:szCs w:val="20"/>
          <w:rtl/>
        </w:rPr>
        <w:t xml:space="preserve">מספר פנימי: </w:t>
      </w:r>
      <w:bookmarkStart w:id="0" w:name="ItemID"/>
      <w:r w:rsidR="008936AB" w:rsidRPr="009C5030">
        <w:rPr>
          <w:b w:val="0"/>
          <w:bCs w:val="0"/>
          <w:szCs w:val="20"/>
          <w:rtl/>
        </w:rPr>
        <w:t>488132</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8936AB" w:rsidRPr="008936AB">
        <w:rPr>
          <w:sz w:val="28"/>
          <w:szCs w:val="28"/>
          <w:rtl/>
        </w:rPr>
        <w:t>התשע-עשרה</w:t>
      </w:r>
      <w:bookmarkEnd w:id="1"/>
    </w:p>
    <w:p w:rsidR="00E13C27" w:rsidRDefault="00E13C27" w:rsidP="00E13C27">
      <w:pPr>
        <w:rPr>
          <w:rFonts w:cs="David"/>
          <w:sz w:val="26"/>
          <w:szCs w:val="26"/>
          <w:rtl/>
        </w:rPr>
      </w:pPr>
    </w:p>
    <w:p w:rsidR="009D5B7B" w:rsidRPr="009C5030" w:rsidRDefault="00D35A7E" w:rsidP="0091204F">
      <w:pPr>
        <w:pStyle w:val="David"/>
        <w:ind w:left="2880" w:firstLine="663"/>
        <w:rPr>
          <w:b/>
          <w:bCs/>
        </w:rPr>
      </w:pPr>
      <w:bookmarkStart w:id="2" w:name="MKsSingleOrMulti"/>
      <w:r w:rsidRPr="009C5030">
        <w:rPr>
          <w:b/>
          <w:bCs/>
          <w:rtl/>
        </w:rPr>
        <w:t>יוזמים:      חברי הכנסת</w:t>
      </w:r>
      <w:bookmarkEnd w:id="2"/>
      <w:r w:rsidR="00B35784" w:rsidRPr="009C5030">
        <w:rPr>
          <w:b/>
          <w:bCs/>
        </w:rPr>
        <w:tab/>
      </w:r>
      <w:bookmarkStart w:id="3" w:name="MKs"/>
      <w:r w:rsidR="009D5B7B" w:rsidRPr="009C5030">
        <w:rPr>
          <w:b/>
          <w:bCs/>
          <w:rtl/>
        </w:rPr>
        <w:t>פנינה תמנו-שטה</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שמעון אוחיון</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דב ליפמן</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בועז טופורובסקי</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גילה גמליאל</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רוברט אילטוב</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דוד צור</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רינה פרנקל</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יוני שטבון</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יעקב מרגי</w:t>
      </w:r>
    </w:p>
    <w:p w:rsidR="009D5B7B" w:rsidRPr="009C5030" w:rsidRDefault="009D5B7B" w:rsidP="0091204F">
      <w:pPr>
        <w:pStyle w:val="David"/>
        <w:ind w:left="2880" w:firstLine="663"/>
        <w:rPr>
          <w:b/>
          <w:bCs/>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זבולון קלפה</w:t>
      </w:r>
    </w:p>
    <w:p w:rsidR="00E13C27" w:rsidRPr="009C5030" w:rsidRDefault="009D5B7B" w:rsidP="0091204F">
      <w:pPr>
        <w:pStyle w:val="David"/>
        <w:ind w:left="2880" w:firstLine="663"/>
        <w:rPr>
          <w:b/>
          <w:bCs/>
          <w:rtl/>
        </w:rPr>
      </w:pPr>
      <w:r w:rsidRPr="009C5030">
        <w:rPr>
          <w:b/>
          <w:bCs/>
        </w:rPr>
        <w:tab/>
      </w:r>
      <w:r w:rsidRPr="009C5030">
        <w:rPr>
          <w:b/>
          <w:bCs/>
        </w:rPr>
        <w:tab/>
      </w:r>
      <w:r w:rsidRPr="009C5030">
        <w:rPr>
          <w:b/>
          <w:bCs/>
        </w:rPr>
        <w:tab/>
      </w:r>
      <w:r w:rsidRPr="009C5030">
        <w:rPr>
          <w:b/>
          <w:bCs/>
        </w:rPr>
        <w:tab/>
      </w:r>
      <w:r w:rsidRPr="009C5030">
        <w:rPr>
          <w:b/>
          <w:bCs/>
        </w:rPr>
        <w:tab/>
      </w:r>
      <w:r w:rsidRPr="009C5030">
        <w:rPr>
          <w:b/>
          <w:bCs/>
          <w:rtl/>
        </w:rPr>
        <w:t>אורלי לוי אבקסיס</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374ECD" w:rsidRPr="00374ECD">
        <w:rPr>
          <w:rFonts w:cs="David"/>
          <w:sz w:val="26"/>
          <w:szCs w:val="26"/>
          <w:rtl/>
        </w:rPr>
        <w:t>פ/1749/19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343F20" w:rsidP="009C5030">
      <w:pPr>
        <w:pStyle w:val="HeadHatzaotHok"/>
        <w:tabs>
          <w:tab w:val="left" w:pos="4071"/>
          <w:tab w:val="center" w:pos="4819"/>
        </w:tabs>
        <w:spacing w:before="0"/>
        <w:rPr>
          <w:sz w:val="26"/>
          <w:rtl/>
        </w:rPr>
      </w:pPr>
      <w:bookmarkStart w:id="7" w:name="Title"/>
      <w:r w:rsidRPr="00343F20">
        <w:rPr>
          <w:sz w:val="26"/>
          <w:rtl/>
        </w:rPr>
        <w:t xml:space="preserve">הצעת חוק איסור הפליה במוצרים, בשירותים ובכניסה למקומות בידור ולמקומות ציבוריים (תיקון </w:t>
      </w:r>
      <w:r w:rsidR="009C5030">
        <w:rPr>
          <w:rFonts w:hint="cs"/>
          <w:sz w:val="26"/>
          <w:rtl/>
        </w:rPr>
        <w:t>–</w:t>
      </w:r>
      <w:r w:rsidRPr="00343F20">
        <w:rPr>
          <w:sz w:val="26"/>
          <w:rtl/>
        </w:rPr>
        <w:t xml:space="preserve"> איסור הפליה בשל לבישת מדי כוחות הביטחון וההצלה), התשע"ד</w:t>
      </w:r>
      <w:r w:rsidR="009C5030">
        <w:rPr>
          <w:rFonts w:hint="cs"/>
          <w:sz w:val="26"/>
          <w:rtl/>
        </w:rPr>
        <w:t>–</w:t>
      </w:r>
      <w:r w:rsidRPr="00343F20">
        <w:rPr>
          <w:sz w:val="26"/>
          <w:rtl/>
        </w:rPr>
        <w:t>2013</w:t>
      </w:r>
      <w:bookmarkEnd w:id="7"/>
    </w:p>
    <w:p w:rsidR="009C5030" w:rsidRDefault="009C5030" w:rsidP="009C5030">
      <w:pPr>
        <w:pStyle w:val="HeadHatzaotHok"/>
        <w:tabs>
          <w:tab w:val="left" w:pos="4071"/>
          <w:tab w:val="center" w:pos="4819"/>
        </w:tabs>
        <w:spacing w:before="0"/>
        <w:rPr>
          <w:sz w:val="26"/>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13C27" w:rsidTr="00E13C27">
        <w:trPr>
          <w:cantSplit/>
          <w:trHeight w:val="60"/>
        </w:trPr>
        <w:tc>
          <w:tcPr>
            <w:tcW w:w="1871" w:type="dxa"/>
          </w:tcPr>
          <w:p w:rsidR="00E13C27" w:rsidRDefault="00F6394E" w:rsidP="00E13C27">
            <w:pPr>
              <w:pStyle w:val="TableSideHeading"/>
              <w:keepLines w:val="0"/>
            </w:pPr>
            <w:r>
              <w:rPr>
                <w:rFonts w:hint="cs"/>
                <w:rtl/>
              </w:rPr>
              <w:t>תיקון סעיף 2</w:t>
            </w:r>
          </w:p>
        </w:tc>
        <w:tc>
          <w:tcPr>
            <w:tcW w:w="624" w:type="dxa"/>
          </w:tcPr>
          <w:p w:rsidR="00E13C27" w:rsidRPr="00704F63" w:rsidRDefault="00704F63" w:rsidP="00704F63">
            <w:pPr>
              <w:pStyle w:val="TableBlock"/>
            </w:pPr>
            <w:r w:rsidRPr="00704F63">
              <w:rPr>
                <w:rFonts w:hint="cs"/>
                <w:rtl/>
              </w:rPr>
              <w:t>1.</w:t>
            </w:r>
          </w:p>
        </w:tc>
        <w:tc>
          <w:tcPr>
            <w:tcW w:w="7146" w:type="dxa"/>
          </w:tcPr>
          <w:p w:rsidR="00E13C27" w:rsidRPr="00704F63" w:rsidRDefault="00F6394E" w:rsidP="009C5030">
            <w:pPr>
              <w:pStyle w:val="TableBlock"/>
            </w:pPr>
            <w:r w:rsidRPr="00704F63">
              <w:rPr>
                <w:rFonts w:hint="cs"/>
                <w:rtl/>
              </w:rPr>
              <w:t xml:space="preserve">בחוק איסור הפליה במוצרים, בשירותים ובכניסה למקומות בידור ולמקומות ציבוריים, </w:t>
            </w:r>
            <w:r w:rsidR="009C5030">
              <w:rPr>
                <w:rFonts w:hint="cs"/>
                <w:rtl/>
              </w:rPr>
              <w:t>ה</w:t>
            </w:r>
            <w:r w:rsidRPr="00704F63">
              <w:rPr>
                <w:rFonts w:hint="cs"/>
                <w:rtl/>
              </w:rPr>
              <w:t>תשס"א-2000</w:t>
            </w:r>
            <w:r>
              <w:rPr>
                <w:rStyle w:val="a5"/>
                <w:rtl/>
              </w:rPr>
              <w:footnoteReference w:id="2"/>
            </w:r>
            <w:r w:rsidRPr="00704F63">
              <w:rPr>
                <w:rFonts w:hint="cs"/>
                <w:rtl/>
              </w:rPr>
              <w:t xml:space="preserve"> </w:t>
            </w:r>
            <w:r>
              <w:rPr>
                <w:rFonts w:hint="cs"/>
                <w:rtl/>
              </w:rPr>
              <w:t xml:space="preserve">(להלן </w:t>
            </w:r>
            <w:r>
              <w:rPr>
                <w:rFonts w:hint="cs"/>
                <w:rtl/>
              </w:rPr>
              <w:softHyphen/>
              <w:t xml:space="preserve">– החוק העיקרי), בסעיף 2(א), לפני </w:t>
            </w:r>
            <w:r w:rsidR="009C5030">
              <w:rPr>
                <w:rFonts w:hint="cs"/>
                <w:rtl/>
              </w:rPr>
              <w:t>ההגדרה "מוגבלות" יבוא –</w:t>
            </w:r>
          </w:p>
        </w:tc>
      </w:tr>
      <w:tr w:rsidR="009C5030" w:rsidTr="00E13C27">
        <w:trPr>
          <w:cantSplit/>
          <w:trHeight w:val="60"/>
        </w:trPr>
        <w:tc>
          <w:tcPr>
            <w:tcW w:w="1871" w:type="dxa"/>
          </w:tcPr>
          <w:p w:rsidR="009C5030" w:rsidRDefault="009C5030" w:rsidP="00E13C27">
            <w:pPr>
              <w:pStyle w:val="TableSideHeading"/>
              <w:keepLines w:val="0"/>
              <w:rPr>
                <w:rtl/>
              </w:rPr>
            </w:pPr>
          </w:p>
        </w:tc>
        <w:tc>
          <w:tcPr>
            <w:tcW w:w="624" w:type="dxa"/>
          </w:tcPr>
          <w:p w:rsidR="009C5030" w:rsidRPr="00704F63" w:rsidRDefault="009C5030" w:rsidP="009C5030">
            <w:pPr>
              <w:pStyle w:val="TableText"/>
              <w:rPr>
                <w:rtl/>
              </w:rPr>
            </w:pPr>
          </w:p>
        </w:tc>
        <w:tc>
          <w:tcPr>
            <w:tcW w:w="7146" w:type="dxa"/>
          </w:tcPr>
          <w:p w:rsidR="009C5030" w:rsidRPr="009C5030" w:rsidRDefault="009C5030" w:rsidP="009C5030">
            <w:pPr>
              <w:pStyle w:val="TableBlockOutdent"/>
              <w:rPr>
                <w:rtl/>
              </w:rPr>
            </w:pPr>
            <w:r w:rsidRPr="009C5030">
              <w:rPr>
                <w:rFonts w:hint="cs"/>
                <w:rtl/>
              </w:rPr>
              <w:t>""כוחות הביטחון וההצלה" – כל אחד מאלה: צבא ההגנה לישראל, משטרת ישראל, שירות בתי הסוהר, מגן דוד אדום;".</w:t>
            </w:r>
          </w:p>
        </w:tc>
      </w:tr>
      <w:tr w:rsidR="00E13C27" w:rsidTr="00E13C27">
        <w:trPr>
          <w:cantSplit/>
          <w:trHeight w:val="60"/>
        </w:trPr>
        <w:tc>
          <w:tcPr>
            <w:tcW w:w="1871" w:type="dxa"/>
          </w:tcPr>
          <w:p w:rsidR="00E13C27" w:rsidRDefault="009C5030" w:rsidP="00E13C27">
            <w:pPr>
              <w:pStyle w:val="TableSideHeading"/>
              <w:keepLines w:val="0"/>
            </w:pPr>
            <w:r>
              <w:rPr>
                <w:rFonts w:hint="cs"/>
                <w:rtl/>
              </w:rPr>
              <w:t>תיקון סעיף 3</w:t>
            </w:r>
          </w:p>
        </w:tc>
        <w:tc>
          <w:tcPr>
            <w:tcW w:w="624" w:type="dxa"/>
          </w:tcPr>
          <w:p w:rsidR="00E13C27" w:rsidRDefault="00F6394E" w:rsidP="00814D92">
            <w:pPr>
              <w:pStyle w:val="TableText"/>
              <w:keepLines w:val="0"/>
            </w:pPr>
            <w:r>
              <w:rPr>
                <w:rFonts w:hint="cs"/>
                <w:rtl/>
              </w:rPr>
              <w:t>2.</w:t>
            </w:r>
          </w:p>
        </w:tc>
        <w:tc>
          <w:tcPr>
            <w:tcW w:w="7146" w:type="dxa"/>
          </w:tcPr>
          <w:p w:rsidR="00E13C27" w:rsidRPr="00C34DE2" w:rsidRDefault="002B42F8" w:rsidP="002B42F8">
            <w:pPr>
              <w:pStyle w:val="TableBlock"/>
              <w:keepLines w:val="0"/>
            </w:pPr>
            <w:r>
              <w:rPr>
                <w:rFonts w:hint="cs"/>
                <w:rtl/>
              </w:rPr>
              <w:t xml:space="preserve">בסעיף 3(א) לחוק העיקרי, </w:t>
            </w:r>
            <w:r w:rsidR="00F6394E">
              <w:rPr>
                <w:rFonts w:hint="cs"/>
                <w:rtl/>
              </w:rPr>
              <w:t>אחרי "השתייכות מפלגתית" יבוא "</w:t>
            </w:r>
            <w:r>
              <w:rPr>
                <w:rFonts w:hint="cs"/>
                <w:rtl/>
              </w:rPr>
              <w:t>השתייכות לכוחות הביטחון וההצלה,</w:t>
            </w:r>
            <w:r w:rsidR="00F6394E">
              <w:rPr>
                <w:rFonts w:hint="cs"/>
                <w:rtl/>
              </w:rPr>
              <w:t>"</w:t>
            </w:r>
            <w:r>
              <w:rPr>
                <w:rFonts w:hint="cs"/>
                <w:rtl/>
              </w:rPr>
              <w:t>.</w:t>
            </w:r>
          </w:p>
        </w:tc>
      </w:tr>
      <w:tr w:rsidR="002B42F8" w:rsidTr="00E13C27">
        <w:trPr>
          <w:cantSplit/>
          <w:trHeight w:val="60"/>
        </w:trPr>
        <w:tc>
          <w:tcPr>
            <w:tcW w:w="1871" w:type="dxa"/>
          </w:tcPr>
          <w:p w:rsidR="002B42F8" w:rsidRDefault="002B42F8" w:rsidP="00E13C27">
            <w:pPr>
              <w:pStyle w:val="TableSideHeading"/>
              <w:keepLines w:val="0"/>
              <w:rPr>
                <w:rtl/>
              </w:rPr>
            </w:pPr>
            <w:r>
              <w:rPr>
                <w:rFonts w:hint="cs"/>
                <w:rtl/>
              </w:rPr>
              <w:t>תיקון סעיף 6</w:t>
            </w:r>
          </w:p>
        </w:tc>
        <w:tc>
          <w:tcPr>
            <w:tcW w:w="624" w:type="dxa"/>
          </w:tcPr>
          <w:p w:rsidR="002B42F8" w:rsidRDefault="002B42F8" w:rsidP="002B42F8">
            <w:pPr>
              <w:pStyle w:val="TableText"/>
              <w:rPr>
                <w:rtl/>
              </w:rPr>
            </w:pPr>
            <w:r>
              <w:rPr>
                <w:rFonts w:hint="cs"/>
                <w:rtl/>
              </w:rPr>
              <w:t>3.</w:t>
            </w:r>
          </w:p>
        </w:tc>
        <w:tc>
          <w:tcPr>
            <w:tcW w:w="7146" w:type="dxa"/>
          </w:tcPr>
          <w:p w:rsidR="002B42F8" w:rsidRDefault="002B42F8" w:rsidP="004C4EEC">
            <w:pPr>
              <w:pStyle w:val="TableBlock"/>
              <w:keepLines w:val="0"/>
              <w:rPr>
                <w:rtl/>
              </w:rPr>
            </w:pPr>
            <w:r>
              <w:rPr>
                <w:rFonts w:hint="cs"/>
                <w:rtl/>
              </w:rPr>
              <w:t xml:space="preserve">בסעיף 6 לחוק העיקרי, </w:t>
            </w:r>
            <w:r w:rsidR="004C4EEC">
              <w:rPr>
                <w:rFonts w:hint="cs"/>
                <w:rtl/>
              </w:rPr>
              <w:t>אחרי פסקה (1) יבוא:</w:t>
            </w:r>
          </w:p>
        </w:tc>
      </w:tr>
      <w:tr w:rsidR="004C4EEC" w:rsidTr="00E13C27">
        <w:trPr>
          <w:cantSplit/>
          <w:trHeight w:val="60"/>
        </w:trPr>
        <w:tc>
          <w:tcPr>
            <w:tcW w:w="1871" w:type="dxa"/>
          </w:tcPr>
          <w:p w:rsidR="004C4EEC" w:rsidRDefault="004C4EEC" w:rsidP="00E13C27">
            <w:pPr>
              <w:pStyle w:val="TableSideHeading"/>
              <w:keepLines w:val="0"/>
              <w:rPr>
                <w:rtl/>
              </w:rPr>
            </w:pPr>
          </w:p>
        </w:tc>
        <w:tc>
          <w:tcPr>
            <w:tcW w:w="624" w:type="dxa"/>
          </w:tcPr>
          <w:p w:rsidR="004C4EEC" w:rsidRDefault="004C4EEC" w:rsidP="004C4EEC">
            <w:pPr>
              <w:pStyle w:val="TableText"/>
              <w:rPr>
                <w:rtl/>
              </w:rPr>
            </w:pPr>
          </w:p>
        </w:tc>
        <w:tc>
          <w:tcPr>
            <w:tcW w:w="7146" w:type="dxa"/>
          </w:tcPr>
          <w:p w:rsidR="004C4EEC" w:rsidRDefault="004C4EEC" w:rsidP="002B42F8">
            <w:pPr>
              <w:pStyle w:val="TableBlock"/>
              <w:keepLines w:val="0"/>
              <w:rPr>
                <w:rtl/>
              </w:rPr>
            </w:pPr>
            <w:r>
              <w:rPr>
                <w:rFonts w:hint="cs"/>
                <w:rtl/>
              </w:rPr>
              <w:t>"(1א)</w:t>
            </w:r>
            <w:r w:rsidR="009C5030">
              <w:rPr>
                <w:rFonts w:hint="cs"/>
                <w:rtl/>
              </w:rPr>
              <w:tab/>
            </w:r>
            <w:r w:rsidRPr="004C4EEC">
              <w:rPr>
                <w:rtl/>
              </w:rPr>
              <w:t>ה</w:t>
            </w:r>
            <w:r w:rsidRPr="004C4EEC">
              <w:rPr>
                <w:rFonts w:hint="cs"/>
                <w:rtl/>
              </w:rPr>
              <w:t>נתב</w:t>
            </w:r>
            <w:r w:rsidRPr="004C4EEC">
              <w:rPr>
                <w:rtl/>
              </w:rPr>
              <w:t xml:space="preserve">ע </w:t>
            </w:r>
            <w:r w:rsidRPr="004C4EEC">
              <w:rPr>
                <w:rFonts w:hint="cs"/>
                <w:rtl/>
              </w:rPr>
              <w:t>סירב לספק מוצר או שירות ציבורי, מנע כניסה למקום ציבורי או סירב לתת שירות במקום ציבורי</w:t>
            </w:r>
            <w:r>
              <w:rPr>
                <w:rFonts w:hint="cs"/>
                <w:rtl/>
              </w:rPr>
              <w:t xml:space="preserve"> למי שנושא סמל מסמלי כוחות הביטחון וההצלה כהגדרתם בסעיף 2(א);".</w:t>
            </w:r>
          </w:p>
        </w:tc>
      </w:tr>
    </w:tbl>
    <w:p w:rsidR="009C5030" w:rsidRDefault="009C5030" w:rsidP="00E13C27">
      <w:pPr>
        <w:pStyle w:val="HeadDivreiHesber"/>
        <w:spacing w:before="0" w:after="0"/>
        <w:rPr>
          <w:rtl/>
        </w:rPr>
      </w:pPr>
    </w:p>
    <w:p w:rsidR="009C5030" w:rsidRDefault="009C5030" w:rsidP="00E13C27">
      <w:pPr>
        <w:pStyle w:val="HeadDivreiHesber"/>
        <w:spacing w:before="0" w:after="0"/>
        <w:rPr>
          <w:rtl/>
        </w:rPr>
      </w:pPr>
    </w:p>
    <w:p w:rsidR="00E13C27" w:rsidRDefault="00E13C27" w:rsidP="00E13C27">
      <w:pPr>
        <w:pStyle w:val="HeadDivreiHesber"/>
        <w:spacing w:before="0" w:after="0"/>
        <w:rPr>
          <w:rtl/>
        </w:rPr>
      </w:pPr>
      <w:r>
        <w:rPr>
          <w:rFonts w:hint="cs"/>
          <w:rtl/>
        </w:rPr>
        <w:t>דברי הסבר</w:t>
      </w:r>
    </w:p>
    <w:p w:rsidR="00F6394E" w:rsidRDefault="00F6394E" w:rsidP="002B42F8">
      <w:pPr>
        <w:pStyle w:val="Hesber"/>
        <w:rPr>
          <w:rtl/>
        </w:rPr>
      </w:pPr>
      <w:r>
        <w:rPr>
          <w:rFonts w:hint="cs"/>
          <w:rtl/>
        </w:rPr>
        <w:t xml:space="preserve">בשנים האחרונות אירעו מספר מקרים בהם נמנעה הכניסה למקומות ציבוריים מאנשי כוחות הביטחון וכן נמנע מהם שירות משום שלבשו מדים או נשאו נשק מתוקף תפקידם. לדוגמא, בפסק דין </w:t>
      </w:r>
      <w:r w:rsidRPr="009C5030">
        <w:rPr>
          <w:b/>
          <w:bCs/>
          <w:rtl/>
        </w:rPr>
        <w:t>קובי דנה נ' מסעדת אזאד</w:t>
      </w:r>
      <w:r>
        <w:rPr>
          <w:rFonts w:hint="cs"/>
          <w:rtl/>
        </w:rPr>
        <w:t xml:space="preserve"> </w:t>
      </w:r>
      <w:r w:rsidR="002B42F8">
        <w:rPr>
          <w:rFonts w:hint="cs"/>
          <w:rtl/>
        </w:rPr>
        <w:t>שניתן ביום 1</w:t>
      </w:r>
      <w:r>
        <w:rPr>
          <w:rtl/>
        </w:rPr>
        <w:t xml:space="preserve"> </w:t>
      </w:r>
      <w:r>
        <w:rPr>
          <w:rFonts w:hint="cs"/>
          <w:rtl/>
        </w:rPr>
        <w:t>ב</w:t>
      </w:r>
      <w:r>
        <w:rPr>
          <w:rtl/>
        </w:rPr>
        <w:t xml:space="preserve">פברואר 2011, </w:t>
      </w:r>
      <w:r>
        <w:rPr>
          <w:rFonts w:hint="cs"/>
          <w:rtl/>
        </w:rPr>
        <w:t xml:space="preserve">קבע השופט פיצויים לחייל מילואים שסולק ממסעדה בשל העובדה שהיה לבוש במדי צה"ל. בנוסף לכך, התרחשו בעבר מקרים בהם אזרחים אשר לבשו בגדים עם סמלי יחידות צה"ל סולקו ונמנעה כניסתם למקומות ציבוריים. </w:t>
      </w:r>
    </w:p>
    <w:p w:rsidR="00F6394E" w:rsidRDefault="00F6394E" w:rsidP="002B42F8">
      <w:pPr>
        <w:pStyle w:val="Hesber"/>
        <w:rPr>
          <w:rtl/>
        </w:rPr>
      </w:pPr>
      <w:r w:rsidRPr="0066606B">
        <w:rPr>
          <w:rFonts w:hint="cs"/>
          <w:rtl/>
        </w:rPr>
        <w:t>הצעת חוק זו מבקשת להתמודד עם תופעה זו של הפליית אנשי כוחות הביטחון וההצלה או אזרחים הנושאים את סמלי כוחות הביטחון וההצלה. מוצע להוסיף לחוק</w:t>
      </w:r>
      <w:r w:rsidR="002B42F8" w:rsidRPr="002B42F8">
        <w:rPr>
          <w:rFonts w:hint="cs"/>
          <w:rtl/>
        </w:rPr>
        <w:t xml:space="preserve"> </w:t>
      </w:r>
      <w:r w:rsidR="002B42F8" w:rsidRPr="00704F63">
        <w:rPr>
          <w:rFonts w:hint="cs"/>
          <w:rtl/>
        </w:rPr>
        <w:t xml:space="preserve">איסור הפליה במוצרים, בשירותים ובכניסה למקומות בידור ולמקומות ציבוריים, </w:t>
      </w:r>
      <w:r w:rsidR="009C5030">
        <w:rPr>
          <w:rFonts w:hint="cs"/>
          <w:rtl/>
        </w:rPr>
        <w:t>ה</w:t>
      </w:r>
      <w:r w:rsidR="002B42F8" w:rsidRPr="00704F63">
        <w:rPr>
          <w:rFonts w:hint="cs"/>
          <w:rtl/>
        </w:rPr>
        <w:t>תשס"א-2000</w:t>
      </w:r>
      <w:r w:rsidR="009C5030">
        <w:rPr>
          <w:rFonts w:hint="cs"/>
          <w:rtl/>
        </w:rPr>
        <w:t>,</w:t>
      </w:r>
      <w:r w:rsidR="002B42F8">
        <w:rPr>
          <w:rFonts w:hint="cs"/>
          <w:rtl/>
        </w:rPr>
        <w:t xml:space="preserve"> </w:t>
      </w:r>
      <w:r w:rsidRPr="0066606B">
        <w:rPr>
          <w:rFonts w:hint="cs"/>
          <w:rtl/>
        </w:rPr>
        <w:t xml:space="preserve">איסור על הפליית אדם מחמת השתייכותו לכוחות הביטחון וההצלה או משום שהוא נושא סמל </w:t>
      </w:r>
      <w:r>
        <w:rPr>
          <w:rFonts w:hint="cs"/>
          <w:rtl/>
        </w:rPr>
        <w:t xml:space="preserve">מסמלי </w:t>
      </w:r>
      <w:r w:rsidRPr="0066606B">
        <w:rPr>
          <w:rFonts w:hint="cs"/>
          <w:rtl/>
        </w:rPr>
        <w:t>כוחות הביטחון וההצלה, כאשר כוחות הביטחון וההצלה אליהם מתייחס</w:t>
      </w:r>
      <w:r w:rsidRPr="0066606B">
        <w:rPr>
          <w:rFonts w:hint="eastAsia"/>
          <w:rtl/>
        </w:rPr>
        <w:t>ת</w:t>
      </w:r>
      <w:r w:rsidRPr="0066606B">
        <w:rPr>
          <w:rFonts w:hint="cs"/>
          <w:rtl/>
        </w:rPr>
        <w:t xml:space="preserve"> הצעת</w:t>
      </w:r>
      <w:r>
        <w:rPr>
          <w:rFonts w:hint="cs"/>
          <w:rtl/>
        </w:rPr>
        <w:t xml:space="preserve"> החוק הם: צבא ההגנה לישראל, משטרת ישראל, שירות בתי הסוהר ומגן דוד אדום.</w:t>
      </w:r>
    </w:p>
    <w:p w:rsidR="00704F63" w:rsidRDefault="00704F63" w:rsidP="00E13C27">
      <w:pPr>
        <w:pStyle w:val="Hesber"/>
        <w:rPr>
          <w:rtl/>
        </w:rPr>
      </w:pPr>
    </w:p>
    <w:p w:rsidR="009C5030" w:rsidRDefault="009C5030" w:rsidP="00E13C27">
      <w:pPr>
        <w:pStyle w:val="Hesber"/>
        <w:rPr>
          <w:rtl/>
        </w:rPr>
      </w:pPr>
    </w:p>
    <w:p w:rsidR="009C5030" w:rsidRDefault="009C5030" w:rsidP="00E13C27">
      <w:pPr>
        <w:pStyle w:val="Hesber"/>
        <w:rPr>
          <w:rtl/>
        </w:rPr>
      </w:pPr>
    </w:p>
    <w:p w:rsidR="009C5030" w:rsidRDefault="009C5030" w:rsidP="00E13C27">
      <w:pPr>
        <w:pStyle w:val="Hesber"/>
        <w:rPr>
          <w:rtl/>
        </w:rPr>
      </w:pPr>
    </w:p>
    <w:p w:rsidR="009C5030" w:rsidRDefault="009C5030" w:rsidP="00E13C27">
      <w:pPr>
        <w:pStyle w:val="Hesber"/>
        <w:rPr>
          <w:rtl/>
        </w:rPr>
      </w:pPr>
    </w:p>
    <w:p w:rsidR="009C5030" w:rsidRDefault="009C5030" w:rsidP="009C5030">
      <w:pPr>
        <w:pStyle w:val="Hesber"/>
        <w:rPr>
          <w:rtl/>
        </w:rPr>
      </w:pPr>
      <w:r>
        <w:rPr>
          <w:rtl/>
        </w:rPr>
        <w:t>---------------------------------</w:t>
      </w:r>
    </w:p>
    <w:p w:rsidR="009C5030" w:rsidRDefault="009C5030" w:rsidP="009C5030">
      <w:pPr>
        <w:pStyle w:val="Hesber"/>
        <w:rPr>
          <w:rtl/>
        </w:rPr>
      </w:pPr>
      <w:r>
        <w:rPr>
          <w:rtl/>
        </w:rPr>
        <w:t>הוגשה ליו"ר הכנסת והסגנים</w:t>
      </w:r>
    </w:p>
    <w:p w:rsidR="009C5030" w:rsidRDefault="009C5030" w:rsidP="009C5030">
      <w:pPr>
        <w:pStyle w:val="Hesber"/>
        <w:rPr>
          <w:rtl/>
        </w:rPr>
      </w:pPr>
      <w:r>
        <w:rPr>
          <w:rtl/>
        </w:rPr>
        <w:t>והונחה על שולחן הכנסת ביום</w:t>
      </w:r>
    </w:p>
    <w:p w:rsidR="009C5030" w:rsidRDefault="009C5030" w:rsidP="009C5030">
      <w:pPr>
        <w:pStyle w:val="Hesber"/>
        <w:rPr>
          <w:rtl/>
        </w:rPr>
      </w:pPr>
      <w:r>
        <w:rPr>
          <w:rtl/>
        </w:rPr>
        <w:t>י"ז בחשוון התשע"ד – 21.10.13</w:t>
      </w:r>
    </w:p>
    <w:sectPr w:rsidR="009C503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3AF" w:rsidRDefault="003363AF">
      <w:r>
        <w:separator/>
      </w:r>
    </w:p>
  </w:endnote>
  <w:endnote w:type="continuationSeparator" w:id="0">
    <w:p w:rsidR="003363AF" w:rsidRDefault="00336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460A5">
      <w:rPr>
        <w:rStyle w:val="aa"/>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3AF" w:rsidRDefault="003363AF">
      <w:r>
        <w:separator/>
      </w:r>
    </w:p>
  </w:footnote>
  <w:footnote w:type="continuationSeparator" w:id="0">
    <w:p w:rsidR="003363AF" w:rsidRDefault="003363AF">
      <w:r>
        <w:continuationSeparator/>
      </w:r>
    </w:p>
  </w:footnote>
  <w:footnote w:type="continuationNotice" w:id="1">
    <w:p w:rsidR="003363AF" w:rsidRDefault="003363AF"/>
  </w:footnote>
  <w:footnote w:id="2">
    <w:p w:rsidR="00F6394E" w:rsidRPr="009C5030" w:rsidRDefault="00F6394E" w:rsidP="009C5030">
      <w:pPr>
        <w:pStyle w:val="a4"/>
        <w:rPr>
          <w:rtl/>
        </w:rPr>
      </w:pPr>
      <w:r w:rsidRPr="009C5030">
        <w:rPr>
          <w:rStyle w:val="a5"/>
        </w:rPr>
        <w:footnoteRef/>
      </w:r>
      <w:r w:rsidRPr="009C5030">
        <w:rPr>
          <w:rtl/>
        </w:rPr>
        <w:t xml:space="preserve"> </w:t>
      </w:r>
      <w:r w:rsidRPr="009C5030">
        <w:rPr>
          <w:rFonts w:hint="eastAsia"/>
          <w:rtl/>
        </w:rPr>
        <w:t>ס</w:t>
      </w:r>
      <w:r w:rsidRPr="009C5030">
        <w:rPr>
          <w:rtl/>
        </w:rPr>
        <w:t xml:space="preserve">"ח </w:t>
      </w:r>
      <w:r w:rsidRPr="009C5030">
        <w:rPr>
          <w:rFonts w:hint="cs"/>
          <w:rtl/>
        </w:rPr>
        <w:t>ה</w:t>
      </w:r>
      <w:r w:rsidRPr="009C5030">
        <w:rPr>
          <w:rtl/>
        </w:rPr>
        <w:t>תשס"א</w:t>
      </w:r>
      <w:r w:rsidRPr="009C5030">
        <w:rPr>
          <w:rFonts w:hint="cs"/>
          <w:rtl/>
        </w:rPr>
        <w:t>, עמ' 58.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8132lsCopyOriginal.docx"/>
    <w:docVar w:name="StartMode" w:val="2"/>
  </w:docVars>
  <w:rsids>
    <w:rsidRoot w:val="00DB7060"/>
    <w:rsid w:val="00015B27"/>
    <w:rsid w:val="000A542E"/>
    <w:rsid w:val="001207F8"/>
    <w:rsid w:val="00121924"/>
    <w:rsid w:val="001279A8"/>
    <w:rsid w:val="0014195F"/>
    <w:rsid w:val="00152609"/>
    <w:rsid w:val="00153E1B"/>
    <w:rsid w:val="00182A57"/>
    <w:rsid w:val="001A0623"/>
    <w:rsid w:val="001C23B0"/>
    <w:rsid w:val="00203A7F"/>
    <w:rsid w:val="002200A1"/>
    <w:rsid w:val="002362BF"/>
    <w:rsid w:val="00241B97"/>
    <w:rsid w:val="00254605"/>
    <w:rsid w:val="002728B4"/>
    <w:rsid w:val="00281A3D"/>
    <w:rsid w:val="00292712"/>
    <w:rsid w:val="002B42F8"/>
    <w:rsid w:val="002C2E29"/>
    <w:rsid w:val="002F711A"/>
    <w:rsid w:val="003232A2"/>
    <w:rsid w:val="003363AF"/>
    <w:rsid w:val="00343F20"/>
    <w:rsid w:val="003710F6"/>
    <w:rsid w:val="00374ECD"/>
    <w:rsid w:val="00386E88"/>
    <w:rsid w:val="003B7EA5"/>
    <w:rsid w:val="003D74A0"/>
    <w:rsid w:val="00400A36"/>
    <w:rsid w:val="004033D8"/>
    <w:rsid w:val="004C4EEC"/>
    <w:rsid w:val="004D3876"/>
    <w:rsid w:val="004E4552"/>
    <w:rsid w:val="00553C9D"/>
    <w:rsid w:val="005B064E"/>
    <w:rsid w:val="005D51AE"/>
    <w:rsid w:val="00644940"/>
    <w:rsid w:val="00676A8E"/>
    <w:rsid w:val="006818A9"/>
    <w:rsid w:val="006C1D0D"/>
    <w:rsid w:val="00704F63"/>
    <w:rsid w:val="0070601E"/>
    <w:rsid w:val="00765F66"/>
    <w:rsid w:val="007D5A12"/>
    <w:rsid w:val="007E59F9"/>
    <w:rsid w:val="00810BCD"/>
    <w:rsid w:val="00812C98"/>
    <w:rsid w:val="00814D92"/>
    <w:rsid w:val="00892135"/>
    <w:rsid w:val="008936AB"/>
    <w:rsid w:val="00895449"/>
    <w:rsid w:val="00897879"/>
    <w:rsid w:val="008C2DDC"/>
    <w:rsid w:val="008F0D63"/>
    <w:rsid w:val="008F2C35"/>
    <w:rsid w:val="0091204F"/>
    <w:rsid w:val="009203DB"/>
    <w:rsid w:val="00943386"/>
    <w:rsid w:val="00957589"/>
    <w:rsid w:val="00982412"/>
    <w:rsid w:val="009C5030"/>
    <w:rsid w:val="009D5B7B"/>
    <w:rsid w:val="00A26BD6"/>
    <w:rsid w:val="00A82CB7"/>
    <w:rsid w:val="00AC36F7"/>
    <w:rsid w:val="00B33D74"/>
    <w:rsid w:val="00B35784"/>
    <w:rsid w:val="00B460A5"/>
    <w:rsid w:val="00B8459B"/>
    <w:rsid w:val="00B97F2E"/>
    <w:rsid w:val="00BC45FB"/>
    <w:rsid w:val="00C13FFC"/>
    <w:rsid w:val="00C9176A"/>
    <w:rsid w:val="00D35A7E"/>
    <w:rsid w:val="00D867D7"/>
    <w:rsid w:val="00DB7060"/>
    <w:rsid w:val="00DE3153"/>
    <w:rsid w:val="00E13C27"/>
    <w:rsid w:val="00E33BBD"/>
    <w:rsid w:val="00E45103"/>
    <w:rsid w:val="00E665B9"/>
    <w:rsid w:val="00EA01E6"/>
    <w:rsid w:val="00EA758F"/>
    <w:rsid w:val="00ED4A6F"/>
    <w:rsid w:val="00EF3A3A"/>
    <w:rsid w:val="00F639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C5030"/>
    <w:pPr>
      <w:spacing w:line="240" w:lineRule="auto"/>
      <w:ind w:left="227" w:hanging="227"/>
    </w:pPr>
    <w:rPr>
      <w:sz w:val="14"/>
      <w:szCs w:val="20"/>
    </w:rPr>
  </w:style>
  <w:style w:type="character" w:styleId="a5">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default">
    <w:name w:val="default"/>
    <w:basedOn w:val="a0"/>
    <w:rsid w:val="004C4EEC"/>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C5030"/>
    <w:pPr>
      <w:spacing w:line="240" w:lineRule="auto"/>
      <w:ind w:left="227" w:hanging="227"/>
    </w:pPr>
    <w:rPr>
      <w:sz w:val="14"/>
      <w:szCs w:val="20"/>
    </w:rPr>
  </w:style>
  <w:style w:type="character" w:styleId="a5">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default">
    <w:name w:val="default"/>
    <w:basedOn w:val="a0"/>
    <w:rsid w:val="004C4EEC"/>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58526D-23FA-496F-8DAE-CB25A8A09393}"/>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1685</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אודליה גבאי -דיין</dc:creator>
  <cp:keywords/>
  <dc:description/>
  <cp:lastModifiedBy>לילך יעיש</cp:lastModifiedBy>
  <cp:revision>2</cp:revision>
  <cp:lastPrinted>2013-10-17T10:59:00Z</cp:lastPrinted>
  <dcterms:created xsi:type="dcterms:W3CDTF">2013-10-17T10:59:00Z</dcterms:created>
  <dcterms:modified xsi:type="dcterms:W3CDTF">2013-10-17T10:59:00Z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