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241B97" w:rsidRDefault="004033D8" w:rsidP="002C2E29">
      <w:pPr>
        <w:pStyle w:val="HeadHatzaotHok"/>
        <w:jc w:val="right"/>
        <w:rPr>
          <w:b w:val="0"/>
          <w:bCs w:val="0"/>
          <w:sz w:val="17"/>
          <w:szCs w:val="17"/>
        </w:rPr>
      </w:pPr>
      <w:r w:rsidRPr="00241B97">
        <w:rPr>
          <w:rFonts w:hint="cs"/>
          <w:b w:val="0"/>
          <w:bCs w:val="0"/>
          <w:sz w:val="17"/>
          <w:szCs w:val="17"/>
          <w:rtl/>
        </w:rPr>
        <w:t xml:space="preserve">(מספר פנימי: </w:t>
      </w:r>
      <w:bookmarkStart w:id="0" w:name="ItemID"/>
      <w:r w:rsidR="00E020EA" w:rsidRPr="00E020EA">
        <w:rPr>
          <w:b w:val="0"/>
          <w:bCs w:val="0"/>
          <w:sz w:val="17"/>
          <w:szCs w:val="17"/>
          <w:rtl/>
        </w:rPr>
        <w:t>543284</w:t>
      </w:r>
      <w:bookmarkEnd w:id="0"/>
      <w:r w:rsidRPr="00241B97">
        <w:rPr>
          <w:rFonts w:hint="cs"/>
          <w:b w:val="0"/>
          <w:bCs w:val="0"/>
          <w:sz w:val="17"/>
          <w:szCs w:val="17"/>
          <w:rtl/>
        </w:rPr>
        <w:t>)</w:t>
      </w:r>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E020EA" w:rsidRPr="00E020EA">
        <w:rPr>
          <w:sz w:val="28"/>
          <w:szCs w:val="28"/>
          <w:rtl/>
        </w:rPr>
        <w:t>התשע-עשרה</w:t>
      </w:r>
      <w:bookmarkEnd w:id="1"/>
    </w:p>
    <w:p w:rsidR="00E13C27" w:rsidRDefault="00E13C27" w:rsidP="00E13C27">
      <w:pPr>
        <w:rPr>
          <w:rFonts w:cs="David"/>
          <w:sz w:val="26"/>
          <w:szCs w:val="26"/>
          <w:rtl/>
        </w:rPr>
      </w:pPr>
    </w:p>
    <w:p w:rsidR="00E13C27" w:rsidRPr="00B35784" w:rsidRDefault="00E020EA" w:rsidP="0091204F">
      <w:pPr>
        <w:pStyle w:val="David"/>
        <w:ind w:left="2880" w:firstLine="663"/>
        <w:rPr>
          <w:b/>
          <w:bCs/>
          <w:rtl/>
        </w:rPr>
      </w:pPr>
      <w:bookmarkStart w:id="2" w:name="MKsSingleOrMulti"/>
      <w:r w:rsidRPr="00E020EA">
        <w:rPr>
          <w:rtl/>
        </w:rPr>
        <w:t>יוזמת:           חברת הכנסת</w:t>
      </w:r>
      <w:bookmarkEnd w:id="2"/>
      <w:r w:rsidR="00B35784">
        <w:tab/>
      </w:r>
      <w:bookmarkStart w:id="3" w:name="MKs"/>
      <w:r w:rsidRPr="00E020EA">
        <w:rPr>
          <w:b/>
          <w:bCs/>
          <w:rtl/>
        </w:rPr>
        <w:t>עדי קול</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E020EA" w:rsidP="00E13C27">
      <w:pPr>
        <w:pStyle w:val="HeadHatzaotHok"/>
        <w:tabs>
          <w:tab w:val="left" w:pos="4071"/>
          <w:tab w:val="center" w:pos="4819"/>
        </w:tabs>
        <w:spacing w:before="0"/>
        <w:rPr>
          <w:sz w:val="26"/>
          <w:rtl/>
        </w:rPr>
      </w:pPr>
      <w:bookmarkStart w:id="7" w:name="Title"/>
      <w:r w:rsidRPr="00E020EA">
        <w:rPr>
          <w:sz w:val="26"/>
          <w:rtl/>
        </w:rPr>
        <w:t>הצעת חוק השמות (תיקון - שם קטין), התשע"ד-2013</w:t>
      </w:r>
      <w:bookmarkEnd w:id="7"/>
    </w:p>
    <w:tbl>
      <w:tblPr>
        <w:bidiVisual/>
        <w:tblW w:w="9638" w:type="dxa"/>
        <w:tblInd w:w="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3C758F" w:rsidTr="003C758F">
        <w:trPr>
          <w:cantSplit/>
        </w:trPr>
        <w:tc>
          <w:tcPr>
            <w:tcW w:w="1871" w:type="dxa"/>
          </w:tcPr>
          <w:p w:rsidR="003C758F" w:rsidRDefault="003C758F" w:rsidP="00641673">
            <w:pPr>
              <w:pStyle w:val="TableSideHeading"/>
              <w:bidi w:val="0"/>
              <w:spacing w:line="240" w:lineRule="auto"/>
              <w:ind w:right="0"/>
              <w:jc w:val="right"/>
              <w:rPr>
                <w:sz w:val="26"/>
              </w:rPr>
            </w:pPr>
            <w:r>
              <w:rPr>
                <w:sz w:val="26"/>
                <w:rtl/>
              </w:rPr>
              <w:t xml:space="preserve">תיקון סעיף 4 </w:t>
            </w:r>
            <w:r>
              <w:rPr>
                <w:sz w:val="26"/>
              </w:rPr>
              <w:t xml:space="preserve"> </w:t>
            </w:r>
          </w:p>
        </w:tc>
        <w:tc>
          <w:tcPr>
            <w:tcW w:w="624" w:type="dxa"/>
          </w:tcPr>
          <w:p w:rsidR="003C758F" w:rsidRDefault="003C758F" w:rsidP="00641673">
            <w:pPr>
              <w:pStyle w:val="TableText"/>
              <w:rPr>
                <w:sz w:val="26"/>
              </w:rPr>
            </w:pPr>
            <w:r>
              <w:rPr>
                <w:sz w:val="26"/>
                <w:rtl/>
              </w:rPr>
              <w:t>1.</w:t>
            </w:r>
          </w:p>
        </w:tc>
        <w:tc>
          <w:tcPr>
            <w:tcW w:w="7143" w:type="dxa"/>
          </w:tcPr>
          <w:p w:rsidR="003C758F" w:rsidRDefault="003C758F" w:rsidP="00641673">
            <w:pPr>
              <w:pStyle w:val="TableBlock"/>
              <w:rPr>
                <w:rtl/>
              </w:rPr>
            </w:pPr>
            <w:r>
              <w:rPr>
                <w:sz w:val="26"/>
                <w:rtl/>
              </w:rPr>
              <w:t>בחוק השמות, התשט"ז–1956</w:t>
            </w:r>
            <w:r>
              <w:rPr>
                <w:rStyle w:val="a6"/>
                <w:sz w:val="26"/>
                <w:rtl/>
              </w:rPr>
              <w:footnoteReference w:id="2"/>
            </w:r>
            <w:r>
              <w:rPr>
                <w:sz w:val="26"/>
                <w:rtl/>
              </w:rPr>
              <w:t>, (להלן – החוק העיקרי) בסעיף 4, המילים "</w:t>
            </w:r>
            <w:r w:rsidRPr="00092FFB">
              <w:rPr>
                <w:sz w:val="26"/>
                <w:rtl/>
              </w:rPr>
              <w:t>באין הסכמה בין ההורים, רשאי כל אחד מהם ליתן לילד שם פרטי; אולם ילד שנולד כשאמו אינה נשואה לאביו ואף אינה ידועה בציבור כאשתו, ניתן לו שם פרטי על ידי אמו בלבד</w:t>
            </w:r>
            <w:r w:rsidRPr="00092FFB">
              <w:rPr>
                <w:sz w:val="26"/>
              </w:rPr>
              <w:t>.</w:t>
            </w:r>
            <w:r>
              <w:rPr>
                <w:sz w:val="26"/>
                <w:rtl/>
              </w:rPr>
              <w:t>"</w:t>
            </w:r>
            <w:r>
              <w:rPr>
                <w:rtl/>
              </w:rPr>
              <w:t xml:space="preserve"> ימחקו</w:t>
            </w:r>
          </w:p>
        </w:tc>
      </w:tr>
      <w:tr w:rsidR="003C758F" w:rsidTr="003C758F">
        <w:trPr>
          <w:cantSplit/>
        </w:trPr>
        <w:tc>
          <w:tcPr>
            <w:tcW w:w="1871" w:type="dxa"/>
          </w:tcPr>
          <w:p w:rsidR="003C758F" w:rsidRDefault="003C758F" w:rsidP="00641673">
            <w:pPr>
              <w:pStyle w:val="TableSideHeading"/>
              <w:bidi w:val="0"/>
              <w:spacing w:line="240" w:lineRule="auto"/>
              <w:ind w:right="0"/>
              <w:jc w:val="right"/>
              <w:rPr>
                <w:sz w:val="26"/>
                <w:rtl/>
              </w:rPr>
            </w:pPr>
            <w:r>
              <w:rPr>
                <w:sz w:val="26"/>
                <w:rtl/>
              </w:rPr>
              <w:t>תיקון סעיף 10</w:t>
            </w:r>
          </w:p>
        </w:tc>
        <w:tc>
          <w:tcPr>
            <w:tcW w:w="624" w:type="dxa"/>
          </w:tcPr>
          <w:p w:rsidR="003C758F" w:rsidRDefault="003C758F" w:rsidP="00641673">
            <w:pPr>
              <w:pStyle w:val="TableText"/>
              <w:rPr>
                <w:sz w:val="26"/>
                <w:rtl/>
              </w:rPr>
            </w:pPr>
            <w:r>
              <w:rPr>
                <w:sz w:val="26"/>
                <w:rtl/>
              </w:rPr>
              <w:t>2</w:t>
            </w:r>
          </w:p>
        </w:tc>
        <w:tc>
          <w:tcPr>
            <w:tcW w:w="7143" w:type="dxa"/>
          </w:tcPr>
          <w:p w:rsidR="003C758F" w:rsidRDefault="003C758F" w:rsidP="00641673">
            <w:pPr>
              <w:pStyle w:val="TableBlock"/>
              <w:rPr>
                <w:sz w:val="26"/>
                <w:rtl/>
              </w:rPr>
            </w:pPr>
            <w:r>
              <w:rPr>
                <w:sz w:val="26"/>
                <w:rtl/>
              </w:rPr>
              <w:t>בסעיף 10 לחוק העיקרי, לאחר המילה " בגיר" יבוא: "</w:t>
            </w:r>
            <w:r>
              <w:rPr>
                <w:rFonts w:hint="cs"/>
                <w:sz w:val="26"/>
                <w:rtl/>
              </w:rPr>
              <w:t xml:space="preserve">, </w:t>
            </w:r>
            <w:r>
              <w:rPr>
                <w:sz w:val="26"/>
                <w:rtl/>
              </w:rPr>
              <w:t xml:space="preserve">קטין אשר מלאו לו </w:t>
            </w:r>
            <w:r>
              <w:rPr>
                <w:rFonts w:hint="cs"/>
                <w:sz w:val="26"/>
                <w:rtl/>
              </w:rPr>
              <w:t>13</w:t>
            </w:r>
            <w:r>
              <w:rPr>
                <w:sz w:val="26"/>
                <w:rtl/>
              </w:rPr>
              <w:t xml:space="preserve"> שנים</w:t>
            </w:r>
            <w:r>
              <w:rPr>
                <w:rFonts w:hint="cs"/>
                <w:sz w:val="26"/>
                <w:rtl/>
              </w:rPr>
              <w:t xml:space="preserve"> ואף אם לא מלאו לו 13 שנים בהסכמת הוריו</w:t>
            </w:r>
            <w:r>
              <w:rPr>
                <w:sz w:val="26"/>
                <w:rtl/>
              </w:rPr>
              <w:t>"</w:t>
            </w:r>
          </w:p>
        </w:tc>
      </w:tr>
      <w:tr w:rsidR="003C758F" w:rsidTr="003C758F">
        <w:trPr>
          <w:cantSplit/>
        </w:trPr>
        <w:tc>
          <w:tcPr>
            <w:tcW w:w="1871" w:type="dxa"/>
          </w:tcPr>
          <w:p w:rsidR="003C758F" w:rsidRDefault="003C758F" w:rsidP="00641673">
            <w:pPr>
              <w:pStyle w:val="TableSideHeading"/>
              <w:bidi w:val="0"/>
              <w:spacing w:line="240" w:lineRule="auto"/>
              <w:ind w:right="0"/>
              <w:jc w:val="right"/>
              <w:rPr>
                <w:sz w:val="26"/>
                <w:rtl/>
              </w:rPr>
            </w:pPr>
            <w:r>
              <w:rPr>
                <w:sz w:val="26"/>
                <w:rtl/>
              </w:rPr>
              <w:t>תיקון סעיף 13</w:t>
            </w:r>
          </w:p>
        </w:tc>
        <w:tc>
          <w:tcPr>
            <w:tcW w:w="624" w:type="dxa"/>
          </w:tcPr>
          <w:p w:rsidR="003C758F" w:rsidRDefault="003C758F" w:rsidP="00641673">
            <w:pPr>
              <w:pStyle w:val="TableText"/>
              <w:rPr>
                <w:sz w:val="26"/>
                <w:rtl/>
              </w:rPr>
            </w:pPr>
            <w:r>
              <w:rPr>
                <w:sz w:val="26"/>
                <w:rtl/>
              </w:rPr>
              <w:t>3.</w:t>
            </w:r>
          </w:p>
        </w:tc>
        <w:tc>
          <w:tcPr>
            <w:tcW w:w="7143" w:type="dxa"/>
          </w:tcPr>
          <w:p w:rsidR="003C758F" w:rsidRDefault="003C758F" w:rsidP="00641673">
            <w:pPr>
              <w:pStyle w:val="TableBlock"/>
              <w:rPr>
                <w:sz w:val="26"/>
                <w:rtl/>
              </w:rPr>
            </w:pPr>
            <w:r>
              <w:rPr>
                <w:sz w:val="26"/>
                <w:rtl/>
              </w:rPr>
              <w:t xml:space="preserve">בסעיף 13 לחוק העיקרי, </w:t>
            </w:r>
            <w:r>
              <w:rPr>
                <w:rFonts w:hint="cs"/>
                <w:sz w:val="26"/>
                <w:rtl/>
              </w:rPr>
              <w:t>לאחר המילה "</w:t>
            </w:r>
            <w:r w:rsidRPr="00004AA2">
              <w:rPr>
                <w:rFonts w:hint="cs"/>
                <w:sz w:val="26"/>
                <w:rtl/>
              </w:rPr>
              <w:t>הפרטי"</w:t>
            </w:r>
            <w:r>
              <w:rPr>
                <w:rFonts w:cs="FrankRuehl" w:hint="cs"/>
                <w:sz w:val="26"/>
                <w:rtl/>
              </w:rPr>
              <w:t xml:space="preserve"> </w:t>
            </w:r>
            <w:r>
              <w:rPr>
                <w:rFonts w:hint="cs"/>
                <w:sz w:val="26"/>
                <w:rtl/>
              </w:rPr>
              <w:t>יבוא</w:t>
            </w:r>
            <w:r>
              <w:rPr>
                <w:sz w:val="26"/>
                <w:rtl/>
              </w:rPr>
              <w:t xml:space="preserve"> "</w:t>
            </w:r>
            <w:r>
              <w:rPr>
                <w:rFonts w:hint="cs"/>
                <w:rtl/>
              </w:rPr>
              <w:t xml:space="preserve">בהסכמתו של הקטין" </w:t>
            </w:r>
          </w:p>
        </w:tc>
      </w:tr>
      <w:tr w:rsidR="003C758F" w:rsidTr="003C758F">
        <w:trPr>
          <w:cantSplit/>
        </w:trPr>
        <w:tc>
          <w:tcPr>
            <w:tcW w:w="1871" w:type="dxa"/>
          </w:tcPr>
          <w:p w:rsidR="003C758F" w:rsidRDefault="003C758F" w:rsidP="00641673">
            <w:pPr>
              <w:pStyle w:val="TableSideHeading"/>
              <w:bidi w:val="0"/>
              <w:spacing w:line="240" w:lineRule="auto"/>
              <w:ind w:right="0"/>
              <w:jc w:val="right"/>
              <w:rPr>
                <w:sz w:val="26"/>
                <w:rtl/>
              </w:rPr>
            </w:pPr>
            <w:r>
              <w:rPr>
                <w:rFonts w:hint="cs"/>
                <w:sz w:val="26"/>
                <w:rtl/>
              </w:rPr>
              <w:t>תיקון סעיף 14</w:t>
            </w:r>
          </w:p>
        </w:tc>
        <w:tc>
          <w:tcPr>
            <w:tcW w:w="624" w:type="dxa"/>
          </w:tcPr>
          <w:p w:rsidR="003C758F" w:rsidRDefault="003C758F" w:rsidP="00641673">
            <w:pPr>
              <w:pStyle w:val="TableText"/>
              <w:rPr>
                <w:sz w:val="26"/>
                <w:rtl/>
              </w:rPr>
            </w:pPr>
            <w:r>
              <w:rPr>
                <w:rFonts w:hint="cs"/>
                <w:sz w:val="26"/>
                <w:rtl/>
              </w:rPr>
              <w:t>4.</w:t>
            </w:r>
          </w:p>
        </w:tc>
        <w:tc>
          <w:tcPr>
            <w:tcW w:w="7143" w:type="dxa"/>
          </w:tcPr>
          <w:p w:rsidR="003C758F" w:rsidRDefault="003C758F" w:rsidP="00641673">
            <w:pPr>
              <w:pStyle w:val="TableBlock"/>
              <w:rPr>
                <w:sz w:val="26"/>
                <w:rtl/>
              </w:rPr>
            </w:pPr>
            <w:r>
              <w:rPr>
                <w:rFonts w:hint="cs"/>
                <w:sz w:val="26"/>
                <w:rtl/>
              </w:rPr>
              <w:t>בסעיף 14 לחוק העיקרי, לאחר המילים "בית המשפט," יבוא "ובהסכמתו של הקטין או של פסול דין"</w:t>
            </w:r>
          </w:p>
        </w:tc>
      </w:tr>
    </w:tbl>
    <w:p w:rsidR="003C758F" w:rsidRDefault="003C758F" w:rsidP="00E13C27">
      <w:pPr>
        <w:pStyle w:val="HeadDivreiHesber"/>
        <w:spacing w:before="0" w:after="0"/>
        <w:rPr>
          <w:rtl/>
        </w:rPr>
      </w:pPr>
    </w:p>
    <w:p w:rsidR="003C758F" w:rsidRDefault="003C758F" w:rsidP="00E13C27">
      <w:pPr>
        <w:pStyle w:val="HeadDivreiHesber"/>
        <w:spacing w:before="0" w:after="0"/>
        <w:rPr>
          <w:rtl/>
        </w:rPr>
      </w:pPr>
    </w:p>
    <w:p w:rsidR="00E13C27" w:rsidRDefault="00E13C27" w:rsidP="00E13C27">
      <w:pPr>
        <w:pStyle w:val="HeadDivreiHesber"/>
        <w:spacing w:before="0" w:after="0"/>
        <w:rPr>
          <w:rtl/>
        </w:rPr>
      </w:pPr>
      <w:r>
        <w:rPr>
          <w:rFonts w:hint="cs"/>
          <w:rtl/>
        </w:rPr>
        <w:t>דברי הסבר</w:t>
      </w:r>
    </w:p>
    <w:p w:rsidR="003C758F" w:rsidRDefault="003C758F" w:rsidP="003C758F">
      <w:pPr>
        <w:pStyle w:val="Hesber"/>
        <w:rPr>
          <w:sz w:val="26"/>
          <w:rtl/>
        </w:rPr>
      </w:pPr>
      <w:r>
        <w:rPr>
          <w:sz w:val="26"/>
          <w:rtl/>
        </w:rPr>
        <w:t>חוק השמות, התשט"ז–1956, מסדיר, בין השאר, את קביעת השם של קטינים. שמו של אדם מהווה חלק מזהותו, ומכאן כל שינוי בו, בשמו הפרטי או בשם משפחתו הינו בעל השלכה משמעותית על זהותו ועל חייו. על אף השלכה מרכזית  זו אין חוק השמות מעניק לילדים כל מעמד או זכות להשתתפות בקשר לשינוי שמם, וזאת בכל גיל שהוא.</w:t>
      </w:r>
    </w:p>
    <w:p w:rsidR="003C758F" w:rsidRDefault="003C758F" w:rsidP="003C758F">
      <w:pPr>
        <w:pStyle w:val="Hesber"/>
        <w:rPr>
          <w:sz w:val="26"/>
          <w:rtl/>
        </w:rPr>
      </w:pPr>
      <w:r>
        <w:rPr>
          <w:sz w:val="26"/>
          <w:rtl/>
        </w:rPr>
        <w:t xml:space="preserve">להורים נתונה זכות בלתי </w:t>
      </w:r>
      <w:r>
        <w:rPr>
          <w:rFonts w:hint="cs"/>
          <w:sz w:val="26"/>
          <w:rtl/>
        </w:rPr>
        <w:t>מסויגת</w:t>
      </w:r>
      <w:r>
        <w:rPr>
          <w:sz w:val="26"/>
          <w:rtl/>
        </w:rPr>
        <w:t xml:space="preserve"> לשינוי שמו הפרטי של ילדם הקטין בכל גיל, ולשינוי שם משפחתו, לעיתים על דעת עצמם ולעיתים באישור בית משפט, ואין מוטלת חובה על פקיד משרד הפנים או על בית המשפט לשמוע בעניין </w:t>
      </w:r>
      <w:r>
        <w:rPr>
          <w:rFonts w:hint="cs"/>
          <w:sz w:val="26"/>
          <w:rtl/>
        </w:rPr>
        <w:t>ז</w:t>
      </w:r>
      <w:r>
        <w:rPr>
          <w:sz w:val="26"/>
          <w:rtl/>
        </w:rPr>
        <w:t>ה את דעתו של הקטין שבשמו מדובר. בנוסף החוק אינו מכיר בזכותו של הילד לשנות את שמו, זכות שמטבעה צריכה להכלל במסגרת הזכות לשם.</w:t>
      </w:r>
    </w:p>
    <w:p w:rsidR="003C758F" w:rsidRDefault="003C758F" w:rsidP="003C758F">
      <w:pPr>
        <w:pStyle w:val="Hesber"/>
        <w:rPr>
          <w:sz w:val="26"/>
          <w:rtl/>
        </w:rPr>
      </w:pPr>
      <w:r>
        <w:rPr>
          <w:sz w:val="26"/>
          <w:rtl/>
        </w:rPr>
        <w:t>הנושא עלה בוועדה לבחינת עקרונו</w:t>
      </w:r>
      <w:r>
        <w:rPr>
          <w:rFonts w:hint="cs"/>
          <w:sz w:val="26"/>
          <w:rtl/>
        </w:rPr>
        <w:t>ת</w:t>
      </w:r>
      <w:r>
        <w:rPr>
          <w:sz w:val="26"/>
          <w:rtl/>
        </w:rPr>
        <w:t xml:space="preserve"> יסוד בתחום הילד והמשפט ויישומה בחקיקה</w:t>
      </w:r>
      <w:r>
        <w:rPr>
          <w:rFonts w:hint="cs"/>
          <w:sz w:val="26"/>
          <w:rtl/>
        </w:rPr>
        <w:t>,</w:t>
      </w:r>
      <w:r>
        <w:rPr>
          <w:sz w:val="26"/>
          <w:rtl/>
        </w:rPr>
        <w:t xml:space="preserve"> בראשות השופטת סביונה רוטלווי</w:t>
      </w:r>
      <w:r>
        <w:rPr>
          <w:rFonts w:hint="cs"/>
          <w:sz w:val="26"/>
          <w:rtl/>
        </w:rPr>
        <w:t>,</w:t>
      </w:r>
      <w:r>
        <w:rPr>
          <w:sz w:val="26"/>
          <w:rtl/>
        </w:rPr>
        <w:t xml:space="preserve"> והמלצותיו מיושמות בהצעת החוק.</w:t>
      </w:r>
    </w:p>
    <w:p w:rsidR="003C758F" w:rsidRDefault="003C758F" w:rsidP="003C758F">
      <w:pPr>
        <w:pStyle w:val="Hesber"/>
        <w:rPr>
          <w:sz w:val="26"/>
          <w:rtl/>
        </w:rPr>
      </w:pPr>
    </w:p>
    <w:p w:rsidR="003C758F" w:rsidRDefault="003C758F" w:rsidP="00E13C27">
      <w:pPr>
        <w:pStyle w:val="HeadDivreiHesber"/>
        <w:spacing w:before="0" w:after="0"/>
        <w:rPr>
          <w:rtl/>
        </w:rPr>
      </w:pPr>
    </w:p>
    <w:p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420" w:rsidRDefault="004C2420">
      <w:r>
        <w:separator/>
      </w:r>
    </w:p>
  </w:endnote>
  <w:endnote w:type="continuationSeparator" w:id="0">
    <w:p w:rsidR="004C2420" w:rsidRDefault="004C2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1A0623" w:rsidRDefault="001A062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Pr>
        <w:rStyle w:val="ab"/>
        <w:noProof/>
        <w:rtl/>
      </w:rPr>
      <w:t>2</w:t>
    </w:r>
    <w:r>
      <w:rPr>
        <w:rStyle w:val="ab"/>
        <w:rtl/>
      </w:rPr>
      <w:fldChar w:fldCharType="end"/>
    </w:r>
  </w:p>
  <w:p w:rsidR="001A0623" w:rsidRDefault="001A062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420" w:rsidRDefault="004C2420">
      <w:r>
        <w:separator/>
      </w:r>
    </w:p>
  </w:footnote>
  <w:footnote w:type="continuationSeparator" w:id="0">
    <w:p w:rsidR="004C2420" w:rsidRDefault="004C2420">
      <w:r>
        <w:continuationSeparator/>
      </w:r>
    </w:p>
  </w:footnote>
  <w:footnote w:type="continuationNotice" w:id="1">
    <w:p w:rsidR="004C2420" w:rsidRDefault="004C2420"/>
  </w:footnote>
  <w:footnote w:id="2">
    <w:p w:rsidR="003C758F" w:rsidRDefault="003C758F" w:rsidP="003C758F">
      <w:pPr>
        <w:pStyle w:val="a4"/>
      </w:pPr>
      <w:r>
        <w:rPr>
          <w:rStyle w:val="a6"/>
        </w:rPr>
        <w:footnoteRef/>
      </w:r>
      <w:r>
        <w:rPr>
          <w:sz w:val="20"/>
          <w:rtl/>
        </w:rPr>
        <w:t xml:space="preserve"> ס"ח התשט"ז, עמ' 94.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43284lsNew.docx"/>
    <w:docVar w:name="StartMode" w:val="2"/>
  </w:docVars>
  <w:rsids>
    <w:rsidRoot w:val="00DB7060"/>
    <w:rsid w:val="00015B27"/>
    <w:rsid w:val="000A542E"/>
    <w:rsid w:val="001207F8"/>
    <w:rsid w:val="00121924"/>
    <w:rsid w:val="001279A8"/>
    <w:rsid w:val="0014195F"/>
    <w:rsid w:val="00152609"/>
    <w:rsid w:val="00153E1B"/>
    <w:rsid w:val="001A0623"/>
    <w:rsid w:val="001C23B0"/>
    <w:rsid w:val="00203A7F"/>
    <w:rsid w:val="002200A1"/>
    <w:rsid w:val="002362BF"/>
    <w:rsid w:val="00241B97"/>
    <w:rsid w:val="00254605"/>
    <w:rsid w:val="00264FE7"/>
    <w:rsid w:val="002728B4"/>
    <w:rsid w:val="00292712"/>
    <w:rsid w:val="002C2E29"/>
    <w:rsid w:val="003232A2"/>
    <w:rsid w:val="003710F6"/>
    <w:rsid w:val="00386E88"/>
    <w:rsid w:val="003C758F"/>
    <w:rsid w:val="003D74A0"/>
    <w:rsid w:val="004033D8"/>
    <w:rsid w:val="004C2420"/>
    <w:rsid w:val="004D3876"/>
    <w:rsid w:val="004E4552"/>
    <w:rsid w:val="00553C9D"/>
    <w:rsid w:val="005B064E"/>
    <w:rsid w:val="005D51AE"/>
    <w:rsid w:val="00644940"/>
    <w:rsid w:val="006818A9"/>
    <w:rsid w:val="006C1D0D"/>
    <w:rsid w:val="0070601E"/>
    <w:rsid w:val="00765F66"/>
    <w:rsid w:val="007D5A12"/>
    <w:rsid w:val="007E59F9"/>
    <w:rsid w:val="00810BCD"/>
    <w:rsid w:val="00812C98"/>
    <w:rsid w:val="00814D92"/>
    <w:rsid w:val="00892135"/>
    <w:rsid w:val="00895449"/>
    <w:rsid w:val="00897879"/>
    <w:rsid w:val="008C2DDC"/>
    <w:rsid w:val="008F0D63"/>
    <w:rsid w:val="008F2C35"/>
    <w:rsid w:val="0091204F"/>
    <w:rsid w:val="009203DB"/>
    <w:rsid w:val="00943386"/>
    <w:rsid w:val="00951A4C"/>
    <w:rsid w:val="00957589"/>
    <w:rsid w:val="00982412"/>
    <w:rsid w:val="00A26BD6"/>
    <w:rsid w:val="00A82CB7"/>
    <w:rsid w:val="00AC36F7"/>
    <w:rsid w:val="00B35784"/>
    <w:rsid w:val="00BC45FB"/>
    <w:rsid w:val="00C9176A"/>
    <w:rsid w:val="00D867D7"/>
    <w:rsid w:val="00DB7060"/>
    <w:rsid w:val="00DE3153"/>
    <w:rsid w:val="00E020EA"/>
    <w:rsid w:val="00E13C27"/>
    <w:rsid w:val="00E33BBD"/>
    <w:rsid w:val="00E45103"/>
    <w:rsid w:val="00E665B9"/>
    <w:rsid w:val="00EA01E6"/>
    <w:rsid w:val="00EA758F"/>
    <w:rsid w:val="00ED4A6F"/>
    <w:rsid w:val="00EF3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uiPriority w:val="99"/>
    <w:rsid w:val="00943386"/>
    <w:pPr>
      <w:keepLines/>
      <w:tabs>
        <w:tab w:val="left" w:pos="624"/>
        <w:tab w:val="left" w:pos="1247"/>
      </w:tabs>
      <w:ind w:right="57" w:firstLine="0"/>
    </w:pPr>
  </w:style>
  <w:style w:type="paragraph" w:customStyle="1" w:styleId="TableSideHeading">
    <w:name w:val="Table SideHeading"/>
    <w:basedOn w:val="TableText"/>
    <w:uiPriority w:val="99"/>
    <w:rsid w:val="00943386"/>
  </w:style>
  <w:style w:type="paragraph" w:customStyle="1" w:styleId="TableBlock">
    <w:name w:val="Table Block"/>
    <w:basedOn w:val="TableText"/>
    <w:uiPriority w:val="99"/>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rsid w:val="003C758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07F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943386"/>
    <w:pPr>
      <w:tabs>
        <w:tab w:val="left" w:pos="1191"/>
        <w:tab w:val="left" w:pos="1587"/>
      </w:tabs>
      <w:spacing w:before="240" w:after="240" w:line="480" w:lineRule="auto"/>
      <w:jc w:val="center"/>
    </w:pPr>
  </w:style>
  <w:style w:type="paragraph" w:customStyle="1" w:styleId="Cover2-HatzaotHok">
    <w:name w:val="Cover 2-HatzaotHok"/>
    <w:basedOn w:val="Cover1-Reshumot"/>
    <w:rsid w:val="00943386"/>
    <w:rPr>
      <w:sz w:val="36"/>
      <w:szCs w:val="52"/>
    </w:rPr>
  </w:style>
  <w:style w:type="paragraph" w:customStyle="1" w:styleId="Cover3-Haknesset">
    <w:name w:val="Cover 3-Haknesset"/>
    <w:basedOn w:val="Cover1-Reshumot"/>
    <w:rsid w:val="00943386"/>
    <w:rPr>
      <w:b/>
      <w:bCs/>
      <w:spacing w:val="60"/>
    </w:rPr>
  </w:style>
  <w:style w:type="paragraph" w:customStyle="1" w:styleId="Cover4-Date">
    <w:name w:val="Cover 4-Date"/>
    <w:basedOn w:val="Noparagraphstyle"/>
    <w:rsid w:val="00943386"/>
    <w:pPr>
      <w:pBdr>
        <w:bottom w:val="single" w:sz="4" w:space="0" w:color="auto"/>
      </w:pBdr>
      <w:tabs>
        <w:tab w:val="center" w:pos="4820"/>
        <w:tab w:val="right" w:pos="9639"/>
      </w:tabs>
      <w:spacing w:before="240" w:after="240"/>
    </w:p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Noparagraphstyle"/>
    <w:rsid w:val="00943386"/>
    <w:pPr>
      <w:keepNext/>
      <w:keepLines/>
      <w:pageBreakBefore/>
      <w:spacing w:before="480"/>
      <w:jc w:val="both"/>
    </w:pPr>
    <w:rPr>
      <w:b/>
      <w:bCs/>
    </w:rPr>
  </w:style>
  <w:style w:type="paragraph" w:customStyle="1" w:styleId="HeadHatzaotHok">
    <w:name w:val="Head HatzaotHok"/>
    <w:basedOn w:val="Noparagraphstyle"/>
    <w:rsid w:val="00943386"/>
    <w:pPr>
      <w:keepNext/>
      <w:keepLines/>
      <w:spacing w:before="240"/>
      <w:jc w:val="center"/>
    </w:pPr>
    <w:rPr>
      <w:b/>
      <w:bCs/>
    </w:rPr>
  </w:style>
  <w:style w:type="paragraph" w:customStyle="1" w:styleId="HeadHatzaotHok4Futer">
    <w:name w:val="Head HatzaotHok4Futer"/>
    <w:basedOn w:val="HeadHatzaotHok"/>
    <w:rsid w:val="00943386"/>
    <w:pPr>
      <w:spacing w:before="120" w:after="120"/>
    </w:pPr>
    <w:rPr>
      <w:color w:val="FF0000"/>
      <w:w w:val="80"/>
    </w:rPr>
  </w:style>
  <w:style w:type="paragraph" w:styleId="a3">
    <w:name w:val="endnote text"/>
    <w:basedOn w:val="Ragil"/>
    <w:semiHidden/>
    <w:rsid w:val="00943386"/>
    <w:pPr>
      <w:ind w:left="227" w:hanging="227"/>
    </w:pPr>
    <w:rPr>
      <w:sz w:val="14"/>
      <w:szCs w:val="22"/>
    </w:rPr>
  </w:style>
  <w:style w:type="paragraph" w:customStyle="1" w:styleId="TableText">
    <w:name w:val="Table Text"/>
    <w:basedOn w:val="Ragil"/>
    <w:uiPriority w:val="99"/>
    <w:rsid w:val="00943386"/>
    <w:pPr>
      <w:keepLines/>
      <w:tabs>
        <w:tab w:val="left" w:pos="624"/>
        <w:tab w:val="left" w:pos="1247"/>
      </w:tabs>
      <w:ind w:right="57" w:firstLine="0"/>
    </w:pPr>
  </w:style>
  <w:style w:type="paragraph" w:customStyle="1" w:styleId="TableSideHeading">
    <w:name w:val="Table SideHeading"/>
    <w:basedOn w:val="TableText"/>
    <w:uiPriority w:val="99"/>
    <w:rsid w:val="00943386"/>
  </w:style>
  <w:style w:type="paragraph" w:customStyle="1" w:styleId="TableBlock">
    <w:name w:val="Table Block"/>
    <w:basedOn w:val="TableText"/>
    <w:uiPriority w:val="99"/>
    <w:rsid w:val="00943386"/>
    <w:pPr>
      <w:ind w:right="0"/>
      <w:jc w:val="both"/>
    </w:pPr>
  </w:style>
  <w:style w:type="paragraph" w:customStyle="1" w:styleId="TableHead">
    <w:name w:val="Table Head"/>
    <w:basedOn w:val="TableText"/>
    <w:rsid w:val="00943386"/>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943386"/>
  </w:style>
  <w:style w:type="paragraph" w:customStyle="1" w:styleId="Hesber">
    <w:name w:val="Hesber"/>
    <w:basedOn w:val="Ragil"/>
    <w:uiPriority w:val="99"/>
    <w:rsid w:val="00943386"/>
    <w:pPr>
      <w:jc w:val="both"/>
    </w:pPr>
  </w:style>
  <w:style w:type="paragraph" w:styleId="a4">
    <w:name w:val="footnote text"/>
    <w:basedOn w:val="Ragil"/>
    <w:link w:val="a5"/>
    <w:autoRedefine/>
    <w:uiPriority w:val="99"/>
    <w:rsid w:val="00943386"/>
    <w:pPr>
      <w:spacing w:line="240" w:lineRule="auto"/>
      <w:ind w:left="227" w:hanging="227"/>
    </w:pPr>
    <w:rPr>
      <w:sz w:val="14"/>
      <w:szCs w:val="20"/>
    </w:rPr>
  </w:style>
  <w:style w:type="character" w:styleId="a6">
    <w:name w:val="footnote reference"/>
    <w:uiPriority w:val="99"/>
    <w:rsid w:val="00943386"/>
    <w:rPr>
      <w:vertAlign w:val="superscript"/>
    </w:rPr>
  </w:style>
  <w:style w:type="paragraph" w:customStyle="1" w:styleId="HesberHeading">
    <w:name w:val="Hesber Heading"/>
    <w:basedOn w:val="Hesber"/>
    <w:rsid w:val="00943386"/>
    <w:pPr>
      <w:keepNext/>
      <w:keepLines/>
      <w:spacing w:before="240"/>
      <w:ind w:firstLine="0"/>
    </w:pPr>
    <w:rPr>
      <w:b/>
      <w:bCs/>
    </w:rPr>
  </w:style>
  <w:style w:type="paragraph" w:customStyle="1" w:styleId="HesberWriters">
    <w:name w:val="Hesber Writers"/>
    <w:basedOn w:val="Hesber"/>
    <w:rsid w:val="00943386"/>
    <w:pPr>
      <w:spacing w:before="120" w:after="6000"/>
      <w:ind w:left="1418" w:firstLine="0"/>
      <w:jc w:val="right"/>
    </w:pPr>
    <w:rPr>
      <w:b/>
      <w:bCs/>
    </w:rPr>
  </w:style>
  <w:style w:type="paragraph" w:customStyle="1" w:styleId="Hesber1st">
    <w:name w:val="Hesber 1st"/>
    <w:basedOn w:val="Hesber"/>
    <w:rsid w:val="00943386"/>
    <w:pPr>
      <w:tabs>
        <w:tab w:val="left" w:pos="680"/>
        <w:tab w:val="left" w:pos="1020"/>
      </w:tabs>
      <w:ind w:firstLine="0"/>
    </w:pPr>
  </w:style>
  <w:style w:type="character" w:styleId="a7">
    <w:name w:val="endnote reference"/>
    <w:semiHidden/>
    <w:rsid w:val="00943386"/>
    <w:rPr>
      <w:vertAlign w:val="superscript"/>
    </w:rPr>
  </w:style>
  <w:style w:type="paragraph" w:customStyle="1" w:styleId="TableBlockOutdent">
    <w:name w:val="Table BlockOutdent"/>
    <w:basedOn w:val="TableBlock"/>
    <w:rsid w:val="00943386"/>
    <w:pPr>
      <w:ind w:left="624" w:hanging="624"/>
    </w:pPr>
  </w:style>
  <w:style w:type="paragraph" w:styleId="a8">
    <w:name w:val="header"/>
    <w:basedOn w:val="a"/>
    <w:rsid w:val="00943386"/>
    <w:pPr>
      <w:tabs>
        <w:tab w:val="center" w:pos="4153"/>
        <w:tab w:val="right" w:pos="8306"/>
      </w:tabs>
    </w:pPr>
  </w:style>
  <w:style w:type="paragraph" w:styleId="a9">
    <w:name w:val="footer"/>
    <w:basedOn w:val="a"/>
    <w:rsid w:val="00943386"/>
    <w:pPr>
      <w:tabs>
        <w:tab w:val="center" w:pos="4153"/>
        <w:tab w:val="right" w:pos="8306"/>
      </w:tabs>
    </w:pPr>
  </w:style>
  <w:style w:type="paragraph" w:customStyle="1" w:styleId="HeadDivreiHesber">
    <w:name w:val="Head DivreiHesber"/>
    <w:basedOn w:val="Ragil"/>
    <w:rsid w:val="00943386"/>
    <w:pPr>
      <w:spacing w:before="360" w:after="120"/>
      <w:ind w:firstLine="0"/>
      <w:jc w:val="center"/>
    </w:pPr>
    <w:rPr>
      <w:b/>
      <w:spacing w:val="40"/>
    </w:rPr>
  </w:style>
  <w:style w:type="paragraph" w:customStyle="1" w:styleId="Ragil">
    <w:name w:val="Ragil"/>
    <w:basedOn w:val="Noparagraphstyle"/>
    <w:rsid w:val="00943386"/>
    <w:pPr>
      <w:ind w:firstLine="340"/>
    </w:p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207F8"/>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character" w:customStyle="1" w:styleId="a5">
    <w:name w:val="טקסט הערת שוליים תו"/>
    <w:basedOn w:val="a0"/>
    <w:link w:val="a4"/>
    <w:uiPriority w:val="99"/>
    <w:rsid w:val="003C758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ADC540-E353-4126-89BD-6AA1B4BDECE0}"/>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docProps/app.xml><?xml version="1.0" encoding="utf-8"?>
<Properties xmlns="http://schemas.openxmlformats.org/officeDocument/2006/extended-properties" xmlns:vt="http://schemas.openxmlformats.org/officeDocument/2006/docPropsVTypes">
  <Template>Normal</Template>
  <TotalTime>1</TotalTime>
  <Pages>1</Pages>
  <Words>243</Words>
  <Characters>1219</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רעות יהודה</dc:creator>
  <cp:keywords/>
  <dc:description/>
  <cp:lastModifiedBy>רעות יהודה</cp:lastModifiedBy>
  <cp:revision>3</cp:revision>
  <cp:lastPrinted>2014-06-26T06:56:00Z</cp:lastPrinted>
  <dcterms:created xsi:type="dcterms:W3CDTF">2013-11-20T10:57:00Z</dcterms:created>
  <dcterms:modified xsi:type="dcterms:W3CDTF">2013-11-20T10:59:00Z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