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drawings/drawing1.xml" ContentType="application/vnd.openxmlformats-officedocument.drawingml.chartshape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4D" w:rsidRPr="003B33FD" w:rsidRDefault="00A95B03" w:rsidP="006E44AA">
      <w:pPr>
        <w:keepNext/>
        <w:spacing w:after="0" w:line="312" w:lineRule="auto"/>
        <w:ind w:left="360"/>
        <w:outlineLvl w:val="0"/>
        <w:rPr>
          <w:rFonts w:ascii="Arial Bold" w:hAnsi="Arial Bold"/>
          <w:b/>
          <w:bCs/>
          <w:kern w:val="32"/>
          <w:sz w:val="32"/>
          <w:szCs w:val="34"/>
          <w:rtl/>
        </w:rPr>
      </w:pPr>
      <w:bookmarkStart w:id="0" w:name="_GoBack"/>
      <w:bookmarkEnd w:id="0"/>
      <w:r>
        <w:rPr>
          <w:rFonts w:ascii="Arial Bold" w:hAnsi="Arial Bold"/>
          <w:b/>
          <w:bCs/>
          <w:noProof/>
          <w:kern w:val="32"/>
          <w:sz w:val="32"/>
          <w:szCs w:val="34"/>
          <w:rtl/>
          <w:lang w:eastAsia="en-US"/>
        </w:rPr>
        <w:drawing>
          <wp:anchor distT="0" distB="0" distL="114300" distR="114300" simplePos="0" relativeHeight="251658240" behindDoc="1" locked="0" layoutInCell="1" allowOverlap="1" wp14:anchorId="12EC4EE3" wp14:editId="0E9B25FF">
            <wp:simplePos x="0" y="0"/>
            <wp:positionH relativeFrom="column">
              <wp:posOffset>438150</wp:posOffset>
            </wp:positionH>
            <wp:positionV relativeFrom="paragraph">
              <wp:posOffset>0</wp:posOffset>
            </wp:positionV>
            <wp:extent cx="4580890" cy="1097280"/>
            <wp:effectExtent l="0" t="0" r="0" b="7620"/>
            <wp:wrapTight wrapText="bothSides">
              <wp:wrapPolygon edited="0">
                <wp:start x="0" y="0"/>
                <wp:lineTo x="0" y="21375"/>
                <wp:lineTo x="21468" y="21375"/>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ym+40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0890" cy="1097280"/>
                    </a:xfrm>
                    <a:prstGeom prst="rect">
                      <a:avLst/>
                    </a:prstGeom>
                  </pic:spPr>
                </pic:pic>
              </a:graphicData>
            </a:graphic>
            <wp14:sizeRelH relativeFrom="page">
              <wp14:pctWidth>0</wp14:pctWidth>
            </wp14:sizeRelH>
            <wp14:sizeRelV relativeFrom="page">
              <wp14:pctHeight>0</wp14:pctHeight>
            </wp14:sizeRelV>
          </wp:anchor>
        </w:drawing>
      </w:r>
    </w:p>
    <w:p w:rsidR="003E1014" w:rsidRDefault="003E1014" w:rsidP="006E44AA">
      <w:pPr>
        <w:keepNext/>
        <w:spacing w:after="0" w:line="312" w:lineRule="auto"/>
        <w:ind w:left="360"/>
        <w:jc w:val="center"/>
        <w:outlineLvl w:val="0"/>
        <w:rPr>
          <w:rFonts w:ascii="Arial Bold" w:hAnsi="Arial Bold"/>
          <w:b/>
          <w:bCs/>
          <w:kern w:val="32"/>
          <w:sz w:val="32"/>
          <w:szCs w:val="34"/>
          <w:rtl/>
        </w:rPr>
      </w:pPr>
    </w:p>
    <w:p w:rsidR="003E1014" w:rsidRDefault="003E1014" w:rsidP="006E44AA">
      <w:pPr>
        <w:keepNext/>
        <w:spacing w:after="0" w:line="312" w:lineRule="auto"/>
        <w:ind w:left="360"/>
        <w:jc w:val="center"/>
        <w:outlineLvl w:val="0"/>
        <w:rPr>
          <w:rFonts w:ascii="Arial Bold" w:hAnsi="Arial Bold"/>
          <w:b/>
          <w:bCs/>
          <w:kern w:val="32"/>
          <w:sz w:val="32"/>
          <w:szCs w:val="34"/>
          <w:rtl/>
        </w:rPr>
      </w:pPr>
    </w:p>
    <w:p w:rsidR="003E1014" w:rsidRDefault="003E1014" w:rsidP="00F97DD4">
      <w:pPr>
        <w:keepNext/>
        <w:spacing w:after="0" w:line="312" w:lineRule="auto"/>
        <w:ind w:left="360"/>
        <w:jc w:val="right"/>
        <w:outlineLvl w:val="0"/>
        <w:rPr>
          <w:rFonts w:ascii="Arial Bold" w:hAnsi="Arial Bold"/>
          <w:b/>
          <w:bCs/>
          <w:kern w:val="32"/>
          <w:sz w:val="32"/>
          <w:szCs w:val="34"/>
          <w:rtl/>
        </w:rPr>
      </w:pPr>
    </w:p>
    <w:p w:rsidR="003E1014" w:rsidRDefault="003E1014" w:rsidP="00F97DD4">
      <w:pPr>
        <w:keepNext/>
        <w:spacing w:after="0" w:line="312" w:lineRule="auto"/>
        <w:ind w:left="360"/>
        <w:jc w:val="right"/>
        <w:outlineLvl w:val="0"/>
        <w:rPr>
          <w:rFonts w:ascii="Arial Bold" w:hAnsi="Arial Bold"/>
          <w:b/>
          <w:bCs/>
          <w:kern w:val="32"/>
          <w:sz w:val="32"/>
          <w:szCs w:val="34"/>
          <w:rtl/>
        </w:rPr>
      </w:pPr>
    </w:p>
    <w:p w:rsidR="00860D81" w:rsidRPr="00860D81" w:rsidRDefault="00860D81" w:rsidP="00A95B03">
      <w:pPr>
        <w:pStyle w:val="1"/>
        <w:spacing w:after="0"/>
        <w:jc w:val="center"/>
        <w:rPr>
          <w:sz w:val="38"/>
          <w:szCs w:val="44"/>
          <w:rtl/>
        </w:rPr>
      </w:pPr>
      <w:r w:rsidRPr="00860D81">
        <w:rPr>
          <w:sz w:val="38"/>
          <w:szCs w:val="44"/>
          <w:rtl/>
        </w:rPr>
        <w:t xml:space="preserve">הנשירה הסמויה ממערכת החינוך בישראל – </w:t>
      </w:r>
    </w:p>
    <w:p w:rsidR="00FE3C51" w:rsidRPr="00860D81" w:rsidRDefault="00860D81" w:rsidP="00A95B03">
      <w:pPr>
        <w:pStyle w:val="1"/>
        <w:spacing w:after="0"/>
        <w:jc w:val="center"/>
        <w:rPr>
          <w:sz w:val="38"/>
          <w:szCs w:val="44"/>
          <w:rtl/>
        </w:rPr>
      </w:pPr>
      <w:r w:rsidRPr="00860D81">
        <w:rPr>
          <w:sz w:val="38"/>
          <w:szCs w:val="44"/>
          <w:rtl/>
        </w:rPr>
        <w:t>מחקר חוזר</w:t>
      </w:r>
    </w:p>
    <w:p w:rsidR="00FE3C51" w:rsidRPr="00A95B03" w:rsidRDefault="005C5666" w:rsidP="00860D81">
      <w:pPr>
        <w:pStyle w:val="1"/>
        <w:spacing w:after="0"/>
        <w:jc w:val="center"/>
        <w:rPr>
          <w:sz w:val="36"/>
          <w:szCs w:val="40"/>
          <w:rtl/>
        </w:rPr>
      </w:pPr>
      <w:r w:rsidRPr="00A95B03">
        <w:rPr>
          <w:rFonts w:hint="cs"/>
          <w:sz w:val="36"/>
          <w:szCs w:val="40"/>
          <w:rtl/>
        </w:rPr>
        <w:t>ממצאים ראשונים</w:t>
      </w:r>
      <w:r w:rsidR="00D52D81" w:rsidRPr="00A95B03">
        <w:rPr>
          <w:rFonts w:hint="cs"/>
          <w:sz w:val="36"/>
          <w:szCs w:val="40"/>
          <w:rtl/>
        </w:rPr>
        <w:t xml:space="preserve"> </w:t>
      </w:r>
    </w:p>
    <w:p w:rsidR="003E1014" w:rsidRDefault="003E1014" w:rsidP="00070183">
      <w:pPr>
        <w:keepNext/>
        <w:spacing w:after="0" w:line="312" w:lineRule="auto"/>
        <w:ind w:left="360"/>
        <w:jc w:val="center"/>
        <w:outlineLvl w:val="0"/>
        <w:rPr>
          <w:rFonts w:ascii="Arial Bold" w:hAnsi="Arial Bold"/>
          <w:b/>
          <w:bCs/>
          <w:kern w:val="32"/>
          <w:sz w:val="32"/>
          <w:szCs w:val="34"/>
          <w:highlight w:val="yellow"/>
          <w:rtl/>
        </w:rPr>
      </w:pPr>
    </w:p>
    <w:p w:rsidR="003E1014" w:rsidRDefault="003E1014" w:rsidP="00070183">
      <w:pPr>
        <w:keepNext/>
        <w:spacing w:after="0" w:line="312" w:lineRule="auto"/>
        <w:ind w:left="360"/>
        <w:jc w:val="center"/>
        <w:outlineLvl w:val="0"/>
        <w:rPr>
          <w:rFonts w:ascii="Arial Bold" w:hAnsi="Arial Bold"/>
          <w:b/>
          <w:bCs/>
          <w:kern w:val="32"/>
          <w:sz w:val="32"/>
          <w:szCs w:val="34"/>
          <w:rtl/>
        </w:rPr>
      </w:pPr>
    </w:p>
    <w:p w:rsidR="003E1014" w:rsidRDefault="003E1014" w:rsidP="00070183">
      <w:pPr>
        <w:keepNext/>
        <w:spacing w:after="0" w:line="312" w:lineRule="auto"/>
        <w:ind w:left="360"/>
        <w:jc w:val="center"/>
        <w:outlineLvl w:val="0"/>
        <w:rPr>
          <w:rFonts w:ascii="Arial Bold" w:hAnsi="Arial Bold"/>
          <w:b/>
          <w:bCs/>
          <w:kern w:val="32"/>
          <w:sz w:val="32"/>
          <w:szCs w:val="34"/>
          <w:rtl/>
        </w:rPr>
      </w:pPr>
    </w:p>
    <w:p w:rsidR="003E1014" w:rsidRDefault="003E1014" w:rsidP="00070183">
      <w:pPr>
        <w:keepNext/>
        <w:spacing w:after="0" w:line="312" w:lineRule="auto"/>
        <w:ind w:left="360"/>
        <w:jc w:val="center"/>
        <w:outlineLvl w:val="0"/>
        <w:rPr>
          <w:rFonts w:ascii="Arial Bold" w:hAnsi="Arial Bold"/>
          <w:b/>
          <w:bCs/>
          <w:kern w:val="32"/>
          <w:sz w:val="32"/>
          <w:szCs w:val="34"/>
          <w:rtl/>
        </w:rPr>
      </w:pPr>
      <w:r>
        <w:rPr>
          <w:rFonts w:ascii="Arial Bold" w:hAnsi="Arial Bold" w:hint="cs"/>
          <w:b/>
          <w:bCs/>
          <w:kern w:val="32"/>
          <w:sz w:val="32"/>
          <w:szCs w:val="34"/>
          <w:rtl/>
        </w:rPr>
        <w:t>מרים נבות, דליה בן רבי, רות ברוך-קוברס</w:t>
      </w:r>
      <w:r w:rsidR="00A81C10">
        <w:rPr>
          <w:rFonts w:ascii="Arial Bold" w:hAnsi="Arial Bold" w:hint="cs"/>
          <w:b/>
          <w:bCs/>
          <w:kern w:val="32"/>
          <w:sz w:val="32"/>
          <w:szCs w:val="34"/>
          <w:rtl/>
        </w:rPr>
        <w:t>ק</w:t>
      </w:r>
      <w:r>
        <w:rPr>
          <w:rFonts w:ascii="Arial Bold" w:hAnsi="Arial Bold" w:hint="cs"/>
          <w:b/>
          <w:bCs/>
          <w:kern w:val="32"/>
          <w:sz w:val="32"/>
          <w:szCs w:val="34"/>
          <w:rtl/>
        </w:rPr>
        <w:t>י</w:t>
      </w:r>
      <w:r w:rsidR="00A81C10">
        <w:rPr>
          <w:rFonts w:ascii="Arial Bold" w:hAnsi="Arial Bold" w:hint="cs"/>
          <w:b/>
          <w:bCs/>
          <w:kern w:val="32"/>
          <w:sz w:val="32"/>
          <w:szCs w:val="34"/>
          <w:rtl/>
        </w:rPr>
        <w:t>, וצ'סלב קונסטנטינוב</w:t>
      </w:r>
    </w:p>
    <w:p w:rsidR="003E1014" w:rsidRDefault="001F2ACF" w:rsidP="00070183">
      <w:pPr>
        <w:keepNext/>
        <w:spacing w:after="0" w:line="312" w:lineRule="auto"/>
        <w:ind w:left="360"/>
        <w:jc w:val="center"/>
        <w:outlineLvl w:val="0"/>
        <w:rPr>
          <w:rFonts w:ascii="Arial Bold" w:hAnsi="Arial Bold"/>
          <w:b/>
          <w:bCs/>
          <w:kern w:val="32"/>
          <w:sz w:val="32"/>
          <w:szCs w:val="34"/>
          <w:highlight w:val="yellow"/>
          <w:rtl/>
        </w:rPr>
      </w:pPr>
      <w:r>
        <w:rPr>
          <w:rFonts w:ascii="Arial Bold" w:hAnsi="Arial Bold" w:hint="cs"/>
          <w:b/>
          <w:bCs/>
          <w:kern w:val="32"/>
          <w:sz w:val="32"/>
          <w:szCs w:val="34"/>
          <w:rtl/>
        </w:rPr>
        <w:t xml:space="preserve">  </w:t>
      </w:r>
    </w:p>
    <w:p w:rsidR="00070183" w:rsidRPr="000E37CE" w:rsidRDefault="00070183" w:rsidP="00070183">
      <w:pPr>
        <w:keepNext/>
        <w:spacing w:after="0" w:line="312" w:lineRule="auto"/>
        <w:ind w:left="360"/>
        <w:jc w:val="center"/>
        <w:outlineLvl w:val="0"/>
        <w:rPr>
          <w:rFonts w:ascii="Arial Bold" w:hAnsi="Arial Bold"/>
          <w:b/>
          <w:bCs/>
          <w:kern w:val="32"/>
          <w:sz w:val="30"/>
          <w:szCs w:val="32"/>
          <w:rtl/>
        </w:rPr>
      </w:pPr>
      <w:r w:rsidRPr="000E37CE">
        <w:rPr>
          <w:rFonts w:ascii="Arial Bold" w:hAnsi="Arial Bold" w:hint="cs"/>
          <w:b/>
          <w:bCs/>
          <w:kern w:val="32"/>
          <w:sz w:val="30"/>
          <w:szCs w:val="32"/>
          <w:rtl/>
        </w:rPr>
        <w:t>מוגש לוועדה לזכויות הילד, הכנסת,</w:t>
      </w:r>
      <w:r w:rsidRPr="000E37CE">
        <w:rPr>
          <w:rFonts w:ascii="Arial Bold" w:hAnsi="Arial Bold" w:hint="eastAsia"/>
          <w:b/>
          <w:bCs/>
          <w:kern w:val="32"/>
          <w:sz w:val="30"/>
          <w:szCs w:val="32"/>
          <w:rtl/>
        </w:rPr>
        <w:t xml:space="preserve"> יו</w:t>
      </w:r>
      <w:r w:rsidRPr="000E37CE">
        <w:rPr>
          <w:rFonts w:ascii="Arial Bold" w:hAnsi="Arial Bold" w:hint="cs"/>
          <w:b/>
          <w:bCs/>
          <w:kern w:val="32"/>
          <w:sz w:val="30"/>
          <w:szCs w:val="32"/>
          <w:rtl/>
        </w:rPr>
        <w:t>ל</w:t>
      </w:r>
      <w:r w:rsidRPr="000E37CE">
        <w:rPr>
          <w:rFonts w:ascii="Arial Bold" w:hAnsi="Arial Bold" w:hint="eastAsia"/>
          <w:b/>
          <w:bCs/>
          <w:kern w:val="32"/>
          <w:sz w:val="30"/>
          <w:szCs w:val="32"/>
          <w:rtl/>
        </w:rPr>
        <w:t>י</w:t>
      </w:r>
      <w:r w:rsidRPr="000E37CE">
        <w:rPr>
          <w:rFonts w:ascii="Arial Bold" w:hAnsi="Arial Bold"/>
          <w:b/>
          <w:bCs/>
          <w:kern w:val="32"/>
          <w:sz w:val="30"/>
          <w:szCs w:val="32"/>
          <w:rtl/>
        </w:rPr>
        <w:t xml:space="preserve"> 2014</w:t>
      </w:r>
    </w:p>
    <w:p w:rsidR="00070183" w:rsidRDefault="00070183" w:rsidP="00A95B03">
      <w:pPr>
        <w:keepNext/>
        <w:spacing w:after="0" w:line="312" w:lineRule="auto"/>
        <w:ind w:left="360"/>
        <w:jc w:val="center"/>
        <w:outlineLvl w:val="0"/>
        <w:rPr>
          <w:rFonts w:ascii="Arial Bold" w:hAnsi="Arial Bold"/>
          <w:b/>
          <w:bCs/>
          <w:kern w:val="32"/>
          <w:sz w:val="28"/>
          <w:szCs w:val="28"/>
          <w:rtl/>
        </w:rPr>
      </w:pPr>
      <w:r>
        <w:rPr>
          <w:rFonts w:ascii="Arial Bold" w:hAnsi="Arial Bold" w:hint="cs"/>
          <w:b/>
          <w:bCs/>
          <w:kern w:val="32"/>
          <w:sz w:val="28"/>
          <w:szCs w:val="28"/>
          <w:rtl/>
        </w:rPr>
        <w:t>המחקר נערך ביוזמת יו"ר הוועדה ח"כ אורלי לוי-אבוקסיס</w:t>
      </w:r>
    </w:p>
    <w:p w:rsidR="00070183" w:rsidRPr="00070183" w:rsidRDefault="00070183" w:rsidP="00070183">
      <w:pPr>
        <w:keepNext/>
        <w:spacing w:after="0" w:line="312" w:lineRule="auto"/>
        <w:ind w:left="360"/>
        <w:jc w:val="center"/>
        <w:outlineLvl w:val="0"/>
        <w:rPr>
          <w:rFonts w:ascii="Arial Bold" w:hAnsi="Arial Bold"/>
          <w:b/>
          <w:bCs/>
          <w:kern w:val="32"/>
          <w:sz w:val="28"/>
          <w:szCs w:val="28"/>
          <w:rtl/>
        </w:rPr>
      </w:pPr>
      <w:r>
        <w:rPr>
          <w:rFonts w:ascii="Arial Bold" w:hAnsi="Arial Bold" w:hint="cs"/>
          <w:b/>
          <w:bCs/>
          <w:kern w:val="32"/>
          <w:sz w:val="28"/>
          <w:szCs w:val="28"/>
          <w:rtl/>
        </w:rPr>
        <w:t>ובהזמנת מרכז המחקר והמידע של הכנסת</w:t>
      </w:r>
    </w:p>
    <w:p w:rsidR="003E1014" w:rsidRDefault="003E1014" w:rsidP="006E44AA">
      <w:pPr>
        <w:spacing w:before="20" w:after="0" w:line="312" w:lineRule="auto"/>
        <w:rPr>
          <w:sz w:val="20"/>
          <w:szCs w:val="20"/>
          <w:highlight w:val="yellow"/>
          <w:rtl/>
        </w:rPr>
      </w:pPr>
    </w:p>
    <w:p w:rsidR="003E1014" w:rsidRDefault="003E1014"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A95B03" w:rsidRDefault="00A95B03" w:rsidP="006E44AA">
      <w:pPr>
        <w:spacing w:before="20" w:after="0" w:line="312" w:lineRule="auto"/>
        <w:rPr>
          <w:sz w:val="20"/>
          <w:szCs w:val="20"/>
          <w:rtl/>
        </w:rPr>
      </w:pPr>
    </w:p>
    <w:p w:rsidR="002663F0" w:rsidRDefault="00A95B03" w:rsidP="00D85923">
      <w:pPr>
        <w:spacing w:before="20" w:after="0" w:line="312" w:lineRule="auto"/>
        <w:rPr>
          <w:sz w:val="28"/>
          <w:szCs w:val="28"/>
          <w:rtl/>
        </w:rPr>
      </w:pPr>
      <w:r w:rsidRPr="00A95B03">
        <w:rPr>
          <w:rFonts w:hint="cs"/>
          <w:sz w:val="28"/>
          <w:szCs w:val="28"/>
          <w:rtl/>
        </w:rPr>
        <w:t>תמוז תשע"ד</w:t>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r>
      <w:r w:rsidRPr="00A95B03">
        <w:rPr>
          <w:rFonts w:hint="cs"/>
          <w:sz w:val="28"/>
          <w:szCs w:val="28"/>
          <w:rtl/>
        </w:rPr>
        <w:tab/>
        <w:t>יולי</w:t>
      </w:r>
      <w:r w:rsidR="00D85923">
        <w:rPr>
          <w:sz w:val="28"/>
          <w:szCs w:val="28"/>
        </w:rPr>
        <w:t xml:space="preserve"> </w:t>
      </w:r>
      <w:r w:rsidR="00D85923">
        <w:rPr>
          <w:rFonts w:hint="cs"/>
          <w:sz w:val="28"/>
          <w:szCs w:val="28"/>
          <w:rtl/>
        </w:rPr>
        <w:t>2014</w:t>
      </w:r>
    </w:p>
    <w:p w:rsidR="002663F0" w:rsidRDefault="002663F0" w:rsidP="002663F0">
      <w:pPr>
        <w:tabs>
          <w:tab w:val="center" w:pos="4320"/>
          <w:tab w:val="right" w:pos="8640"/>
        </w:tabs>
        <w:jc w:val="left"/>
        <w:rPr>
          <w:sz w:val="28"/>
          <w:szCs w:val="28"/>
          <w:rtl/>
        </w:rPr>
      </w:pPr>
      <w:r>
        <w:rPr>
          <w:sz w:val="28"/>
          <w:szCs w:val="28"/>
          <w:rtl/>
        </w:rPr>
        <w:tab/>
      </w:r>
      <w:r>
        <w:rPr>
          <w:sz w:val="28"/>
          <w:szCs w:val="28"/>
          <w:rtl/>
        </w:rPr>
        <w:tab/>
      </w:r>
    </w:p>
    <w:p w:rsidR="002663F0" w:rsidRPr="002663F0" w:rsidRDefault="002663F0" w:rsidP="002663F0">
      <w:pPr>
        <w:rPr>
          <w:sz w:val="28"/>
          <w:szCs w:val="28"/>
          <w:rtl/>
        </w:rPr>
        <w:sectPr w:rsidR="002663F0" w:rsidRPr="002663F0" w:rsidSect="002663F0">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708" w:footer="708" w:gutter="0"/>
          <w:pgNumType w:fmt="lowerRoman" w:start="1"/>
          <w:cols w:space="708"/>
          <w:docGrid w:linePitch="360"/>
        </w:sectPr>
      </w:pPr>
    </w:p>
    <w:p w:rsidR="00D85923" w:rsidRPr="00C615B2" w:rsidRDefault="00A95B03" w:rsidP="00D85923">
      <w:pPr>
        <w:pStyle w:val="1"/>
        <w:spacing w:after="0"/>
        <w:rPr>
          <w:rtl/>
        </w:rPr>
      </w:pPr>
      <w:r w:rsidRPr="00A95B03">
        <w:rPr>
          <w:rFonts w:hint="cs"/>
          <w:sz w:val="28"/>
          <w:szCs w:val="28"/>
          <w:rtl/>
        </w:rPr>
        <w:lastRenderedPageBreak/>
        <w:t xml:space="preserve"> </w:t>
      </w:r>
      <w:r w:rsidR="00D85923" w:rsidRPr="00C615B2">
        <w:rPr>
          <w:rFonts w:hint="cs"/>
          <w:rtl/>
        </w:rPr>
        <w:t>תמצית הממצאים</w:t>
      </w:r>
    </w:p>
    <w:p w:rsidR="00D85923" w:rsidRPr="005830D1" w:rsidRDefault="00D85923" w:rsidP="003E4166">
      <w:pPr>
        <w:spacing w:after="0"/>
        <w:rPr>
          <w:rtl/>
        </w:rPr>
      </w:pPr>
      <w:r w:rsidRPr="005830D1">
        <w:rPr>
          <w:rFonts w:hint="cs"/>
          <w:rtl/>
        </w:rPr>
        <w:t>"</w:t>
      </w:r>
      <w:r w:rsidRPr="005830D1">
        <w:rPr>
          <w:rFonts w:hint="eastAsia"/>
          <w:rtl/>
        </w:rPr>
        <w:t>נושרים</w:t>
      </w:r>
      <w:r w:rsidRPr="005830D1">
        <w:rPr>
          <w:rtl/>
        </w:rPr>
        <w:t xml:space="preserve"> </w:t>
      </w:r>
      <w:r w:rsidRPr="005830D1">
        <w:rPr>
          <w:rFonts w:hint="eastAsia"/>
          <w:rtl/>
        </w:rPr>
        <w:t>סמויים</w:t>
      </w:r>
      <w:r w:rsidRPr="005830D1">
        <w:rPr>
          <w:rFonts w:hint="cs"/>
          <w:rtl/>
        </w:rPr>
        <w:t>"</w:t>
      </w:r>
      <w:r w:rsidRPr="005830D1">
        <w:rPr>
          <w:rtl/>
        </w:rPr>
        <w:t xml:space="preserve"> </w:t>
      </w:r>
      <w:r w:rsidRPr="005830D1">
        <w:rPr>
          <w:rFonts w:hint="cs"/>
          <w:rtl/>
        </w:rPr>
        <w:t xml:space="preserve">הם </w:t>
      </w:r>
      <w:r w:rsidRPr="005830D1">
        <w:rPr>
          <w:rFonts w:hint="eastAsia"/>
          <w:rtl/>
        </w:rPr>
        <w:t>תלמידים</w:t>
      </w:r>
      <w:r w:rsidRPr="005830D1">
        <w:rPr>
          <w:rtl/>
        </w:rPr>
        <w:t xml:space="preserve"> </w:t>
      </w:r>
      <w:r w:rsidRPr="005830D1">
        <w:rPr>
          <w:rFonts w:hint="eastAsia"/>
          <w:rtl/>
        </w:rPr>
        <w:t>שרשומים</w:t>
      </w:r>
      <w:r w:rsidRPr="005830D1">
        <w:rPr>
          <w:rtl/>
        </w:rPr>
        <w:t xml:space="preserve"> </w:t>
      </w:r>
      <w:r w:rsidRPr="005830D1">
        <w:rPr>
          <w:rFonts w:hint="eastAsia"/>
          <w:rtl/>
        </w:rPr>
        <w:t>בבית</w:t>
      </w:r>
      <w:r w:rsidRPr="005830D1">
        <w:rPr>
          <w:rtl/>
        </w:rPr>
        <w:t xml:space="preserve"> </w:t>
      </w:r>
      <w:r w:rsidRPr="005830D1">
        <w:rPr>
          <w:rFonts w:hint="eastAsia"/>
          <w:rtl/>
        </w:rPr>
        <w:t>הספר</w:t>
      </w:r>
      <w:r w:rsidRPr="005830D1">
        <w:rPr>
          <w:rtl/>
        </w:rPr>
        <w:t xml:space="preserve"> </w:t>
      </w:r>
      <w:r w:rsidRPr="005830D1">
        <w:rPr>
          <w:rFonts w:hint="eastAsia"/>
          <w:rtl/>
        </w:rPr>
        <w:t>באופן</w:t>
      </w:r>
      <w:r w:rsidRPr="005830D1">
        <w:rPr>
          <w:rtl/>
        </w:rPr>
        <w:t xml:space="preserve"> </w:t>
      </w:r>
      <w:r w:rsidRPr="005830D1">
        <w:rPr>
          <w:rFonts w:hint="eastAsia"/>
          <w:rtl/>
        </w:rPr>
        <w:t>פורמאלי</w:t>
      </w:r>
      <w:r w:rsidRPr="005830D1">
        <w:rPr>
          <w:rtl/>
        </w:rPr>
        <w:t xml:space="preserve"> </w:t>
      </w:r>
      <w:r w:rsidRPr="005830D1">
        <w:rPr>
          <w:rFonts w:hint="eastAsia"/>
          <w:rtl/>
        </w:rPr>
        <w:t>אך</w:t>
      </w:r>
      <w:r w:rsidRPr="005830D1">
        <w:rPr>
          <w:rtl/>
        </w:rPr>
        <w:t xml:space="preserve"> </w:t>
      </w:r>
      <w:r w:rsidRPr="005830D1">
        <w:rPr>
          <w:rFonts w:hint="eastAsia"/>
          <w:rtl/>
        </w:rPr>
        <w:t>מרגישים</w:t>
      </w:r>
      <w:r w:rsidRPr="005830D1">
        <w:rPr>
          <w:rtl/>
        </w:rPr>
        <w:t xml:space="preserve"> </w:t>
      </w:r>
      <w:r w:rsidRPr="005830D1">
        <w:rPr>
          <w:rFonts w:hint="eastAsia"/>
          <w:rtl/>
        </w:rPr>
        <w:t>מנוכרים</w:t>
      </w:r>
      <w:r w:rsidRPr="005830D1">
        <w:rPr>
          <w:rtl/>
        </w:rPr>
        <w:t xml:space="preserve"> </w:t>
      </w:r>
      <w:r w:rsidRPr="005830D1">
        <w:rPr>
          <w:rFonts w:hint="eastAsia"/>
          <w:rtl/>
        </w:rPr>
        <w:t>אל</w:t>
      </w:r>
      <w:r w:rsidRPr="005830D1">
        <w:rPr>
          <w:rtl/>
        </w:rPr>
        <w:t xml:space="preserve"> </w:t>
      </w:r>
      <w:r w:rsidRPr="005830D1">
        <w:rPr>
          <w:rFonts w:hint="eastAsia"/>
          <w:rtl/>
        </w:rPr>
        <w:t>בית</w:t>
      </w:r>
      <w:r w:rsidRPr="005830D1">
        <w:rPr>
          <w:rtl/>
        </w:rPr>
        <w:t xml:space="preserve"> </w:t>
      </w:r>
      <w:r w:rsidRPr="005830D1">
        <w:rPr>
          <w:rFonts w:hint="eastAsia"/>
          <w:rtl/>
        </w:rPr>
        <w:t>הספר</w:t>
      </w:r>
      <w:r w:rsidRPr="005830D1">
        <w:rPr>
          <w:rtl/>
        </w:rPr>
        <w:t xml:space="preserve"> </w:t>
      </w:r>
      <w:r w:rsidRPr="005830D1">
        <w:rPr>
          <w:rFonts w:hint="cs"/>
          <w:rtl/>
        </w:rPr>
        <w:t>ו</w:t>
      </w:r>
      <w:r w:rsidRPr="005830D1">
        <w:rPr>
          <w:rFonts w:hint="eastAsia"/>
          <w:rtl/>
        </w:rPr>
        <w:t>אינם</w:t>
      </w:r>
      <w:r w:rsidRPr="005830D1">
        <w:rPr>
          <w:rtl/>
        </w:rPr>
        <w:t xml:space="preserve"> </w:t>
      </w:r>
      <w:r w:rsidRPr="005830D1">
        <w:rPr>
          <w:rFonts w:hint="eastAsia"/>
          <w:rtl/>
        </w:rPr>
        <w:t>מפיקים</w:t>
      </w:r>
      <w:r w:rsidRPr="005830D1">
        <w:rPr>
          <w:rtl/>
        </w:rPr>
        <w:t xml:space="preserve"> </w:t>
      </w:r>
      <w:r w:rsidRPr="005830D1">
        <w:rPr>
          <w:rFonts w:hint="eastAsia"/>
          <w:rtl/>
        </w:rPr>
        <w:t>תועלת</w:t>
      </w:r>
      <w:r w:rsidRPr="005830D1">
        <w:rPr>
          <w:rtl/>
        </w:rPr>
        <w:t xml:space="preserve"> </w:t>
      </w:r>
      <w:r w:rsidRPr="005830D1">
        <w:rPr>
          <w:rFonts w:hint="eastAsia"/>
          <w:rtl/>
        </w:rPr>
        <w:t>ממשית</w:t>
      </w:r>
      <w:r w:rsidRPr="005830D1">
        <w:rPr>
          <w:rtl/>
        </w:rPr>
        <w:t xml:space="preserve"> </w:t>
      </w:r>
      <w:r w:rsidRPr="005830D1">
        <w:rPr>
          <w:rFonts w:hint="eastAsia"/>
          <w:rtl/>
        </w:rPr>
        <w:t>מהתהליך</w:t>
      </w:r>
      <w:r w:rsidRPr="005830D1">
        <w:rPr>
          <w:rtl/>
        </w:rPr>
        <w:t xml:space="preserve"> </w:t>
      </w:r>
      <w:r w:rsidRPr="005830D1">
        <w:rPr>
          <w:rFonts w:hint="eastAsia"/>
          <w:rtl/>
        </w:rPr>
        <w:t>הלימודי</w:t>
      </w:r>
      <w:r w:rsidRPr="005830D1">
        <w:rPr>
          <w:rFonts w:hint="cs"/>
          <w:rtl/>
        </w:rPr>
        <w:t>.</w:t>
      </w:r>
      <w:r w:rsidRPr="005830D1">
        <w:rPr>
          <w:rtl/>
        </w:rPr>
        <w:t xml:space="preserve"> </w:t>
      </w:r>
      <w:r w:rsidRPr="005830D1">
        <w:rPr>
          <w:rFonts w:hint="cs"/>
          <w:rtl/>
        </w:rPr>
        <w:t>המחקר מביא נתונים על מאפייני הנשירה הסמויה בישראל, תוך התייחסות לשינויים שחלו במהלך העשור האחרון, וזאת על סמך נתונים משאלוני פיז"ה הבינלאומיים, המועברים לתלמידים בני 15. נבחנו שלושה ממדי ניתוק</w:t>
      </w:r>
      <w:r w:rsidR="003E4166">
        <w:rPr>
          <w:rFonts w:hint="cs"/>
          <w:rtl/>
        </w:rPr>
        <w:t>:</w:t>
      </w:r>
      <w:r w:rsidRPr="005830D1">
        <w:rPr>
          <w:rFonts w:hint="cs"/>
          <w:rtl/>
        </w:rPr>
        <w:t xml:space="preserve"> ניתוק התנהגותי (היעדרויות מרובות</w:t>
      </w:r>
      <w:r w:rsidR="005941E2">
        <w:rPr>
          <w:rFonts w:hint="cs"/>
          <w:rtl/>
        </w:rPr>
        <w:t xml:space="preserve"> ואיחורים</w:t>
      </w:r>
      <w:r w:rsidRPr="005830D1">
        <w:rPr>
          <w:rFonts w:hint="cs"/>
          <w:rtl/>
        </w:rPr>
        <w:t>), ניתוק רגשי (תחושת ניכור וחוסר שייכות לבית הספר) וניתוק קוגניטיבי (התייחסות שלילית ללמידה ואי הכרה של משמעות הלמידה). להלן הממצאים העיקריים:</w:t>
      </w:r>
    </w:p>
    <w:p w:rsidR="00D85923" w:rsidRPr="005830D1" w:rsidRDefault="00DF1CBA" w:rsidP="006103BC">
      <w:pPr>
        <w:pStyle w:val="af"/>
        <w:numPr>
          <w:ilvl w:val="0"/>
          <w:numId w:val="43"/>
        </w:numPr>
      </w:pPr>
      <w:r>
        <w:rPr>
          <w:rFonts w:hint="cs"/>
          <w:rtl/>
        </w:rPr>
        <w:t xml:space="preserve">המחקר העלה כי תלמידים רבים מדווחים על ניתוק: </w:t>
      </w:r>
      <w:r w:rsidR="00D85923" w:rsidRPr="005830D1">
        <w:rPr>
          <w:rFonts w:hint="cs"/>
          <w:rtl/>
        </w:rPr>
        <w:t xml:space="preserve">בשנת 2012, 42% מהתלמידים בישראל בגיל 15 </w:t>
      </w:r>
      <w:r>
        <w:rPr>
          <w:rFonts w:hint="cs"/>
          <w:rtl/>
        </w:rPr>
        <w:t>דיווחו</w:t>
      </w:r>
      <w:r w:rsidR="00D85923" w:rsidRPr="005830D1">
        <w:rPr>
          <w:rFonts w:hint="cs"/>
          <w:rtl/>
        </w:rPr>
        <w:t xml:space="preserve"> על תחושת ניתוק בלפחות אחד מהתחומים שנבדקו:</w:t>
      </w:r>
    </w:p>
    <w:p w:rsidR="00D85923" w:rsidRPr="005830D1" w:rsidRDefault="00D85923" w:rsidP="006103BC">
      <w:pPr>
        <w:pStyle w:val="af"/>
        <w:numPr>
          <w:ilvl w:val="1"/>
          <w:numId w:val="44"/>
        </w:numPr>
      </w:pPr>
      <w:r w:rsidRPr="005830D1">
        <w:rPr>
          <w:rFonts w:hint="cs"/>
          <w:rtl/>
        </w:rPr>
        <w:t xml:space="preserve">15% דיווחו על ניתוק התנהגותי (לעומת 8% ממוצע מדינות </w:t>
      </w:r>
      <w:r w:rsidRPr="005830D1">
        <w:t>OECD</w:t>
      </w:r>
      <w:r w:rsidRPr="005830D1">
        <w:rPr>
          <w:rFonts w:hint="cs"/>
          <w:rtl/>
        </w:rPr>
        <w:t>ׂׂ</w:t>
      </w:r>
      <w:r w:rsidRPr="005830D1">
        <w:t>(</w:t>
      </w:r>
    </w:p>
    <w:p w:rsidR="00D85923" w:rsidRPr="005830D1" w:rsidRDefault="00D85923" w:rsidP="006103BC">
      <w:pPr>
        <w:pStyle w:val="af"/>
        <w:numPr>
          <w:ilvl w:val="1"/>
          <w:numId w:val="44"/>
        </w:numPr>
      </w:pPr>
      <w:r w:rsidRPr="005830D1">
        <w:rPr>
          <w:rFonts w:hint="cs"/>
          <w:rtl/>
        </w:rPr>
        <w:t>24% דיווחו על ניתוק רגשי</w:t>
      </w:r>
      <w:r w:rsidRPr="005830D1">
        <w:t xml:space="preserve"> </w:t>
      </w:r>
      <w:r w:rsidRPr="005830D1">
        <w:rPr>
          <w:rFonts w:hint="cs"/>
          <w:rtl/>
        </w:rPr>
        <w:t xml:space="preserve">(לעומת 35% ממוצע מדינות </w:t>
      </w:r>
      <w:r w:rsidRPr="005830D1">
        <w:t>OECD</w:t>
      </w:r>
      <w:r w:rsidRPr="005830D1">
        <w:rPr>
          <w:rFonts w:hint="cs"/>
          <w:rtl/>
        </w:rPr>
        <w:t>ׂׂ</w:t>
      </w:r>
      <w:r w:rsidRPr="005830D1">
        <w:t>(</w:t>
      </w:r>
    </w:p>
    <w:p w:rsidR="00D85923" w:rsidRPr="005830D1" w:rsidRDefault="00D85923" w:rsidP="006103BC">
      <w:pPr>
        <w:pStyle w:val="af"/>
        <w:numPr>
          <w:ilvl w:val="1"/>
          <w:numId w:val="44"/>
        </w:numPr>
      </w:pPr>
      <w:r w:rsidRPr="005830D1">
        <w:rPr>
          <w:rFonts w:hint="cs"/>
          <w:rtl/>
        </w:rPr>
        <w:t>22% דיווחו על ניתוק קוגניטיבי</w:t>
      </w:r>
      <w:r w:rsidRPr="005830D1">
        <w:t xml:space="preserve"> </w:t>
      </w:r>
      <w:r w:rsidRPr="005830D1">
        <w:rPr>
          <w:rFonts w:hint="cs"/>
          <w:rtl/>
        </w:rPr>
        <w:t xml:space="preserve">(לעומת 24% ממוצע מדינות </w:t>
      </w:r>
      <w:r w:rsidRPr="005830D1">
        <w:t>OECD</w:t>
      </w:r>
      <w:r w:rsidR="002663F0" w:rsidRPr="005830D1">
        <w:rPr>
          <w:rFonts w:hint="cs"/>
          <w:rtl/>
        </w:rPr>
        <w:t>ׂ)</w:t>
      </w:r>
      <w:r w:rsidRPr="005830D1">
        <w:t xml:space="preserve"> </w:t>
      </w:r>
    </w:p>
    <w:p w:rsidR="00D85923" w:rsidRPr="005830D1" w:rsidRDefault="00D85923" w:rsidP="000A2A47">
      <w:pPr>
        <w:pStyle w:val="af"/>
        <w:numPr>
          <w:ilvl w:val="0"/>
          <w:numId w:val="43"/>
        </w:numPr>
      </w:pPr>
      <w:r w:rsidRPr="005830D1">
        <w:rPr>
          <w:rFonts w:hint="eastAsia"/>
          <w:rtl/>
        </w:rPr>
        <w:t>שיעור</w:t>
      </w:r>
      <w:r w:rsidRPr="005830D1">
        <w:rPr>
          <w:rtl/>
        </w:rPr>
        <w:t xml:space="preserve"> </w:t>
      </w:r>
      <w:r w:rsidRPr="005830D1">
        <w:rPr>
          <w:rFonts w:hint="eastAsia"/>
          <w:rtl/>
        </w:rPr>
        <w:t>משמעותי</w:t>
      </w:r>
      <w:r w:rsidRPr="005830D1">
        <w:rPr>
          <w:rtl/>
        </w:rPr>
        <w:t xml:space="preserve"> </w:t>
      </w:r>
      <w:r w:rsidRPr="005830D1">
        <w:rPr>
          <w:rFonts w:hint="eastAsia"/>
          <w:rtl/>
        </w:rPr>
        <w:t>של</w:t>
      </w:r>
      <w:r w:rsidRPr="005830D1">
        <w:rPr>
          <w:rtl/>
        </w:rPr>
        <w:t xml:space="preserve"> </w:t>
      </w:r>
      <w:r w:rsidRPr="005830D1">
        <w:rPr>
          <w:rFonts w:hint="eastAsia"/>
          <w:rtl/>
        </w:rPr>
        <w:t>תלמידים</w:t>
      </w:r>
      <w:r w:rsidRPr="005830D1">
        <w:rPr>
          <w:rtl/>
        </w:rPr>
        <w:t xml:space="preserve"> </w:t>
      </w:r>
      <w:r w:rsidRPr="005830D1">
        <w:rPr>
          <w:rFonts w:hint="cs"/>
          <w:rtl/>
        </w:rPr>
        <w:t>(</w:t>
      </w:r>
      <w:r w:rsidR="000A2A47">
        <w:rPr>
          <w:rFonts w:hint="cs"/>
          <w:rtl/>
        </w:rPr>
        <w:t>13%) מדווחים על ניתוק בשני תחומים</w:t>
      </w:r>
      <w:r w:rsidRPr="005830D1">
        <w:rPr>
          <w:rFonts w:hint="cs"/>
          <w:rtl/>
        </w:rPr>
        <w:t>. עוד 3% מדווחים על ניתוק בכל שלושת התחומים. אחוזים אלה</w:t>
      </w:r>
      <w:r w:rsidRPr="005830D1">
        <w:rPr>
          <w:rtl/>
        </w:rPr>
        <w:t xml:space="preserve"> </w:t>
      </w:r>
      <w:r w:rsidRPr="005830D1">
        <w:rPr>
          <w:rFonts w:hint="eastAsia"/>
          <w:rtl/>
        </w:rPr>
        <w:t>דומ</w:t>
      </w:r>
      <w:r w:rsidRPr="005830D1">
        <w:rPr>
          <w:rFonts w:hint="cs"/>
          <w:rtl/>
        </w:rPr>
        <w:t>ים</w:t>
      </w:r>
      <w:r w:rsidRPr="005830D1">
        <w:rPr>
          <w:rtl/>
        </w:rPr>
        <w:t xml:space="preserve"> </w:t>
      </w:r>
      <w:r w:rsidRPr="005830D1">
        <w:rPr>
          <w:rFonts w:hint="eastAsia"/>
          <w:rtl/>
        </w:rPr>
        <w:t>לממוצע</w:t>
      </w:r>
      <w:r w:rsidRPr="005830D1">
        <w:rPr>
          <w:rtl/>
        </w:rPr>
        <w:t xml:space="preserve"> </w:t>
      </w:r>
      <w:r w:rsidRPr="005830D1">
        <w:rPr>
          <w:rFonts w:hint="eastAsia"/>
          <w:rtl/>
        </w:rPr>
        <w:t>במדינות</w:t>
      </w:r>
      <w:r w:rsidRPr="005830D1">
        <w:rPr>
          <w:rtl/>
        </w:rPr>
        <w:t xml:space="preserve"> </w:t>
      </w:r>
      <w:r w:rsidRPr="005830D1">
        <w:rPr>
          <w:rFonts w:hint="eastAsia"/>
          <w:rtl/>
        </w:rPr>
        <w:t>ה</w:t>
      </w:r>
      <w:r w:rsidRPr="005830D1">
        <w:rPr>
          <w:rFonts w:hint="cs"/>
          <w:rtl/>
        </w:rPr>
        <w:t>-</w:t>
      </w:r>
      <w:r w:rsidRPr="005830D1">
        <w:rPr>
          <w:rtl/>
        </w:rPr>
        <w:t xml:space="preserve"> </w:t>
      </w:r>
      <w:r w:rsidRPr="005830D1">
        <w:t>OECD</w:t>
      </w:r>
      <w:r w:rsidRPr="005830D1">
        <w:rPr>
          <w:rtl/>
        </w:rPr>
        <w:t xml:space="preserve">. </w:t>
      </w:r>
    </w:p>
    <w:p w:rsidR="005830D1" w:rsidRDefault="005830D1" w:rsidP="003E4166">
      <w:pPr>
        <w:pStyle w:val="af"/>
        <w:numPr>
          <w:ilvl w:val="0"/>
          <w:numId w:val="43"/>
        </w:numPr>
      </w:pPr>
      <w:r w:rsidRPr="005830D1">
        <w:rPr>
          <w:rtl/>
        </w:rPr>
        <w:t xml:space="preserve">הדיווח על שניים או שלושה </w:t>
      </w:r>
      <w:r w:rsidR="003E4166" w:rsidRPr="005830D1">
        <w:rPr>
          <w:rtl/>
        </w:rPr>
        <w:t>מ</w:t>
      </w:r>
      <w:r w:rsidR="003E4166">
        <w:rPr>
          <w:rFonts w:hint="cs"/>
          <w:rtl/>
        </w:rPr>
        <w:t>מ</w:t>
      </w:r>
      <w:r w:rsidR="003E4166" w:rsidRPr="005830D1">
        <w:rPr>
          <w:rtl/>
        </w:rPr>
        <w:t xml:space="preserve">די </w:t>
      </w:r>
      <w:r w:rsidRPr="005830D1">
        <w:rPr>
          <w:rtl/>
        </w:rPr>
        <w:t xml:space="preserve">ניתוק היה גבוה במיוחד בקרב בנים </w:t>
      </w:r>
      <w:r w:rsidR="00F26C39">
        <w:rPr>
          <w:rtl/>
        </w:rPr>
        <w:t>בחינוך הערבי</w:t>
      </w:r>
      <w:r w:rsidRPr="005830D1">
        <w:rPr>
          <w:rtl/>
        </w:rPr>
        <w:t xml:space="preserve"> (26%), לעומת 15-16% בקרב בנים ובנות </w:t>
      </w:r>
      <w:r w:rsidR="00F26C39">
        <w:rPr>
          <w:rtl/>
        </w:rPr>
        <w:t>בחינוך העברי</w:t>
      </w:r>
      <w:r w:rsidRPr="005830D1">
        <w:rPr>
          <w:rtl/>
        </w:rPr>
        <w:t xml:space="preserve">, ו-10% בלבד בקרב בנות </w:t>
      </w:r>
      <w:r w:rsidR="00F26C39">
        <w:rPr>
          <w:rtl/>
        </w:rPr>
        <w:t>בחינוך הערבי</w:t>
      </w:r>
      <w:r w:rsidRPr="005830D1">
        <w:rPr>
          <w:rtl/>
        </w:rPr>
        <w:t xml:space="preserve">. </w:t>
      </w:r>
    </w:p>
    <w:p w:rsidR="005941E2" w:rsidRPr="005830D1" w:rsidRDefault="005941E2" w:rsidP="00E0677D">
      <w:pPr>
        <w:pStyle w:val="af"/>
        <w:numPr>
          <w:ilvl w:val="0"/>
          <w:numId w:val="43"/>
        </w:numPr>
        <w:rPr>
          <w:rtl/>
        </w:rPr>
      </w:pPr>
      <w:r>
        <w:rPr>
          <w:rFonts w:hint="cs"/>
          <w:rtl/>
        </w:rPr>
        <w:t xml:space="preserve">מידע מסקרים נוספים (סקר </w:t>
      </w:r>
      <w:r>
        <w:rPr>
          <w:rFonts w:hint="cs"/>
        </w:rPr>
        <w:t>HBSC</w:t>
      </w:r>
      <w:r>
        <w:rPr>
          <w:rFonts w:hint="cs"/>
          <w:rtl/>
        </w:rPr>
        <w:t xml:space="preserve">, נתוני התכנית הלאומית לילדים ונוער בסיכון) מראה שהיבטים שונים של ניתוק קיימים כבר בבית הספר היסודי. </w:t>
      </w:r>
    </w:p>
    <w:p w:rsidR="00E0677D" w:rsidRDefault="00D85923" w:rsidP="003E4166">
      <w:pPr>
        <w:pStyle w:val="af"/>
        <w:numPr>
          <w:ilvl w:val="0"/>
          <w:numId w:val="43"/>
        </w:numPr>
      </w:pPr>
      <w:r w:rsidRPr="005830D1">
        <w:rPr>
          <w:rtl/>
        </w:rPr>
        <w:t xml:space="preserve">במהלך שנות ה-2000 חלה ירידה משמעותית </w:t>
      </w:r>
      <w:r w:rsidR="005941E2">
        <w:rPr>
          <w:rFonts w:hint="cs"/>
          <w:rtl/>
        </w:rPr>
        <w:t xml:space="preserve">בקרב בני 15 בישראל </w:t>
      </w:r>
      <w:r w:rsidRPr="005830D1">
        <w:rPr>
          <w:rtl/>
        </w:rPr>
        <w:t>בממד הניתוק ההתנהגותי</w:t>
      </w:r>
      <w:r w:rsidR="005941E2">
        <w:rPr>
          <w:rFonts w:hint="cs"/>
          <w:rtl/>
        </w:rPr>
        <w:t xml:space="preserve">, </w:t>
      </w:r>
      <w:r w:rsidRPr="005830D1">
        <w:rPr>
          <w:rtl/>
        </w:rPr>
        <w:t xml:space="preserve">מ-33% בשנת 2002 ל-15% בשנת 2012 (ירידה של 55%). </w:t>
      </w:r>
    </w:p>
    <w:p w:rsidR="00255D30" w:rsidRDefault="00255D30" w:rsidP="00B00ADA">
      <w:pPr>
        <w:pStyle w:val="af"/>
        <w:numPr>
          <w:ilvl w:val="0"/>
          <w:numId w:val="43"/>
        </w:numPr>
      </w:pPr>
      <w:r w:rsidRPr="005830D1">
        <w:rPr>
          <w:rFonts w:hint="cs"/>
          <w:rtl/>
        </w:rPr>
        <w:t xml:space="preserve">בסקר </w:t>
      </w:r>
      <w:r w:rsidRPr="005830D1">
        <w:rPr>
          <w:rFonts w:hint="cs"/>
        </w:rPr>
        <w:t>HBS</w:t>
      </w:r>
      <w:r w:rsidRPr="005830D1">
        <w:t>C</w:t>
      </w:r>
      <w:r w:rsidRPr="005830D1">
        <w:rPr>
          <w:rFonts w:hint="cs"/>
          <w:rtl/>
        </w:rPr>
        <w:t xml:space="preserve">, בו ניתן </w:t>
      </w:r>
      <w:r w:rsidRPr="005830D1">
        <w:rPr>
          <w:rtl/>
        </w:rPr>
        <w:t>ל</w:t>
      </w:r>
      <w:r w:rsidRPr="005830D1">
        <w:rPr>
          <w:rFonts w:hint="cs"/>
          <w:rtl/>
        </w:rPr>
        <w:t xml:space="preserve">בחון שינויים בין השנים במגזרים שונים, נמצאה </w:t>
      </w:r>
      <w:r w:rsidRPr="006103BC">
        <w:rPr>
          <w:rtl/>
        </w:rPr>
        <w:t>עלייה</w:t>
      </w:r>
      <w:r w:rsidRPr="005830D1">
        <w:rPr>
          <w:rtl/>
        </w:rPr>
        <w:t xml:space="preserve"> בין השנים 1998 ל-2010</w:t>
      </w:r>
      <w:r w:rsidR="001B6571">
        <w:rPr>
          <w:rFonts w:hint="cs"/>
          <w:rtl/>
        </w:rPr>
        <w:t>/11</w:t>
      </w:r>
      <w:r w:rsidRPr="005830D1">
        <w:rPr>
          <w:rFonts w:hint="cs"/>
          <w:rtl/>
        </w:rPr>
        <w:t xml:space="preserve"> </w:t>
      </w:r>
      <w:r w:rsidRPr="005830D1">
        <w:rPr>
          <w:rtl/>
        </w:rPr>
        <w:t xml:space="preserve">בהיקף </w:t>
      </w:r>
      <w:r w:rsidRPr="005830D1">
        <w:rPr>
          <w:rFonts w:hint="cs"/>
          <w:rtl/>
        </w:rPr>
        <w:t xml:space="preserve">הדיווח על ניתוק התנהגותי (היעדרויות) </w:t>
      </w:r>
      <w:r w:rsidRPr="005830D1">
        <w:rPr>
          <w:rtl/>
        </w:rPr>
        <w:t>בקרב בנים</w:t>
      </w:r>
      <w:r w:rsidR="00F26C39">
        <w:rPr>
          <w:rFonts w:hint="cs"/>
          <w:rtl/>
        </w:rPr>
        <w:t xml:space="preserve"> ובנות</w:t>
      </w:r>
      <w:r w:rsidRPr="005830D1">
        <w:rPr>
          <w:rtl/>
        </w:rPr>
        <w:t xml:space="preserve"> </w:t>
      </w:r>
      <w:r w:rsidR="00F26C39">
        <w:rPr>
          <w:rtl/>
        </w:rPr>
        <w:t>בחינוך הערבי</w:t>
      </w:r>
      <w:r w:rsidRPr="005830D1">
        <w:rPr>
          <w:rFonts w:hint="cs"/>
          <w:rtl/>
        </w:rPr>
        <w:t xml:space="preserve">, </w:t>
      </w:r>
      <w:r w:rsidRPr="005830D1">
        <w:rPr>
          <w:rtl/>
        </w:rPr>
        <w:t xml:space="preserve">לעומת ירידה בקרב </w:t>
      </w:r>
      <w:r w:rsidRPr="005830D1">
        <w:rPr>
          <w:rFonts w:hint="cs"/>
          <w:rtl/>
        </w:rPr>
        <w:t xml:space="preserve">בנים </w:t>
      </w:r>
      <w:r w:rsidR="00F26C39">
        <w:rPr>
          <w:rFonts w:hint="cs"/>
          <w:rtl/>
        </w:rPr>
        <w:t>ובנות בחינוך העברי</w:t>
      </w:r>
      <w:r w:rsidR="005830D1" w:rsidRPr="005830D1">
        <w:rPr>
          <w:rFonts w:hint="cs"/>
          <w:rtl/>
        </w:rPr>
        <w:t xml:space="preserve">. </w:t>
      </w:r>
      <w:r w:rsidR="005941E2">
        <w:rPr>
          <w:rFonts w:hint="cs"/>
          <w:rtl/>
        </w:rPr>
        <w:t xml:space="preserve">זאת, על רקע ירידה בהיקף  הנשירה הגלויה בקבוצות אלה. </w:t>
      </w:r>
    </w:p>
    <w:p w:rsidR="00E0677D" w:rsidRPr="005830D1" w:rsidRDefault="00E0677D" w:rsidP="003E4166">
      <w:pPr>
        <w:pStyle w:val="af"/>
        <w:numPr>
          <w:ilvl w:val="0"/>
          <w:numId w:val="43"/>
        </w:numPr>
      </w:pPr>
      <w:r>
        <w:rPr>
          <w:rFonts w:hint="cs"/>
          <w:rtl/>
        </w:rPr>
        <w:t>יחסים שליליים עם מורים נחשבים כמשפיעים על תחושת ניתוק של תלמידים. נמצא ש</w:t>
      </w:r>
      <w:r w:rsidRPr="005830D1">
        <w:rPr>
          <w:rtl/>
        </w:rPr>
        <w:t xml:space="preserve">תלמידים </w:t>
      </w:r>
      <w:r>
        <w:rPr>
          <w:rFonts w:hint="cs"/>
          <w:rtl/>
        </w:rPr>
        <w:t xml:space="preserve">שתפסו את יחס המורים אליהם כשלילי יותר, דיווחו על מספר רב </w:t>
      </w:r>
      <w:r w:rsidRPr="005830D1">
        <w:rPr>
          <w:rtl/>
        </w:rPr>
        <w:t xml:space="preserve">יותר </w:t>
      </w:r>
      <w:r>
        <w:rPr>
          <w:rFonts w:hint="cs"/>
          <w:rtl/>
        </w:rPr>
        <w:t xml:space="preserve">של ממדי </w:t>
      </w:r>
      <w:r w:rsidRPr="005830D1">
        <w:rPr>
          <w:rtl/>
        </w:rPr>
        <w:t>ניתוק</w:t>
      </w:r>
      <w:r>
        <w:rPr>
          <w:rFonts w:hint="cs"/>
          <w:rtl/>
        </w:rPr>
        <w:t xml:space="preserve">. </w:t>
      </w:r>
    </w:p>
    <w:p w:rsidR="00DF1CBA" w:rsidRPr="00E0677D" w:rsidRDefault="00DF1CBA" w:rsidP="00DF1CBA">
      <w:pPr>
        <w:pStyle w:val="af"/>
        <w:numPr>
          <w:ilvl w:val="0"/>
          <w:numId w:val="43"/>
        </w:numPr>
      </w:pPr>
      <w:r w:rsidRPr="00E0677D">
        <w:rPr>
          <w:rFonts w:hint="eastAsia"/>
          <w:rtl/>
        </w:rPr>
        <w:t>לתלמידים</w:t>
      </w:r>
      <w:r w:rsidRPr="00E0677D">
        <w:rPr>
          <w:rtl/>
        </w:rPr>
        <w:t xml:space="preserve"> המדווחים על ניתוק גם קשיים נוספים בתחומים רבים: </w:t>
      </w:r>
    </w:p>
    <w:p w:rsidR="00DF1CBA" w:rsidRDefault="00D85923" w:rsidP="00DF1CBA">
      <w:pPr>
        <w:pStyle w:val="af"/>
        <w:numPr>
          <w:ilvl w:val="1"/>
          <w:numId w:val="43"/>
        </w:numPr>
      </w:pPr>
      <w:r w:rsidRPr="005830D1">
        <w:rPr>
          <w:rFonts w:hint="cs"/>
          <w:rtl/>
        </w:rPr>
        <w:lastRenderedPageBreak/>
        <w:t xml:space="preserve">ככל שתלמידים מדווחים על מספר רב יותר של ממדי ניתוק, כך גם הישגיהם בתחומים הלימודיים במבחני פיז"ה נמוכים יותר. </w:t>
      </w:r>
    </w:p>
    <w:p w:rsidR="002663F0" w:rsidRDefault="00D85923" w:rsidP="001B6571">
      <w:pPr>
        <w:pStyle w:val="af"/>
        <w:numPr>
          <w:ilvl w:val="1"/>
          <w:numId w:val="43"/>
        </w:numPr>
      </w:pPr>
      <w:r w:rsidRPr="005830D1">
        <w:rPr>
          <w:rFonts w:hint="eastAsia"/>
          <w:rtl/>
        </w:rPr>
        <w:t>תלמידים</w:t>
      </w:r>
      <w:r w:rsidRPr="005830D1">
        <w:rPr>
          <w:rtl/>
        </w:rPr>
        <w:t xml:space="preserve"> </w:t>
      </w:r>
      <w:r w:rsidRPr="005830D1">
        <w:rPr>
          <w:rFonts w:hint="cs"/>
          <w:rtl/>
        </w:rPr>
        <w:t xml:space="preserve">שדיווחו גם על ניתוק התנהגותי וגם על ניתוק רגשי דיווחו בשיעורים גבוהים יותר מתלמידים אחרים על התנהגויות סיכון (עישון סיגריות, שתיית אלכוהול, שימוש בסמים), על מעורבות באלימות ועל היותם קורבנות לאלימות, על </w:t>
      </w:r>
      <w:r w:rsidRPr="005830D1">
        <w:rPr>
          <w:rFonts w:hint="eastAsia"/>
          <w:rtl/>
        </w:rPr>
        <w:t>בעיות</w:t>
      </w:r>
      <w:r w:rsidRPr="005830D1">
        <w:rPr>
          <w:rtl/>
        </w:rPr>
        <w:t xml:space="preserve"> </w:t>
      </w:r>
      <w:r w:rsidRPr="005830D1">
        <w:rPr>
          <w:rFonts w:hint="eastAsia"/>
          <w:rtl/>
        </w:rPr>
        <w:t>רגשיות</w:t>
      </w:r>
      <w:r w:rsidRPr="005830D1">
        <w:rPr>
          <w:rtl/>
        </w:rPr>
        <w:t xml:space="preserve"> (</w:t>
      </w:r>
      <w:r w:rsidRPr="005830D1">
        <w:rPr>
          <w:rFonts w:hint="eastAsia"/>
          <w:rtl/>
        </w:rPr>
        <w:t>תחושת</w:t>
      </w:r>
      <w:r w:rsidRPr="005830D1">
        <w:rPr>
          <w:rtl/>
        </w:rPr>
        <w:t xml:space="preserve"> </w:t>
      </w:r>
      <w:r w:rsidRPr="005830D1">
        <w:rPr>
          <w:rFonts w:hint="eastAsia"/>
          <w:rtl/>
        </w:rPr>
        <w:t>בדידות</w:t>
      </w:r>
      <w:r w:rsidRPr="005830D1">
        <w:rPr>
          <w:rtl/>
        </w:rPr>
        <w:t xml:space="preserve">, </w:t>
      </w:r>
      <w:r w:rsidRPr="005830D1">
        <w:rPr>
          <w:rFonts w:hint="eastAsia"/>
          <w:rtl/>
        </w:rPr>
        <w:t>סימפטומים</w:t>
      </w:r>
      <w:r w:rsidRPr="005830D1">
        <w:rPr>
          <w:rtl/>
        </w:rPr>
        <w:t xml:space="preserve"> </w:t>
      </w:r>
      <w:r w:rsidRPr="005830D1">
        <w:rPr>
          <w:rFonts w:hint="eastAsia"/>
          <w:rtl/>
        </w:rPr>
        <w:t>גופניים</w:t>
      </w:r>
      <w:r w:rsidRPr="005830D1">
        <w:rPr>
          <w:rtl/>
        </w:rPr>
        <w:t xml:space="preserve"> </w:t>
      </w:r>
      <w:r w:rsidRPr="005830D1">
        <w:rPr>
          <w:rFonts w:hint="eastAsia"/>
          <w:rtl/>
        </w:rPr>
        <w:t>ונפשיים</w:t>
      </w:r>
      <w:r w:rsidRPr="005830D1">
        <w:rPr>
          <w:rtl/>
        </w:rPr>
        <w:t>)</w:t>
      </w:r>
      <w:r w:rsidRPr="005830D1">
        <w:rPr>
          <w:rFonts w:hint="cs"/>
          <w:rtl/>
        </w:rPr>
        <w:t xml:space="preserve"> ועל קשיים </w:t>
      </w:r>
      <w:r w:rsidRPr="005830D1">
        <w:rPr>
          <w:rFonts w:hint="eastAsia"/>
          <w:rtl/>
        </w:rPr>
        <w:t>בתקשורת</w:t>
      </w:r>
      <w:r w:rsidRPr="005830D1">
        <w:rPr>
          <w:rtl/>
        </w:rPr>
        <w:t xml:space="preserve"> </w:t>
      </w:r>
      <w:r w:rsidRPr="005830D1">
        <w:rPr>
          <w:rFonts w:hint="eastAsia"/>
          <w:rtl/>
        </w:rPr>
        <w:t>עם</w:t>
      </w:r>
      <w:r w:rsidRPr="005830D1">
        <w:rPr>
          <w:rtl/>
        </w:rPr>
        <w:t xml:space="preserve"> </w:t>
      </w:r>
      <w:r w:rsidRPr="005830D1">
        <w:rPr>
          <w:rFonts w:hint="eastAsia"/>
          <w:rtl/>
        </w:rPr>
        <w:t>הורי</w:t>
      </w:r>
      <w:r w:rsidRPr="005830D1">
        <w:rPr>
          <w:rFonts w:hint="cs"/>
          <w:rtl/>
        </w:rPr>
        <w:t>ה</w:t>
      </w:r>
      <w:r w:rsidRPr="005830D1">
        <w:rPr>
          <w:rFonts w:hint="eastAsia"/>
          <w:rtl/>
        </w:rPr>
        <w:t>ם</w:t>
      </w:r>
      <w:r w:rsidRPr="005830D1">
        <w:rPr>
          <w:rFonts w:hint="cs"/>
          <w:rtl/>
        </w:rPr>
        <w:t xml:space="preserve"> (לפי סקר </w:t>
      </w:r>
      <w:r w:rsidRPr="005830D1">
        <w:rPr>
          <w:rFonts w:hint="cs"/>
        </w:rPr>
        <w:t>HBSC</w:t>
      </w:r>
      <w:r w:rsidRPr="005830D1">
        <w:rPr>
          <w:rFonts w:hint="cs"/>
          <w:rtl/>
        </w:rPr>
        <w:t xml:space="preserve"> משנת 201</w:t>
      </w:r>
      <w:r w:rsidR="001B6571">
        <w:rPr>
          <w:rFonts w:hint="cs"/>
          <w:rtl/>
        </w:rPr>
        <w:t>0/11</w:t>
      </w:r>
      <w:r w:rsidRPr="005830D1">
        <w:rPr>
          <w:rFonts w:hint="cs"/>
          <w:rtl/>
        </w:rPr>
        <w:t>, המתייחס לתלמידים בכיתות ו-יב).</w:t>
      </w:r>
      <w:r w:rsidRPr="00D85923">
        <w:rPr>
          <w:rFonts w:hint="cs"/>
          <w:rtl/>
        </w:rPr>
        <w:t xml:space="preserve"> </w:t>
      </w:r>
    </w:p>
    <w:p w:rsidR="00DF1CBA" w:rsidRDefault="00DF1CBA" w:rsidP="00531679">
      <w:pPr>
        <w:rPr>
          <w:rtl/>
        </w:rPr>
        <w:sectPr w:rsidR="00DF1CBA" w:rsidSect="002663F0">
          <w:pgSz w:w="12240" w:h="15840"/>
          <w:pgMar w:top="1440" w:right="1800" w:bottom="1440" w:left="1800" w:header="708" w:footer="708" w:gutter="0"/>
          <w:pgNumType w:fmt="lowerRoman" w:start="1"/>
          <w:cols w:space="708"/>
          <w:docGrid w:linePitch="360"/>
        </w:sectPr>
      </w:pPr>
    </w:p>
    <w:p w:rsidR="00794707" w:rsidRPr="00794707" w:rsidRDefault="00A95B03" w:rsidP="002663F0">
      <w:pPr>
        <w:pStyle w:val="1"/>
        <w:spacing w:after="0"/>
        <w:rPr>
          <w:rtl/>
        </w:rPr>
      </w:pPr>
      <w:r>
        <w:rPr>
          <w:rFonts w:hint="cs"/>
          <w:rtl/>
        </w:rPr>
        <w:lastRenderedPageBreak/>
        <w:t xml:space="preserve">1. </w:t>
      </w:r>
      <w:r w:rsidR="00794707" w:rsidRPr="00794707">
        <w:rPr>
          <w:rFonts w:hint="eastAsia"/>
          <w:rtl/>
        </w:rPr>
        <w:t>נשירה</w:t>
      </w:r>
      <w:r w:rsidR="00794707" w:rsidRPr="00794707">
        <w:rPr>
          <w:rtl/>
        </w:rPr>
        <w:t xml:space="preserve"> </w:t>
      </w:r>
      <w:r w:rsidR="00794707" w:rsidRPr="00794707">
        <w:rPr>
          <w:rFonts w:hint="eastAsia"/>
          <w:rtl/>
        </w:rPr>
        <w:t>סמויה</w:t>
      </w:r>
      <w:r w:rsidR="00794707" w:rsidRPr="00794707">
        <w:rPr>
          <w:rtl/>
        </w:rPr>
        <w:t xml:space="preserve">: </w:t>
      </w:r>
      <w:r w:rsidR="00794707" w:rsidRPr="00794707">
        <w:rPr>
          <w:rFonts w:hint="eastAsia"/>
          <w:rtl/>
        </w:rPr>
        <w:t>הגדרה</w:t>
      </w:r>
      <w:r w:rsidR="00794707" w:rsidRPr="00794707">
        <w:rPr>
          <w:rtl/>
        </w:rPr>
        <w:t xml:space="preserve"> </w:t>
      </w:r>
      <w:r w:rsidR="00794707" w:rsidRPr="00794707">
        <w:rPr>
          <w:rFonts w:hint="eastAsia"/>
          <w:rtl/>
        </w:rPr>
        <w:t>ומדידה</w:t>
      </w:r>
    </w:p>
    <w:p w:rsidR="00A95B03" w:rsidRDefault="00F474C6" w:rsidP="003E4166">
      <w:pPr>
        <w:contextualSpacing/>
        <w:rPr>
          <w:rtl/>
        </w:rPr>
      </w:pPr>
      <w:r w:rsidRPr="00794707">
        <w:rPr>
          <w:rFonts w:hint="eastAsia"/>
          <w:rtl/>
        </w:rPr>
        <w:t>בשנים</w:t>
      </w:r>
      <w:r w:rsidRPr="00794707">
        <w:rPr>
          <w:rtl/>
        </w:rPr>
        <w:t xml:space="preserve"> </w:t>
      </w:r>
      <w:r w:rsidRPr="00794707">
        <w:rPr>
          <w:rFonts w:hint="eastAsia"/>
          <w:rtl/>
        </w:rPr>
        <w:t>האחרונות</w:t>
      </w:r>
      <w:r w:rsidRPr="00794707">
        <w:rPr>
          <w:rtl/>
        </w:rPr>
        <w:t xml:space="preserve"> </w:t>
      </w:r>
      <w:r w:rsidRPr="00794707">
        <w:rPr>
          <w:rFonts w:hint="eastAsia"/>
          <w:rtl/>
        </w:rPr>
        <w:t>חלה</w:t>
      </w:r>
      <w:r w:rsidRPr="00794707">
        <w:rPr>
          <w:rtl/>
        </w:rPr>
        <w:t xml:space="preserve"> </w:t>
      </w:r>
      <w:r w:rsidRPr="00794707">
        <w:rPr>
          <w:rFonts w:hint="eastAsia"/>
          <w:rtl/>
        </w:rPr>
        <w:t>ירידה</w:t>
      </w:r>
      <w:r w:rsidRPr="00794707">
        <w:rPr>
          <w:rtl/>
        </w:rPr>
        <w:t xml:space="preserve"> </w:t>
      </w:r>
      <w:r w:rsidRPr="00794707">
        <w:rPr>
          <w:rFonts w:hint="eastAsia"/>
          <w:rtl/>
        </w:rPr>
        <w:t>בתופעת</w:t>
      </w:r>
      <w:r w:rsidRPr="00794707">
        <w:rPr>
          <w:rtl/>
        </w:rPr>
        <w:t xml:space="preserve"> </w:t>
      </w:r>
      <w:r w:rsidRPr="00794707">
        <w:rPr>
          <w:rFonts w:hint="eastAsia"/>
          <w:rtl/>
        </w:rPr>
        <w:t>הנשירה</w:t>
      </w:r>
      <w:r w:rsidRPr="00794707">
        <w:rPr>
          <w:rtl/>
        </w:rPr>
        <w:t xml:space="preserve"> </w:t>
      </w:r>
      <w:r w:rsidR="003E1014">
        <w:rPr>
          <w:rFonts w:hint="cs"/>
          <w:rtl/>
        </w:rPr>
        <w:t xml:space="preserve">"הגלויה" </w:t>
      </w:r>
      <w:r w:rsidRPr="00794707">
        <w:rPr>
          <w:rFonts w:hint="eastAsia"/>
          <w:rtl/>
        </w:rPr>
        <w:t>של</w:t>
      </w:r>
      <w:r w:rsidRPr="00794707">
        <w:rPr>
          <w:rtl/>
        </w:rPr>
        <w:t xml:space="preserve"> </w:t>
      </w:r>
      <w:r w:rsidRPr="00794707">
        <w:rPr>
          <w:rFonts w:hint="eastAsia"/>
          <w:rtl/>
        </w:rPr>
        <w:t>תלמידים</w:t>
      </w:r>
      <w:r w:rsidRPr="00794707">
        <w:rPr>
          <w:rtl/>
        </w:rPr>
        <w:t xml:space="preserve"> </w:t>
      </w:r>
      <w:r w:rsidRPr="00794707">
        <w:rPr>
          <w:rFonts w:hint="eastAsia"/>
          <w:rtl/>
        </w:rPr>
        <w:t>מבתי</w:t>
      </w:r>
      <w:r w:rsidRPr="00794707">
        <w:rPr>
          <w:rtl/>
        </w:rPr>
        <w:t xml:space="preserve"> </w:t>
      </w:r>
      <w:r w:rsidRPr="00794707">
        <w:rPr>
          <w:rFonts w:hint="eastAsia"/>
          <w:rtl/>
        </w:rPr>
        <w:t>הספר</w:t>
      </w:r>
      <w:r w:rsidRPr="00794707">
        <w:rPr>
          <w:rtl/>
        </w:rPr>
        <w:t xml:space="preserve">. </w:t>
      </w:r>
      <w:r w:rsidRPr="00794707">
        <w:rPr>
          <w:rFonts w:hint="eastAsia"/>
          <w:rtl/>
        </w:rPr>
        <w:t>כך</w:t>
      </w:r>
      <w:r w:rsidRPr="00794707">
        <w:rPr>
          <w:rtl/>
        </w:rPr>
        <w:t xml:space="preserve">, </w:t>
      </w:r>
      <w:r w:rsidRPr="00794707">
        <w:rPr>
          <w:rFonts w:hint="eastAsia"/>
          <w:rtl/>
        </w:rPr>
        <w:t>בשנת</w:t>
      </w:r>
      <w:r w:rsidRPr="00794707">
        <w:rPr>
          <w:rtl/>
        </w:rPr>
        <w:t xml:space="preserve"> 2000 14.1% </w:t>
      </w:r>
      <w:r w:rsidRPr="00794707">
        <w:rPr>
          <w:rFonts w:hint="eastAsia"/>
          <w:rtl/>
        </w:rPr>
        <w:t>מבני</w:t>
      </w:r>
      <w:r w:rsidRPr="00794707">
        <w:rPr>
          <w:rtl/>
        </w:rPr>
        <w:t xml:space="preserve"> </w:t>
      </w:r>
      <w:r w:rsidRPr="00794707">
        <w:rPr>
          <w:rFonts w:hint="eastAsia"/>
          <w:rtl/>
        </w:rPr>
        <w:t>ה</w:t>
      </w:r>
      <w:r w:rsidRPr="00794707">
        <w:rPr>
          <w:rtl/>
        </w:rPr>
        <w:t xml:space="preserve">-17 </w:t>
      </w:r>
      <w:r w:rsidRPr="00794707">
        <w:rPr>
          <w:rFonts w:hint="eastAsia"/>
          <w:rtl/>
        </w:rPr>
        <w:t>לא</w:t>
      </w:r>
      <w:r w:rsidRPr="00794707">
        <w:rPr>
          <w:rtl/>
        </w:rPr>
        <w:t xml:space="preserve"> </w:t>
      </w:r>
      <w:r w:rsidRPr="00794707">
        <w:rPr>
          <w:rFonts w:hint="eastAsia"/>
          <w:rtl/>
        </w:rPr>
        <w:t>היו</w:t>
      </w:r>
      <w:r w:rsidRPr="00794707">
        <w:rPr>
          <w:rtl/>
        </w:rPr>
        <w:t xml:space="preserve"> </w:t>
      </w:r>
      <w:r w:rsidRPr="00794707">
        <w:rPr>
          <w:rFonts w:hint="eastAsia"/>
          <w:rtl/>
        </w:rPr>
        <w:t>רשומים</w:t>
      </w:r>
      <w:r w:rsidRPr="00794707">
        <w:rPr>
          <w:rtl/>
        </w:rPr>
        <w:t xml:space="preserve"> </w:t>
      </w:r>
      <w:r w:rsidRPr="00794707">
        <w:rPr>
          <w:rFonts w:hint="eastAsia"/>
          <w:rtl/>
        </w:rPr>
        <w:t>במסגרת</w:t>
      </w:r>
      <w:r w:rsidRPr="00794707">
        <w:rPr>
          <w:rtl/>
        </w:rPr>
        <w:t xml:space="preserve"> </w:t>
      </w:r>
      <w:r w:rsidRPr="00794707">
        <w:rPr>
          <w:rFonts w:hint="eastAsia"/>
          <w:rtl/>
        </w:rPr>
        <w:t>לימודית</w:t>
      </w:r>
      <w:r w:rsidR="005735DC">
        <w:rPr>
          <w:rFonts w:hint="cs"/>
          <w:rtl/>
        </w:rPr>
        <w:t xml:space="preserve"> (כלומר, לא היו צפויים לסיים את לימודיהם בכיתה יב)</w:t>
      </w:r>
      <w:r w:rsidRPr="00794707">
        <w:rPr>
          <w:rtl/>
        </w:rPr>
        <w:t xml:space="preserve">, </w:t>
      </w:r>
      <w:r w:rsidRPr="00794707">
        <w:rPr>
          <w:rFonts w:hint="eastAsia"/>
          <w:rtl/>
        </w:rPr>
        <w:t>והשיעור</w:t>
      </w:r>
      <w:r w:rsidRPr="00794707">
        <w:rPr>
          <w:rtl/>
        </w:rPr>
        <w:t xml:space="preserve"> </w:t>
      </w:r>
      <w:r w:rsidRPr="00794707">
        <w:rPr>
          <w:rFonts w:hint="eastAsia"/>
          <w:rtl/>
        </w:rPr>
        <w:t>ירד</w:t>
      </w:r>
      <w:r w:rsidRPr="00794707">
        <w:rPr>
          <w:rtl/>
        </w:rPr>
        <w:t xml:space="preserve"> </w:t>
      </w:r>
      <w:r w:rsidRPr="00794707">
        <w:rPr>
          <w:rFonts w:hint="eastAsia"/>
          <w:rtl/>
        </w:rPr>
        <w:t>ל</w:t>
      </w:r>
      <w:r w:rsidRPr="00794707">
        <w:rPr>
          <w:rtl/>
        </w:rPr>
        <w:t xml:space="preserve">-10.4% </w:t>
      </w:r>
      <w:r w:rsidRPr="00794707">
        <w:rPr>
          <w:rFonts w:hint="eastAsia"/>
          <w:rtl/>
        </w:rPr>
        <w:t>בשנת</w:t>
      </w:r>
      <w:r w:rsidRPr="00794707">
        <w:rPr>
          <w:rtl/>
        </w:rPr>
        <w:t xml:space="preserve"> 2012</w:t>
      </w:r>
      <w:r w:rsidRPr="00794707">
        <w:rPr>
          <w:vertAlign w:val="superscript"/>
          <w:rtl/>
        </w:rPr>
        <w:footnoteReference w:id="1"/>
      </w:r>
      <w:r w:rsidRPr="00794707">
        <w:rPr>
          <w:rtl/>
        </w:rPr>
        <w:t xml:space="preserve">. </w:t>
      </w:r>
      <w:r w:rsidRPr="00794707">
        <w:rPr>
          <w:rFonts w:hint="eastAsia"/>
          <w:rtl/>
        </w:rPr>
        <w:t>מרבית</w:t>
      </w:r>
      <w:r w:rsidRPr="00794707">
        <w:rPr>
          <w:rtl/>
        </w:rPr>
        <w:t xml:space="preserve"> </w:t>
      </w:r>
      <w:r w:rsidRPr="00794707">
        <w:rPr>
          <w:rFonts w:hint="eastAsia"/>
          <w:rtl/>
        </w:rPr>
        <w:t>הירידה</w:t>
      </w:r>
      <w:r w:rsidRPr="00794707">
        <w:rPr>
          <w:rtl/>
        </w:rPr>
        <w:t xml:space="preserve"> </w:t>
      </w:r>
      <w:r w:rsidRPr="00794707">
        <w:rPr>
          <w:rFonts w:hint="eastAsia"/>
          <w:rtl/>
        </w:rPr>
        <w:t>התרחשה</w:t>
      </w:r>
      <w:r w:rsidRPr="00794707">
        <w:rPr>
          <w:rtl/>
        </w:rPr>
        <w:t xml:space="preserve"> </w:t>
      </w:r>
      <w:r w:rsidRPr="00794707">
        <w:rPr>
          <w:rFonts w:hint="eastAsia"/>
          <w:rtl/>
        </w:rPr>
        <w:t>בבתי</w:t>
      </w:r>
      <w:r w:rsidRPr="00794707">
        <w:rPr>
          <w:rtl/>
        </w:rPr>
        <w:t xml:space="preserve"> </w:t>
      </w:r>
      <w:r w:rsidRPr="00794707">
        <w:rPr>
          <w:rFonts w:hint="eastAsia"/>
          <w:rtl/>
        </w:rPr>
        <w:t>ספר</w:t>
      </w:r>
      <w:r w:rsidRPr="00794707">
        <w:rPr>
          <w:rtl/>
        </w:rPr>
        <w:t xml:space="preserve"> </w:t>
      </w:r>
      <w:r w:rsidRPr="00794707">
        <w:rPr>
          <w:rFonts w:hint="eastAsia"/>
          <w:rtl/>
        </w:rPr>
        <w:t>דוברי</w:t>
      </w:r>
      <w:r w:rsidRPr="00794707">
        <w:rPr>
          <w:rtl/>
        </w:rPr>
        <w:t xml:space="preserve"> </w:t>
      </w:r>
      <w:r w:rsidRPr="00794707">
        <w:rPr>
          <w:rFonts w:hint="eastAsia"/>
          <w:rtl/>
        </w:rPr>
        <w:t>ערבית</w:t>
      </w:r>
      <w:r w:rsidRPr="00794707">
        <w:rPr>
          <w:rtl/>
        </w:rPr>
        <w:t xml:space="preserve"> (</w:t>
      </w:r>
      <w:r w:rsidRPr="00794707">
        <w:rPr>
          <w:rFonts w:hint="eastAsia"/>
          <w:rtl/>
        </w:rPr>
        <w:t>מ</w:t>
      </w:r>
      <w:r w:rsidRPr="00794707">
        <w:rPr>
          <w:rtl/>
        </w:rPr>
        <w:t xml:space="preserve">-29.3% </w:t>
      </w:r>
      <w:r w:rsidRPr="00794707">
        <w:rPr>
          <w:rFonts w:hint="eastAsia"/>
          <w:rtl/>
        </w:rPr>
        <w:t>ל</w:t>
      </w:r>
      <w:r w:rsidRPr="00794707">
        <w:rPr>
          <w:rtl/>
        </w:rPr>
        <w:t>-13.1%)</w:t>
      </w:r>
      <w:r w:rsidR="00265364">
        <w:rPr>
          <w:rFonts w:hint="cs"/>
          <w:rtl/>
        </w:rPr>
        <w:t>.</w:t>
      </w:r>
      <w:r w:rsidRPr="00794707">
        <w:rPr>
          <w:rtl/>
        </w:rPr>
        <w:t xml:space="preserve"> </w:t>
      </w:r>
      <w:r w:rsidRPr="00794707">
        <w:rPr>
          <w:rFonts w:hint="eastAsia"/>
          <w:rtl/>
        </w:rPr>
        <w:t>בצד</w:t>
      </w:r>
      <w:r w:rsidRPr="00794707">
        <w:rPr>
          <w:rtl/>
        </w:rPr>
        <w:t xml:space="preserve"> </w:t>
      </w:r>
      <w:r w:rsidRPr="00794707">
        <w:rPr>
          <w:rFonts w:hint="eastAsia"/>
          <w:rtl/>
        </w:rPr>
        <w:t>זאת</w:t>
      </w:r>
      <w:r w:rsidRPr="00794707">
        <w:rPr>
          <w:rtl/>
        </w:rPr>
        <w:t xml:space="preserve">, </w:t>
      </w:r>
      <w:r w:rsidRPr="00794707">
        <w:rPr>
          <w:rFonts w:hint="eastAsia"/>
          <w:rtl/>
        </w:rPr>
        <w:t>גוברת</w:t>
      </w:r>
      <w:r w:rsidRPr="00794707">
        <w:rPr>
          <w:rtl/>
        </w:rPr>
        <w:t xml:space="preserve"> </w:t>
      </w:r>
      <w:r w:rsidRPr="00794707">
        <w:rPr>
          <w:rFonts w:hint="eastAsia"/>
          <w:rtl/>
        </w:rPr>
        <w:t>המודעות</w:t>
      </w:r>
      <w:r w:rsidRPr="00794707">
        <w:rPr>
          <w:rtl/>
        </w:rPr>
        <w:t xml:space="preserve"> </w:t>
      </w:r>
      <w:r w:rsidRPr="00794707">
        <w:rPr>
          <w:rFonts w:hint="eastAsia"/>
          <w:rtl/>
        </w:rPr>
        <w:t>לתלמידים</w:t>
      </w:r>
      <w:r w:rsidRPr="00794707">
        <w:rPr>
          <w:rtl/>
        </w:rPr>
        <w:t xml:space="preserve"> </w:t>
      </w:r>
      <w:r w:rsidRPr="00794707">
        <w:rPr>
          <w:rFonts w:hint="eastAsia"/>
          <w:rtl/>
        </w:rPr>
        <w:t>המוגדרים</w:t>
      </w:r>
      <w:r w:rsidRPr="00794707">
        <w:rPr>
          <w:rtl/>
        </w:rPr>
        <w:t xml:space="preserve"> </w:t>
      </w:r>
      <w:r w:rsidRPr="00794707">
        <w:rPr>
          <w:rFonts w:hint="eastAsia"/>
          <w:rtl/>
        </w:rPr>
        <w:t>כנושרים</w:t>
      </w:r>
      <w:r w:rsidRPr="00794707">
        <w:rPr>
          <w:rtl/>
        </w:rPr>
        <w:t xml:space="preserve"> </w:t>
      </w:r>
      <w:r w:rsidRPr="00794707">
        <w:rPr>
          <w:rFonts w:hint="eastAsia"/>
          <w:rtl/>
        </w:rPr>
        <w:t>סמויים</w:t>
      </w:r>
      <w:r w:rsidRPr="00794707">
        <w:rPr>
          <w:rtl/>
        </w:rPr>
        <w:t xml:space="preserve"> </w:t>
      </w:r>
      <w:r w:rsidR="001348F6">
        <w:rPr>
          <w:rFonts w:hint="cs"/>
          <w:rtl/>
        </w:rPr>
        <w:t xml:space="preserve">(להב, </w:t>
      </w:r>
      <w:r w:rsidR="00904B16">
        <w:rPr>
          <w:rFonts w:hint="cs"/>
          <w:rtl/>
        </w:rPr>
        <w:t xml:space="preserve">2013) </w:t>
      </w:r>
      <w:r w:rsidRPr="00794707">
        <w:rPr>
          <w:rFonts w:hint="eastAsia"/>
          <w:rtl/>
        </w:rPr>
        <w:t>או</w:t>
      </w:r>
      <w:r w:rsidRPr="00794707">
        <w:rPr>
          <w:rtl/>
        </w:rPr>
        <w:t xml:space="preserve"> </w:t>
      </w:r>
      <w:r w:rsidRPr="00794707">
        <w:rPr>
          <w:rFonts w:hint="eastAsia"/>
          <w:rtl/>
        </w:rPr>
        <w:t>תלמידים</w:t>
      </w:r>
      <w:r w:rsidRPr="00794707">
        <w:rPr>
          <w:rtl/>
        </w:rPr>
        <w:t xml:space="preserve"> </w:t>
      </w:r>
      <w:r w:rsidRPr="00794707">
        <w:rPr>
          <w:rFonts w:hint="eastAsia"/>
          <w:rtl/>
        </w:rPr>
        <w:t>מנותקים</w:t>
      </w:r>
      <w:r w:rsidRPr="00794707">
        <w:rPr>
          <w:rtl/>
        </w:rPr>
        <w:t xml:space="preserve"> (</w:t>
      </w:r>
      <w:r w:rsidRPr="00794707">
        <w:t>disengaged</w:t>
      </w:r>
      <w:r w:rsidRPr="00794707">
        <w:rPr>
          <w:rtl/>
        </w:rPr>
        <w:t xml:space="preserve">) – </w:t>
      </w:r>
      <w:r w:rsidRPr="00794707">
        <w:rPr>
          <w:rFonts w:hint="eastAsia"/>
          <w:rtl/>
        </w:rPr>
        <w:t>תלמידים</w:t>
      </w:r>
      <w:r w:rsidRPr="00794707">
        <w:rPr>
          <w:rtl/>
        </w:rPr>
        <w:t xml:space="preserve"> </w:t>
      </w:r>
      <w:r w:rsidRPr="00794707">
        <w:rPr>
          <w:rFonts w:hint="eastAsia"/>
          <w:rtl/>
        </w:rPr>
        <w:t>ש</w:t>
      </w:r>
      <w:r w:rsidR="003E1014">
        <w:rPr>
          <w:rFonts w:hint="cs"/>
          <w:rtl/>
        </w:rPr>
        <w:t xml:space="preserve">אמנם </w:t>
      </w:r>
      <w:r w:rsidRPr="00794707">
        <w:rPr>
          <w:rFonts w:hint="eastAsia"/>
          <w:rtl/>
        </w:rPr>
        <w:t>רשומים</w:t>
      </w:r>
      <w:r w:rsidRPr="00794707">
        <w:rPr>
          <w:rtl/>
        </w:rPr>
        <w:t xml:space="preserve"> </w:t>
      </w:r>
      <w:r w:rsidRPr="00794707">
        <w:rPr>
          <w:rFonts w:hint="eastAsia"/>
          <w:rtl/>
        </w:rPr>
        <w:t>בבית</w:t>
      </w:r>
      <w:r w:rsidRPr="00794707">
        <w:rPr>
          <w:rtl/>
        </w:rPr>
        <w:t xml:space="preserve"> </w:t>
      </w:r>
      <w:r w:rsidRPr="00794707">
        <w:rPr>
          <w:rFonts w:hint="eastAsia"/>
          <w:rtl/>
        </w:rPr>
        <w:t>הספר</w:t>
      </w:r>
      <w:r w:rsidRPr="00794707">
        <w:rPr>
          <w:rtl/>
        </w:rPr>
        <w:t xml:space="preserve"> </w:t>
      </w:r>
      <w:r w:rsidRPr="00794707">
        <w:rPr>
          <w:rFonts w:hint="eastAsia"/>
          <w:rtl/>
        </w:rPr>
        <w:t>באופן</w:t>
      </w:r>
      <w:r w:rsidRPr="00794707">
        <w:rPr>
          <w:rtl/>
        </w:rPr>
        <w:t xml:space="preserve"> </w:t>
      </w:r>
      <w:r w:rsidRPr="00794707">
        <w:rPr>
          <w:rFonts w:hint="eastAsia"/>
          <w:rtl/>
        </w:rPr>
        <w:t>פורמאלי</w:t>
      </w:r>
      <w:r w:rsidRPr="00794707">
        <w:rPr>
          <w:rtl/>
        </w:rPr>
        <w:t xml:space="preserve"> </w:t>
      </w:r>
      <w:r w:rsidRPr="00794707">
        <w:rPr>
          <w:rFonts w:hint="eastAsia"/>
          <w:rtl/>
        </w:rPr>
        <w:t>אך</w:t>
      </w:r>
      <w:r w:rsidRPr="00794707">
        <w:rPr>
          <w:rtl/>
        </w:rPr>
        <w:t xml:space="preserve"> </w:t>
      </w:r>
      <w:r w:rsidR="00461493" w:rsidRPr="00794707">
        <w:rPr>
          <w:rFonts w:hint="eastAsia"/>
          <w:rtl/>
        </w:rPr>
        <w:t>מרגישים</w:t>
      </w:r>
      <w:r w:rsidR="00461493" w:rsidRPr="00794707">
        <w:rPr>
          <w:rtl/>
        </w:rPr>
        <w:t xml:space="preserve"> </w:t>
      </w:r>
      <w:r w:rsidR="00461493" w:rsidRPr="00794707">
        <w:rPr>
          <w:rFonts w:hint="eastAsia"/>
          <w:rtl/>
        </w:rPr>
        <w:t>מנוכרים</w:t>
      </w:r>
      <w:r w:rsidR="00461493" w:rsidRPr="00794707">
        <w:rPr>
          <w:rtl/>
        </w:rPr>
        <w:t xml:space="preserve"> </w:t>
      </w:r>
      <w:r w:rsidR="00461493" w:rsidRPr="00794707">
        <w:rPr>
          <w:rFonts w:hint="eastAsia"/>
          <w:rtl/>
        </w:rPr>
        <w:t>אל</w:t>
      </w:r>
      <w:r w:rsidR="00461493" w:rsidRPr="00794707">
        <w:rPr>
          <w:rtl/>
        </w:rPr>
        <w:t xml:space="preserve"> </w:t>
      </w:r>
      <w:r w:rsidR="00461493" w:rsidRPr="00794707">
        <w:rPr>
          <w:rFonts w:hint="eastAsia"/>
          <w:rtl/>
        </w:rPr>
        <w:t>בית</w:t>
      </w:r>
      <w:r w:rsidR="00461493" w:rsidRPr="00794707">
        <w:rPr>
          <w:rtl/>
        </w:rPr>
        <w:t xml:space="preserve"> </w:t>
      </w:r>
      <w:r w:rsidR="00461493" w:rsidRPr="00794707">
        <w:rPr>
          <w:rFonts w:hint="eastAsia"/>
          <w:rtl/>
        </w:rPr>
        <w:t>הספר</w:t>
      </w:r>
      <w:r w:rsidR="00461493" w:rsidRPr="00794707">
        <w:rPr>
          <w:rtl/>
        </w:rPr>
        <w:t xml:space="preserve"> </w:t>
      </w:r>
      <w:r w:rsidR="00461493">
        <w:rPr>
          <w:rFonts w:hint="cs"/>
          <w:rtl/>
        </w:rPr>
        <w:t>ו</w:t>
      </w:r>
      <w:r w:rsidRPr="00794707">
        <w:rPr>
          <w:rFonts w:hint="eastAsia"/>
          <w:rtl/>
        </w:rPr>
        <w:t>אינם</w:t>
      </w:r>
      <w:r w:rsidRPr="00794707">
        <w:rPr>
          <w:rtl/>
        </w:rPr>
        <w:t xml:space="preserve"> </w:t>
      </w:r>
      <w:r w:rsidRPr="00794707">
        <w:rPr>
          <w:rFonts w:hint="eastAsia"/>
          <w:rtl/>
        </w:rPr>
        <w:t>מפיקים</w:t>
      </w:r>
      <w:r w:rsidRPr="00794707">
        <w:rPr>
          <w:rtl/>
        </w:rPr>
        <w:t xml:space="preserve"> </w:t>
      </w:r>
      <w:r w:rsidRPr="00794707">
        <w:rPr>
          <w:rFonts w:hint="eastAsia"/>
          <w:rtl/>
        </w:rPr>
        <w:t>תועלת</w:t>
      </w:r>
      <w:r w:rsidRPr="00794707">
        <w:rPr>
          <w:rtl/>
        </w:rPr>
        <w:t xml:space="preserve"> </w:t>
      </w:r>
      <w:r w:rsidRPr="00794707">
        <w:rPr>
          <w:rFonts w:hint="eastAsia"/>
          <w:rtl/>
        </w:rPr>
        <w:t>ממשית</w:t>
      </w:r>
      <w:r w:rsidRPr="00794707">
        <w:rPr>
          <w:rtl/>
        </w:rPr>
        <w:t xml:space="preserve"> </w:t>
      </w:r>
      <w:r w:rsidRPr="00794707">
        <w:rPr>
          <w:rFonts w:hint="eastAsia"/>
          <w:rtl/>
        </w:rPr>
        <w:t>מהתהליך</w:t>
      </w:r>
      <w:r w:rsidRPr="00794707">
        <w:rPr>
          <w:rtl/>
        </w:rPr>
        <w:t xml:space="preserve"> </w:t>
      </w:r>
      <w:r w:rsidRPr="00794707">
        <w:rPr>
          <w:rFonts w:hint="eastAsia"/>
          <w:rtl/>
        </w:rPr>
        <w:t>הלימודי</w:t>
      </w:r>
      <w:r w:rsidR="003E1014">
        <w:rPr>
          <w:rFonts w:hint="cs"/>
          <w:rtl/>
        </w:rPr>
        <w:t>.</w:t>
      </w:r>
      <w:r w:rsidRPr="00794707">
        <w:rPr>
          <w:rtl/>
        </w:rPr>
        <w:t xml:space="preserve"> </w:t>
      </w:r>
      <w:r w:rsidRPr="00794707">
        <w:rPr>
          <w:rFonts w:hint="eastAsia"/>
          <w:rtl/>
        </w:rPr>
        <w:t>בשנים</w:t>
      </w:r>
      <w:r w:rsidRPr="00794707">
        <w:rPr>
          <w:rtl/>
        </w:rPr>
        <w:t xml:space="preserve"> </w:t>
      </w:r>
      <w:r w:rsidRPr="00794707">
        <w:rPr>
          <w:rFonts w:hint="eastAsia"/>
          <w:rtl/>
        </w:rPr>
        <w:t>האחרונות</w:t>
      </w:r>
      <w:r w:rsidRPr="00794707">
        <w:rPr>
          <w:rtl/>
        </w:rPr>
        <w:t xml:space="preserve"> </w:t>
      </w:r>
      <w:r w:rsidRPr="00794707">
        <w:rPr>
          <w:rFonts w:hint="eastAsia"/>
          <w:rtl/>
        </w:rPr>
        <w:t>ההתייחסות</w:t>
      </w:r>
      <w:r w:rsidRPr="00794707">
        <w:rPr>
          <w:rtl/>
        </w:rPr>
        <w:t xml:space="preserve"> </w:t>
      </w:r>
      <w:r w:rsidRPr="00794707">
        <w:rPr>
          <w:rFonts w:hint="eastAsia"/>
          <w:rtl/>
        </w:rPr>
        <w:t>לתופעה</w:t>
      </w:r>
      <w:r w:rsidRPr="00794707">
        <w:rPr>
          <w:rtl/>
        </w:rPr>
        <w:t xml:space="preserve"> </w:t>
      </w:r>
      <w:r w:rsidR="003E1014">
        <w:rPr>
          <w:rFonts w:hint="cs"/>
          <w:rtl/>
        </w:rPr>
        <w:t xml:space="preserve">היא </w:t>
      </w:r>
      <w:r w:rsidRPr="00794707">
        <w:rPr>
          <w:rFonts w:hint="eastAsia"/>
          <w:rtl/>
        </w:rPr>
        <w:t>כאל</w:t>
      </w:r>
      <w:r w:rsidRPr="00794707">
        <w:rPr>
          <w:rtl/>
        </w:rPr>
        <w:t xml:space="preserve"> </w:t>
      </w:r>
      <w:r w:rsidRPr="00794707">
        <w:rPr>
          <w:rFonts w:hint="eastAsia"/>
          <w:rtl/>
        </w:rPr>
        <w:t>תופעה</w:t>
      </w:r>
      <w:r w:rsidRPr="00794707">
        <w:rPr>
          <w:rtl/>
        </w:rPr>
        <w:t xml:space="preserve"> </w:t>
      </w:r>
      <w:r w:rsidRPr="00794707">
        <w:rPr>
          <w:rFonts w:hint="eastAsia"/>
          <w:rtl/>
        </w:rPr>
        <w:t>בפני</w:t>
      </w:r>
      <w:r w:rsidRPr="00794707">
        <w:rPr>
          <w:rtl/>
        </w:rPr>
        <w:t xml:space="preserve"> </w:t>
      </w:r>
      <w:r w:rsidRPr="00794707">
        <w:rPr>
          <w:rFonts w:hint="eastAsia"/>
          <w:rtl/>
        </w:rPr>
        <w:t>עצמה</w:t>
      </w:r>
      <w:r w:rsidRPr="00794707">
        <w:rPr>
          <w:rtl/>
        </w:rPr>
        <w:t xml:space="preserve">, </w:t>
      </w:r>
      <w:r w:rsidRPr="00794707">
        <w:rPr>
          <w:rFonts w:hint="eastAsia"/>
          <w:rtl/>
        </w:rPr>
        <w:t>הפוגעת</w:t>
      </w:r>
      <w:r w:rsidRPr="00794707">
        <w:rPr>
          <w:rtl/>
        </w:rPr>
        <w:t xml:space="preserve"> </w:t>
      </w:r>
      <w:r w:rsidRPr="00794707">
        <w:rPr>
          <w:rFonts w:hint="eastAsia"/>
          <w:rtl/>
        </w:rPr>
        <w:t>ברווחת</w:t>
      </w:r>
      <w:r w:rsidRPr="00794707">
        <w:rPr>
          <w:rtl/>
        </w:rPr>
        <w:t xml:space="preserve"> </w:t>
      </w:r>
      <w:r w:rsidRPr="00794707">
        <w:rPr>
          <w:rFonts w:hint="eastAsia"/>
          <w:rtl/>
        </w:rPr>
        <w:t>התלמיד</w:t>
      </w:r>
      <w:r w:rsidRPr="00794707">
        <w:rPr>
          <w:rtl/>
        </w:rPr>
        <w:t xml:space="preserve"> </w:t>
      </w:r>
      <w:r w:rsidRPr="00794707">
        <w:rPr>
          <w:rFonts w:hint="eastAsia"/>
          <w:rtl/>
        </w:rPr>
        <w:t>ובמידת</w:t>
      </w:r>
      <w:r w:rsidRPr="00794707">
        <w:rPr>
          <w:rtl/>
        </w:rPr>
        <w:t xml:space="preserve"> </w:t>
      </w:r>
      <w:r w:rsidRPr="00794707">
        <w:rPr>
          <w:rFonts w:hint="eastAsia"/>
          <w:rtl/>
        </w:rPr>
        <w:t>התועלת</w:t>
      </w:r>
      <w:r w:rsidRPr="00794707">
        <w:rPr>
          <w:rtl/>
        </w:rPr>
        <w:t xml:space="preserve"> </w:t>
      </w:r>
      <w:r w:rsidRPr="00794707">
        <w:rPr>
          <w:rFonts w:hint="eastAsia"/>
          <w:rtl/>
        </w:rPr>
        <w:t>שהוא</w:t>
      </w:r>
      <w:r w:rsidRPr="00794707">
        <w:rPr>
          <w:rtl/>
        </w:rPr>
        <w:t xml:space="preserve"> </w:t>
      </w:r>
      <w:r w:rsidRPr="00794707">
        <w:rPr>
          <w:rFonts w:hint="eastAsia"/>
          <w:rtl/>
        </w:rPr>
        <w:t>מפיק</w:t>
      </w:r>
      <w:r w:rsidRPr="00794707">
        <w:rPr>
          <w:rtl/>
        </w:rPr>
        <w:t xml:space="preserve"> </w:t>
      </w:r>
      <w:r w:rsidRPr="00794707">
        <w:rPr>
          <w:rFonts w:hint="eastAsia"/>
          <w:rtl/>
        </w:rPr>
        <w:t>מהלמידה</w:t>
      </w:r>
      <w:r w:rsidRPr="00794707">
        <w:rPr>
          <w:rtl/>
        </w:rPr>
        <w:t xml:space="preserve">, </w:t>
      </w:r>
      <w:r w:rsidRPr="00794707">
        <w:rPr>
          <w:rFonts w:hint="eastAsia"/>
          <w:rtl/>
        </w:rPr>
        <w:t>ולא</w:t>
      </w:r>
      <w:r w:rsidRPr="00794707">
        <w:rPr>
          <w:rtl/>
        </w:rPr>
        <w:t xml:space="preserve"> </w:t>
      </w:r>
      <w:r w:rsidRPr="00794707">
        <w:rPr>
          <w:rFonts w:hint="eastAsia"/>
          <w:rtl/>
        </w:rPr>
        <w:t>רק</w:t>
      </w:r>
      <w:r w:rsidRPr="00794707">
        <w:rPr>
          <w:rtl/>
        </w:rPr>
        <w:t xml:space="preserve"> </w:t>
      </w:r>
      <w:r w:rsidRPr="00794707">
        <w:rPr>
          <w:rFonts w:hint="eastAsia"/>
          <w:rtl/>
        </w:rPr>
        <w:t>כתופעה</w:t>
      </w:r>
      <w:r w:rsidRPr="00794707">
        <w:rPr>
          <w:rtl/>
        </w:rPr>
        <w:t xml:space="preserve"> </w:t>
      </w:r>
      <w:r w:rsidRPr="00794707">
        <w:rPr>
          <w:rFonts w:hint="eastAsia"/>
          <w:rtl/>
        </w:rPr>
        <w:t>הע</w:t>
      </w:r>
      <w:r w:rsidR="003E1014">
        <w:rPr>
          <w:rFonts w:hint="cs"/>
          <w:rtl/>
        </w:rPr>
        <w:t>לולה</w:t>
      </w:r>
      <w:r w:rsidRPr="00794707">
        <w:rPr>
          <w:rtl/>
        </w:rPr>
        <w:t xml:space="preserve"> </w:t>
      </w:r>
      <w:r w:rsidRPr="00794707">
        <w:rPr>
          <w:rFonts w:hint="eastAsia"/>
          <w:rtl/>
        </w:rPr>
        <w:t>להוביל</w:t>
      </w:r>
      <w:r w:rsidRPr="00794707">
        <w:rPr>
          <w:rtl/>
        </w:rPr>
        <w:t xml:space="preserve"> </w:t>
      </w:r>
      <w:r w:rsidRPr="00794707">
        <w:rPr>
          <w:rFonts w:hint="eastAsia"/>
          <w:rtl/>
        </w:rPr>
        <w:t>לנשירה</w:t>
      </w:r>
      <w:r w:rsidRPr="00794707">
        <w:rPr>
          <w:rtl/>
        </w:rPr>
        <w:t xml:space="preserve"> </w:t>
      </w:r>
      <w:r w:rsidRPr="00794707">
        <w:rPr>
          <w:rFonts w:hint="eastAsia"/>
          <w:rtl/>
        </w:rPr>
        <w:t>גלויה</w:t>
      </w:r>
      <w:r w:rsidRPr="00794707">
        <w:rPr>
          <w:rtl/>
        </w:rPr>
        <w:t>.</w:t>
      </w:r>
    </w:p>
    <w:p w:rsidR="003E4166" w:rsidRDefault="003E4166" w:rsidP="003E4166">
      <w:pPr>
        <w:spacing w:line="240" w:lineRule="auto"/>
        <w:contextualSpacing/>
        <w:rPr>
          <w:rtl/>
        </w:rPr>
      </w:pPr>
    </w:p>
    <w:p w:rsidR="00A81C10" w:rsidRDefault="00794707" w:rsidP="00F26C39">
      <w:pPr>
        <w:spacing w:after="0"/>
        <w:contextualSpacing/>
        <w:rPr>
          <w:rtl/>
        </w:rPr>
      </w:pPr>
      <w:r w:rsidRPr="00794707">
        <w:rPr>
          <w:rFonts w:hint="cs"/>
          <w:rtl/>
        </w:rPr>
        <w:t>במחקר משנת</w:t>
      </w:r>
      <w:r w:rsidR="00A95B03">
        <w:rPr>
          <w:rFonts w:hint="cs"/>
          <w:rtl/>
        </w:rPr>
        <w:t xml:space="preserve"> </w:t>
      </w:r>
      <w:r w:rsidRPr="00F97DD4">
        <w:rPr>
          <w:rtl/>
        </w:rPr>
        <w:t>2001</w:t>
      </w:r>
      <w:r w:rsidRPr="00F97DD4">
        <w:rPr>
          <w:rFonts w:hint="cs"/>
          <w:rtl/>
        </w:rPr>
        <w:t xml:space="preserve"> </w:t>
      </w:r>
      <w:r w:rsidR="00904B16">
        <w:rPr>
          <w:rFonts w:hint="cs"/>
          <w:rtl/>
        </w:rPr>
        <w:t xml:space="preserve">(כהן נבות ואחרים, 2001) </w:t>
      </w:r>
      <w:r w:rsidRPr="00F97DD4">
        <w:rPr>
          <w:rFonts w:hint="cs"/>
          <w:rtl/>
        </w:rPr>
        <w:t>ש</w:t>
      </w:r>
      <w:r w:rsidRPr="00794707">
        <w:rPr>
          <w:rFonts w:hint="cs"/>
          <w:rtl/>
        </w:rPr>
        <w:t>הוכן לבקשת הוועדה לזכויות הילד של הכנסת, נעשה לראשונה ניסיון ל</w:t>
      </w:r>
      <w:r w:rsidR="00461493">
        <w:rPr>
          <w:rFonts w:hint="cs"/>
          <w:rtl/>
        </w:rPr>
        <w:t xml:space="preserve">אמוד </w:t>
      </w:r>
      <w:r w:rsidRPr="00794707">
        <w:rPr>
          <w:rFonts w:hint="cs"/>
          <w:rtl/>
        </w:rPr>
        <w:t>את היקף הנשירה הסמויה בישראל</w:t>
      </w:r>
      <w:r w:rsidR="00461493">
        <w:rPr>
          <w:rFonts w:hint="cs"/>
          <w:rtl/>
        </w:rPr>
        <w:t xml:space="preserve"> ולבחון את מאפייניה</w:t>
      </w:r>
      <w:r w:rsidRPr="00794707">
        <w:rPr>
          <w:rFonts w:hint="cs"/>
          <w:rtl/>
        </w:rPr>
        <w:t>. בעקבות המחקר הוקמה ועדת כנסת מיוחדת בנושא הנשירה, אשר הגישה שורה של המלצות</w:t>
      </w:r>
      <w:r w:rsidR="00103DE2">
        <w:rPr>
          <w:rFonts w:hint="cs"/>
          <w:rtl/>
        </w:rPr>
        <w:t xml:space="preserve">. אלו </w:t>
      </w:r>
      <w:r w:rsidR="00E81386" w:rsidRPr="00E81386">
        <w:rPr>
          <w:rFonts w:hint="cs"/>
          <w:rtl/>
        </w:rPr>
        <w:t xml:space="preserve">כללו העמדת מגוון אפשרויות </w:t>
      </w:r>
      <w:r w:rsidR="003E4166" w:rsidRPr="00E81386">
        <w:rPr>
          <w:rFonts w:hint="cs"/>
          <w:rtl/>
        </w:rPr>
        <w:t xml:space="preserve">איכותיות </w:t>
      </w:r>
      <w:r w:rsidR="00E81386" w:rsidRPr="00E81386">
        <w:rPr>
          <w:rFonts w:hint="cs"/>
          <w:rtl/>
        </w:rPr>
        <w:t>ללמידה לכלל התלמידים, הקצאת משאבים לחינוך על פי רמת הצרכים בבתי הספר השונים; הכשרת כ</w:t>
      </w:r>
      <w:r w:rsidR="003E4166">
        <w:rPr>
          <w:rFonts w:hint="cs"/>
          <w:rtl/>
        </w:rPr>
        <w:t>ו</w:t>
      </w:r>
      <w:r w:rsidR="00E81386" w:rsidRPr="00E81386">
        <w:rPr>
          <w:rFonts w:hint="cs"/>
          <w:rtl/>
        </w:rPr>
        <w:t>ח אדם; הטמעת מערכת לאיתור, לדיווח, לבקרה ולמעקב אחר תופעת הנשירה הגלויה והסמויה</w:t>
      </w:r>
      <w:r w:rsidR="00103DE2">
        <w:rPr>
          <w:rFonts w:hint="cs"/>
          <w:rtl/>
        </w:rPr>
        <w:t>,</w:t>
      </w:r>
      <w:r w:rsidR="00E81386" w:rsidRPr="00E81386">
        <w:rPr>
          <w:rFonts w:hint="cs"/>
          <w:rtl/>
        </w:rPr>
        <w:t xml:space="preserve"> כבר מהשנים הראשונות בבית הספר; הגדרת תפקידו של המורה כ"כתובת" זמינה לכל תלמיד; הגדלת היקף אנשי המקצועות התומכים בבתי הספר; חיזוק מערך השירותים הקהילתיים לטיפול בבני נוער נושרים, גלויים וסמויים; התייחסות מיוחדת לצורכיהן של אוכלוסיות ששיעורי הנשירה הגלויה בהן גבוהים </w:t>
      </w:r>
      <w:r w:rsidR="00E81386" w:rsidRPr="00E81386">
        <w:rPr>
          <w:rtl/>
        </w:rPr>
        <w:t>–</w:t>
      </w:r>
      <w:r w:rsidR="00E81386" w:rsidRPr="00E81386">
        <w:rPr>
          <w:rFonts w:hint="cs"/>
          <w:rtl/>
        </w:rPr>
        <w:t xml:space="preserve"> ערבים ועולים</w:t>
      </w:r>
      <w:r w:rsidRPr="00794707">
        <w:rPr>
          <w:vertAlign w:val="superscript"/>
          <w:rtl/>
        </w:rPr>
        <w:footnoteReference w:id="2"/>
      </w:r>
      <w:r w:rsidR="00E81386">
        <w:rPr>
          <w:rFonts w:hint="cs"/>
          <w:rtl/>
        </w:rPr>
        <w:t>.</w:t>
      </w:r>
      <w:r w:rsidRPr="00794707">
        <w:rPr>
          <w:rFonts w:hint="cs"/>
          <w:rtl/>
        </w:rPr>
        <w:t xml:space="preserve"> דוח ה</w:t>
      </w:r>
      <w:r w:rsidR="00F97DD4">
        <w:rPr>
          <w:rFonts w:hint="cs"/>
          <w:rtl/>
        </w:rPr>
        <w:t>ו</w:t>
      </w:r>
      <w:r w:rsidRPr="00794707">
        <w:rPr>
          <w:rFonts w:hint="cs"/>
          <w:rtl/>
        </w:rPr>
        <w:t>ועדה אומץ ע"י הכנסת וע"י ועדת דוברת לבחינת מערכת החינוך בישראל ("כוח המשימה הלאומי לקידום החינוך בישראל"), שהגישה את המלצותיה לממשלה בינואר 2005</w:t>
      </w:r>
      <w:r w:rsidRPr="00794707">
        <w:rPr>
          <w:vertAlign w:val="superscript"/>
          <w:rtl/>
        </w:rPr>
        <w:footnoteReference w:id="3"/>
      </w:r>
      <w:r w:rsidRPr="00794707">
        <w:rPr>
          <w:rFonts w:hint="cs"/>
          <w:rtl/>
        </w:rPr>
        <w:t>. בשנים שחלפו</w:t>
      </w:r>
      <w:r w:rsidR="00A81C10">
        <w:rPr>
          <w:rFonts w:hint="cs"/>
          <w:rtl/>
        </w:rPr>
        <w:t xml:space="preserve">, וברוח המלצות אלו, </w:t>
      </w:r>
      <w:r w:rsidR="00C20BCD">
        <w:rPr>
          <w:rFonts w:hint="cs"/>
          <w:rtl/>
        </w:rPr>
        <w:t>יושמ</w:t>
      </w:r>
      <w:r w:rsidRPr="00794707">
        <w:rPr>
          <w:rFonts w:hint="cs"/>
          <w:rtl/>
        </w:rPr>
        <w:t xml:space="preserve">ו </w:t>
      </w:r>
      <w:r w:rsidR="00A81C10">
        <w:rPr>
          <w:rFonts w:hint="cs"/>
          <w:rtl/>
        </w:rPr>
        <w:t xml:space="preserve">בהדרגה </w:t>
      </w:r>
      <w:r w:rsidRPr="00794707">
        <w:rPr>
          <w:rFonts w:hint="cs"/>
          <w:rtl/>
        </w:rPr>
        <w:t xml:space="preserve">במערכת החינוך </w:t>
      </w:r>
      <w:r w:rsidR="003E4166">
        <w:rPr>
          <w:rFonts w:hint="cs"/>
          <w:rtl/>
        </w:rPr>
        <w:t>כמה</w:t>
      </w:r>
      <w:r w:rsidR="003E4166" w:rsidRPr="00794707">
        <w:rPr>
          <w:rFonts w:hint="cs"/>
          <w:rtl/>
        </w:rPr>
        <w:t xml:space="preserve"> </w:t>
      </w:r>
      <w:r w:rsidRPr="00794707">
        <w:rPr>
          <w:rFonts w:hint="cs"/>
          <w:rtl/>
        </w:rPr>
        <w:t>רפורמות ו</w:t>
      </w:r>
      <w:r w:rsidR="00A81C10">
        <w:rPr>
          <w:rFonts w:hint="cs"/>
          <w:rtl/>
        </w:rPr>
        <w:t>יוזמות כדי להתמודד עם התופעה.</w:t>
      </w:r>
    </w:p>
    <w:p w:rsidR="00A95B03" w:rsidRDefault="00A95B03" w:rsidP="000C667C">
      <w:pPr>
        <w:spacing w:after="0"/>
        <w:rPr>
          <w:rtl/>
        </w:rPr>
      </w:pPr>
    </w:p>
    <w:p w:rsidR="00461493" w:rsidRDefault="00794707" w:rsidP="00F26C39">
      <w:pPr>
        <w:spacing w:after="0"/>
        <w:rPr>
          <w:rtl/>
        </w:rPr>
      </w:pPr>
      <w:r w:rsidRPr="00794707">
        <w:rPr>
          <w:rFonts w:hint="cs"/>
          <w:rtl/>
        </w:rPr>
        <w:t>ה</w:t>
      </w:r>
      <w:r w:rsidR="00A81C10">
        <w:rPr>
          <w:rFonts w:hint="cs"/>
          <w:rtl/>
        </w:rPr>
        <w:t>מסמך הנוכחי מציג</w:t>
      </w:r>
      <w:r w:rsidRPr="00794707">
        <w:rPr>
          <w:rFonts w:hint="cs"/>
          <w:rtl/>
        </w:rPr>
        <w:t xml:space="preserve"> </w:t>
      </w:r>
      <w:r w:rsidR="008C6DAF">
        <w:rPr>
          <w:rFonts w:hint="cs"/>
          <w:rtl/>
        </w:rPr>
        <w:t>אומדנים עדכניים ל</w:t>
      </w:r>
      <w:r w:rsidRPr="00794707">
        <w:rPr>
          <w:rFonts w:hint="cs"/>
          <w:rtl/>
        </w:rPr>
        <w:t>היקף התופעה</w:t>
      </w:r>
      <w:r w:rsidR="00C20BCD">
        <w:rPr>
          <w:rFonts w:hint="cs"/>
          <w:rtl/>
        </w:rPr>
        <w:t xml:space="preserve">, </w:t>
      </w:r>
      <w:r w:rsidRPr="00794707">
        <w:rPr>
          <w:rFonts w:hint="cs"/>
          <w:rtl/>
        </w:rPr>
        <w:t>מאפייניה</w:t>
      </w:r>
      <w:r w:rsidR="00C20BCD">
        <w:rPr>
          <w:rFonts w:hint="cs"/>
          <w:rtl/>
        </w:rPr>
        <w:t xml:space="preserve"> והשינוי</w:t>
      </w:r>
      <w:r w:rsidRPr="00794707">
        <w:rPr>
          <w:rFonts w:hint="cs"/>
          <w:rtl/>
        </w:rPr>
        <w:t xml:space="preserve"> </w:t>
      </w:r>
      <w:r w:rsidR="00C20BCD">
        <w:rPr>
          <w:rFonts w:hint="cs"/>
          <w:rtl/>
        </w:rPr>
        <w:t xml:space="preserve">שחל </w:t>
      </w:r>
      <w:r w:rsidR="008C6DAF">
        <w:rPr>
          <w:rFonts w:hint="cs"/>
          <w:rtl/>
        </w:rPr>
        <w:t xml:space="preserve">בה </w:t>
      </w:r>
      <w:r w:rsidRPr="00794707">
        <w:rPr>
          <w:rFonts w:hint="cs"/>
          <w:rtl/>
        </w:rPr>
        <w:t>מאז</w:t>
      </w:r>
      <w:r w:rsidR="006E44AA">
        <w:rPr>
          <w:rFonts w:hint="cs"/>
          <w:rtl/>
        </w:rPr>
        <w:t xml:space="preserve"> </w:t>
      </w:r>
      <w:r w:rsidR="008C6DAF">
        <w:rPr>
          <w:rFonts w:hint="cs"/>
          <w:rtl/>
        </w:rPr>
        <w:t>המחקר הקודם</w:t>
      </w:r>
      <w:r w:rsidRPr="00794707">
        <w:rPr>
          <w:rFonts w:hint="cs"/>
          <w:rtl/>
        </w:rPr>
        <w:t xml:space="preserve">. </w:t>
      </w:r>
      <w:r w:rsidR="00265364">
        <w:rPr>
          <w:rFonts w:hint="cs"/>
          <w:rtl/>
        </w:rPr>
        <w:t xml:space="preserve">לצורך הדוח הנוכחי, נערכה סקירה של הספרות המחקרית העולמית העדכנית. </w:t>
      </w:r>
      <w:r w:rsidR="00265364" w:rsidRPr="00794707">
        <w:rPr>
          <w:rFonts w:hint="eastAsia"/>
          <w:rtl/>
        </w:rPr>
        <w:t>בספרות</w:t>
      </w:r>
      <w:r w:rsidR="00265364" w:rsidRPr="00794707">
        <w:rPr>
          <w:rtl/>
        </w:rPr>
        <w:t xml:space="preserve"> </w:t>
      </w:r>
      <w:r w:rsidR="007C4F5F">
        <w:rPr>
          <w:rFonts w:hint="cs"/>
          <w:rtl/>
        </w:rPr>
        <w:t xml:space="preserve">זו </w:t>
      </w:r>
      <w:r w:rsidR="00265364" w:rsidRPr="00794707">
        <w:rPr>
          <w:rFonts w:hint="eastAsia"/>
          <w:rtl/>
        </w:rPr>
        <w:t>נעשה</w:t>
      </w:r>
      <w:r w:rsidR="00265364" w:rsidRPr="00794707">
        <w:rPr>
          <w:rtl/>
        </w:rPr>
        <w:t xml:space="preserve"> </w:t>
      </w:r>
      <w:r w:rsidR="00265364" w:rsidRPr="00794707">
        <w:rPr>
          <w:rFonts w:hint="eastAsia"/>
          <w:rtl/>
        </w:rPr>
        <w:t>שימוש</w:t>
      </w:r>
      <w:r w:rsidR="00265364" w:rsidRPr="00794707">
        <w:rPr>
          <w:rtl/>
        </w:rPr>
        <w:t xml:space="preserve"> </w:t>
      </w:r>
      <w:r w:rsidR="00265364" w:rsidRPr="00794707">
        <w:rPr>
          <w:rFonts w:hint="eastAsia"/>
          <w:rtl/>
        </w:rPr>
        <w:t>במושג</w:t>
      </w:r>
      <w:r w:rsidR="00265364" w:rsidRPr="00794707">
        <w:rPr>
          <w:rtl/>
        </w:rPr>
        <w:t xml:space="preserve"> </w:t>
      </w:r>
      <w:r w:rsidR="00265364" w:rsidRPr="00794707">
        <w:t>engagement</w:t>
      </w:r>
      <w:r w:rsidR="00265364">
        <w:rPr>
          <w:rFonts w:hint="cs"/>
          <w:rtl/>
        </w:rPr>
        <w:t xml:space="preserve"> (התקשרות, התחברות)</w:t>
      </w:r>
      <w:r w:rsidR="00265364" w:rsidRPr="00794707">
        <w:rPr>
          <w:rtl/>
        </w:rPr>
        <w:t xml:space="preserve">, </w:t>
      </w:r>
      <w:r w:rsidR="00265364" w:rsidRPr="00794707">
        <w:rPr>
          <w:rFonts w:hint="eastAsia"/>
          <w:rtl/>
        </w:rPr>
        <w:t>ובהיפוכו</w:t>
      </w:r>
      <w:r w:rsidR="00265364" w:rsidRPr="00794707">
        <w:rPr>
          <w:rtl/>
        </w:rPr>
        <w:t xml:space="preserve"> –  </w:t>
      </w:r>
      <w:r w:rsidR="00265364" w:rsidRPr="00794707">
        <w:lastRenderedPageBreak/>
        <w:t>disengagement</w:t>
      </w:r>
      <w:r w:rsidR="00265364" w:rsidRPr="00794707">
        <w:rPr>
          <w:rtl/>
        </w:rPr>
        <w:t xml:space="preserve"> (</w:t>
      </w:r>
      <w:r w:rsidR="00265364" w:rsidRPr="00794707">
        <w:rPr>
          <w:rFonts w:hint="eastAsia"/>
          <w:rtl/>
        </w:rPr>
        <w:t>אי</w:t>
      </w:r>
      <w:r w:rsidR="00265364" w:rsidRPr="00794707">
        <w:rPr>
          <w:rtl/>
        </w:rPr>
        <w:t xml:space="preserve"> </w:t>
      </w:r>
      <w:r w:rsidR="00265364" w:rsidRPr="00794707">
        <w:rPr>
          <w:rFonts w:hint="eastAsia"/>
          <w:rtl/>
        </w:rPr>
        <w:t>התחברות</w:t>
      </w:r>
      <w:r w:rsidR="00265364" w:rsidRPr="00794707">
        <w:rPr>
          <w:rtl/>
        </w:rPr>
        <w:t xml:space="preserve">, </w:t>
      </w:r>
      <w:r w:rsidR="00265364" w:rsidRPr="00794707">
        <w:rPr>
          <w:rFonts w:hint="eastAsia"/>
          <w:rtl/>
        </w:rPr>
        <w:t>ניתוק</w:t>
      </w:r>
      <w:r w:rsidR="00265364" w:rsidRPr="00794707">
        <w:rPr>
          <w:rtl/>
        </w:rPr>
        <w:t>).</w:t>
      </w:r>
      <w:r w:rsidR="00265364">
        <w:rPr>
          <w:rFonts w:hint="cs"/>
          <w:rtl/>
        </w:rPr>
        <w:t xml:space="preserve"> </w:t>
      </w:r>
      <w:r w:rsidR="007C4F5F">
        <w:rPr>
          <w:rFonts w:hint="cs"/>
          <w:rtl/>
        </w:rPr>
        <w:t>ה</w:t>
      </w:r>
      <w:r w:rsidR="0081220B">
        <w:rPr>
          <w:rFonts w:hint="cs"/>
          <w:rtl/>
        </w:rPr>
        <w:t xml:space="preserve">תפיסה </w:t>
      </w:r>
      <w:r w:rsidR="0076542F">
        <w:rPr>
          <w:rFonts w:hint="cs"/>
          <w:rtl/>
        </w:rPr>
        <w:t>המקובלת ה</w:t>
      </w:r>
      <w:r w:rsidR="008C6DAF">
        <w:rPr>
          <w:rFonts w:hint="cs"/>
          <w:rtl/>
        </w:rPr>
        <w:t>יום ה</w:t>
      </w:r>
      <w:r w:rsidR="0076542F">
        <w:rPr>
          <w:rFonts w:hint="cs"/>
          <w:rtl/>
        </w:rPr>
        <w:t>יא</w:t>
      </w:r>
      <w:r w:rsidR="000D6BD5" w:rsidRPr="00794707">
        <w:rPr>
          <w:rtl/>
        </w:rPr>
        <w:t xml:space="preserve"> </w:t>
      </w:r>
      <w:r w:rsidR="000D6BD5" w:rsidRPr="00794707">
        <w:rPr>
          <w:rFonts w:hint="eastAsia"/>
          <w:rtl/>
        </w:rPr>
        <w:t>לראות</w:t>
      </w:r>
      <w:r w:rsidR="000D6BD5" w:rsidRPr="00794707">
        <w:rPr>
          <w:rtl/>
        </w:rPr>
        <w:t xml:space="preserve"> </w:t>
      </w:r>
      <w:r w:rsidR="000D6BD5" w:rsidRPr="00794707">
        <w:rPr>
          <w:rFonts w:hint="eastAsia"/>
          <w:rtl/>
        </w:rPr>
        <w:t>את</w:t>
      </w:r>
      <w:r w:rsidR="00BC457A" w:rsidRPr="00794707">
        <w:rPr>
          <w:rtl/>
        </w:rPr>
        <w:t xml:space="preserve"> </w:t>
      </w:r>
      <w:r w:rsidR="00EC0594">
        <w:t>dis</w:t>
      </w:r>
      <w:r w:rsidR="00BC457A" w:rsidRPr="00794707">
        <w:t>engagement"</w:t>
      </w:r>
      <w:r w:rsidR="00BC457A" w:rsidRPr="00794707">
        <w:rPr>
          <w:rtl/>
        </w:rPr>
        <w:t>"</w:t>
      </w:r>
      <w:r w:rsidR="00BC457A" w:rsidRPr="00794707">
        <w:t xml:space="preserve"> </w:t>
      </w:r>
      <w:r w:rsidR="000D6BD5" w:rsidRPr="00794707">
        <w:rPr>
          <w:rFonts w:hint="eastAsia"/>
          <w:rtl/>
        </w:rPr>
        <w:t>כ</w:t>
      </w:r>
      <w:r w:rsidR="00BC457A" w:rsidRPr="00794707">
        <w:rPr>
          <w:rFonts w:hint="eastAsia"/>
          <w:rtl/>
        </w:rPr>
        <w:t>מונח</w:t>
      </w:r>
      <w:r w:rsidR="00BC457A" w:rsidRPr="00794707">
        <w:rPr>
          <w:rtl/>
        </w:rPr>
        <w:t xml:space="preserve"> </w:t>
      </w:r>
      <w:r w:rsidR="00BC457A" w:rsidRPr="00794707">
        <w:rPr>
          <w:rFonts w:hint="eastAsia"/>
          <w:rtl/>
        </w:rPr>
        <w:t>המאחד</w:t>
      </w:r>
      <w:r w:rsidR="00BC457A" w:rsidRPr="00794707">
        <w:rPr>
          <w:rtl/>
        </w:rPr>
        <w:t xml:space="preserve"> </w:t>
      </w:r>
      <w:r w:rsidR="007C4F5F">
        <w:rPr>
          <w:rFonts w:hint="cs"/>
          <w:rtl/>
        </w:rPr>
        <w:t>ניתוק ב</w:t>
      </w:r>
      <w:r w:rsidR="00BC457A" w:rsidRPr="00794707">
        <w:rPr>
          <w:rFonts w:hint="eastAsia"/>
          <w:rtl/>
        </w:rPr>
        <w:t>שלושה</w:t>
      </w:r>
      <w:r w:rsidR="00BC457A" w:rsidRPr="00794707">
        <w:rPr>
          <w:rtl/>
        </w:rPr>
        <w:t xml:space="preserve"> </w:t>
      </w:r>
      <w:r w:rsidR="00BE1BC2">
        <w:rPr>
          <w:rFonts w:hint="cs"/>
          <w:rtl/>
        </w:rPr>
        <w:t xml:space="preserve"> </w:t>
      </w:r>
      <w:r w:rsidR="003B33FD">
        <w:rPr>
          <w:rFonts w:hint="cs"/>
          <w:rtl/>
        </w:rPr>
        <w:t>ממדים</w:t>
      </w:r>
      <w:r w:rsidR="00BC457A" w:rsidRPr="00794707">
        <w:rPr>
          <w:rtl/>
        </w:rPr>
        <w:t xml:space="preserve">: </w:t>
      </w:r>
      <w:r w:rsidR="00BC457A" w:rsidRPr="00794707">
        <w:rPr>
          <w:rFonts w:hint="eastAsia"/>
          <w:rtl/>
        </w:rPr>
        <w:t>התנהגות</w:t>
      </w:r>
      <w:r w:rsidR="00BC457A" w:rsidRPr="00794707">
        <w:rPr>
          <w:rtl/>
        </w:rPr>
        <w:t xml:space="preserve">, </w:t>
      </w:r>
      <w:r w:rsidR="00BC457A" w:rsidRPr="00794707">
        <w:rPr>
          <w:rFonts w:hint="eastAsia"/>
          <w:rtl/>
        </w:rPr>
        <w:t>רגש</w:t>
      </w:r>
      <w:r w:rsidR="00BC457A" w:rsidRPr="00794707">
        <w:rPr>
          <w:rtl/>
        </w:rPr>
        <w:t xml:space="preserve"> </w:t>
      </w:r>
      <w:r w:rsidR="00BC457A" w:rsidRPr="00794707">
        <w:rPr>
          <w:rFonts w:hint="eastAsia"/>
          <w:rtl/>
        </w:rPr>
        <w:t>וקוגניציה</w:t>
      </w:r>
      <w:r w:rsidR="001C5661">
        <w:t xml:space="preserve"> </w:t>
      </w:r>
      <w:r w:rsidR="001C5661">
        <w:rPr>
          <w:rFonts w:hint="cs"/>
          <w:rtl/>
        </w:rPr>
        <w:t xml:space="preserve"> (</w:t>
      </w:r>
      <w:r w:rsidR="001C5661" w:rsidRPr="000C667C">
        <w:t>Fredricks, et al</w:t>
      </w:r>
      <w:r w:rsidR="001C5661">
        <w:t xml:space="preserve">., 2004 </w:t>
      </w:r>
      <w:r w:rsidR="001C5661">
        <w:rPr>
          <w:rFonts w:hint="cs"/>
          <w:rtl/>
        </w:rPr>
        <w:t>)</w:t>
      </w:r>
      <w:r w:rsidR="001C5661" w:rsidRPr="001C5661">
        <w:rPr>
          <w:rStyle w:val="ad"/>
          <w:rtl/>
        </w:rPr>
        <w:t xml:space="preserve"> </w:t>
      </w:r>
      <w:r w:rsidR="001C5661" w:rsidRPr="00C211A6">
        <w:rPr>
          <w:rStyle w:val="ad"/>
          <w:rtl/>
        </w:rPr>
        <w:footnoteReference w:id="4"/>
      </w:r>
      <w:r w:rsidR="00461493">
        <w:rPr>
          <w:rFonts w:hint="cs"/>
          <w:rtl/>
        </w:rPr>
        <w:t>:</w:t>
      </w:r>
      <w:r w:rsidR="003B33FD">
        <w:rPr>
          <w:rFonts w:hint="cs"/>
          <w:rtl/>
        </w:rPr>
        <w:t xml:space="preserve"> </w:t>
      </w:r>
    </w:p>
    <w:p w:rsidR="00B00C35" w:rsidRPr="00794707" w:rsidRDefault="00B00C35" w:rsidP="00EB1F2B">
      <w:pPr>
        <w:pStyle w:val="af"/>
        <w:numPr>
          <w:ilvl w:val="0"/>
          <w:numId w:val="5"/>
        </w:numPr>
        <w:spacing w:after="0" w:line="312" w:lineRule="auto"/>
      </w:pPr>
      <w:r w:rsidRPr="00794707">
        <w:rPr>
          <w:rFonts w:hint="cs"/>
          <w:rtl/>
        </w:rPr>
        <w:t xml:space="preserve">ניתוק התנהגותי: היעדרויות מרובות, קושי למלא אחר </w:t>
      </w:r>
      <w:r w:rsidR="007C4F5F">
        <w:rPr>
          <w:rFonts w:hint="cs"/>
          <w:rtl/>
        </w:rPr>
        <w:t>חוק</w:t>
      </w:r>
      <w:r w:rsidRPr="00794707">
        <w:rPr>
          <w:rFonts w:hint="cs"/>
          <w:rtl/>
        </w:rPr>
        <w:t xml:space="preserve">י בית הספר, מעורבות נמוכה בלימודים ובפעילויות </w:t>
      </w:r>
      <w:r w:rsidR="000D6BD5" w:rsidRPr="00794707">
        <w:rPr>
          <w:rFonts w:hint="cs"/>
          <w:rtl/>
        </w:rPr>
        <w:t>אחרות שבית הספר מציע</w:t>
      </w:r>
    </w:p>
    <w:p w:rsidR="00B00C35" w:rsidRPr="00794707" w:rsidRDefault="00B00C35" w:rsidP="00EB1F2B">
      <w:pPr>
        <w:pStyle w:val="af"/>
        <w:numPr>
          <w:ilvl w:val="0"/>
          <w:numId w:val="5"/>
        </w:numPr>
        <w:spacing w:after="0" w:line="312" w:lineRule="auto"/>
      </w:pPr>
      <w:r w:rsidRPr="00794707">
        <w:rPr>
          <w:rFonts w:hint="eastAsia"/>
          <w:rtl/>
        </w:rPr>
        <w:t>ניתוק</w:t>
      </w:r>
      <w:r w:rsidRPr="00794707">
        <w:rPr>
          <w:rtl/>
        </w:rPr>
        <w:t xml:space="preserve"> </w:t>
      </w:r>
      <w:r w:rsidRPr="00794707">
        <w:rPr>
          <w:rFonts w:hint="eastAsia"/>
          <w:rtl/>
        </w:rPr>
        <w:t>רגשי</w:t>
      </w:r>
      <w:r w:rsidRPr="00794707">
        <w:rPr>
          <w:rtl/>
        </w:rPr>
        <w:t xml:space="preserve">: </w:t>
      </w:r>
      <w:r w:rsidRPr="00794707">
        <w:rPr>
          <w:rFonts w:hint="eastAsia"/>
          <w:rtl/>
        </w:rPr>
        <w:t>תחושת</w:t>
      </w:r>
      <w:r w:rsidRPr="00794707">
        <w:rPr>
          <w:rtl/>
        </w:rPr>
        <w:t xml:space="preserve"> </w:t>
      </w:r>
      <w:r w:rsidRPr="00794707">
        <w:rPr>
          <w:rFonts w:hint="eastAsia"/>
          <w:rtl/>
        </w:rPr>
        <w:t>ניכור</w:t>
      </w:r>
      <w:r w:rsidR="000B426C" w:rsidRPr="00794707">
        <w:rPr>
          <w:rtl/>
        </w:rPr>
        <w:t xml:space="preserve"> </w:t>
      </w:r>
      <w:r w:rsidR="00794707">
        <w:rPr>
          <w:rFonts w:hint="cs"/>
          <w:rtl/>
        </w:rPr>
        <w:t xml:space="preserve">וחוסר הזדהות </w:t>
      </w:r>
      <w:r w:rsidR="000B426C" w:rsidRPr="00794707">
        <w:rPr>
          <w:rFonts w:hint="eastAsia"/>
          <w:rtl/>
        </w:rPr>
        <w:t>כלפי</w:t>
      </w:r>
      <w:r w:rsidR="000B426C" w:rsidRPr="00794707">
        <w:rPr>
          <w:rtl/>
        </w:rPr>
        <w:t xml:space="preserve"> </w:t>
      </w:r>
      <w:r w:rsidR="000B426C" w:rsidRPr="00794707">
        <w:rPr>
          <w:rFonts w:hint="eastAsia"/>
          <w:rtl/>
        </w:rPr>
        <w:t>בית</w:t>
      </w:r>
      <w:r w:rsidR="000B426C" w:rsidRPr="00794707">
        <w:rPr>
          <w:rtl/>
        </w:rPr>
        <w:t xml:space="preserve"> </w:t>
      </w:r>
      <w:r w:rsidR="000B426C" w:rsidRPr="00794707">
        <w:rPr>
          <w:rFonts w:hint="eastAsia"/>
          <w:rtl/>
        </w:rPr>
        <w:t>הספר</w:t>
      </w:r>
      <w:r w:rsidR="000B426C" w:rsidRPr="00794707">
        <w:rPr>
          <w:rtl/>
        </w:rPr>
        <w:t xml:space="preserve"> </w:t>
      </w:r>
      <w:r w:rsidRPr="00794707">
        <w:rPr>
          <w:rtl/>
        </w:rPr>
        <w:t xml:space="preserve"> </w:t>
      </w:r>
    </w:p>
    <w:p w:rsidR="00B00C35" w:rsidRPr="00794707" w:rsidRDefault="00B00C35" w:rsidP="00A95B03">
      <w:pPr>
        <w:pStyle w:val="af"/>
        <w:numPr>
          <w:ilvl w:val="0"/>
          <w:numId w:val="5"/>
        </w:numPr>
        <w:spacing w:line="312" w:lineRule="auto"/>
      </w:pPr>
      <w:r w:rsidRPr="00794707">
        <w:rPr>
          <w:rFonts w:hint="eastAsia"/>
          <w:rtl/>
        </w:rPr>
        <w:t>ניתוק</w:t>
      </w:r>
      <w:r w:rsidRPr="00794707">
        <w:rPr>
          <w:rtl/>
        </w:rPr>
        <w:t xml:space="preserve"> </w:t>
      </w:r>
      <w:r w:rsidRPr="00794707">
        <w:rPr>
          <w:rFonts w:hint="eastAsia"/>
          <w:rtl/>
        </w:rPr>
        <w:t>קוגניטיבי</w:t>
      </w:r>
      <w:r w:rsidR="007658CB">
        <w:rPr>
          <w:rFonts w:hint="cs"/>
          <w:rtl/>
        </w:rPr>
        <w:t xml:space="preserve">: </w:t>
      </w:r>
      <w:r w:rsidRPr="00794707">
        <w:rPr>
          <w:rFonts w:hint="cs"/>
          <w:rtl/>
        </w:rPr>
        <w:t>הת</w:t>
      </w:r>
      <w:r w:rsidR="00794707">
        <w:rPr>
          <w:rFonts w:hint="cs"/>
          <w:rtl/>
        </w:rPr>
        <w:t>י</w:t>
      </w:r>
      <w:r w:rsidRPr="00794707">
        <w:rPr>
          <w:rFonts w:hint="cs"/>
          <w:rtl/>
        </w:rPr>
        <w:t xml:space="preserve">יחסות </w:t>
      </w:r>
      <w:r w:rsidR="000D6BD5" w:rsidRPr="00794707">
        <w:rPr>
          <w:rFonts w:hint="cs"/>
          <w:rtl/>
        </w:rPr>
        <w:t xml:space="preserve">שלילית </w:t>
      </w:r>
      <w:r w:rsidRPr="00794707">
        <w:rPr>
          <w:rFonts w:hint="cs"/>
          <w:rtl/>
        </w:rPr>
        <w:t xml:space="preserve">ללמידה, </w:t>
      </w:r>
      <w:r w:rsidR="007658CB">
        <w:rPr>
          <w:rFonts w:hint="cs"/>
          <w:rtl/>
        </w:rPr>
        <w:t xml:space="preserve">כולל </w:t>
      </w:r>
      <w:r w:rsidR="000B426C" w:rsidRPr="00794707">
        <w:rPr>
          <w:rFonts w:hint="cs"/>
          <w:rtl/>
        </w:rPr>
        <w:t xml:space="preserve">תחושה שהלמידה </w:t>
      </w:r>
      <w:r w:rsidR="007C4F5F">
        <w:rPr>
          <w:rFonts w:hint="cs"/>
          <w:rtl/>
        </w:rPr>
        <w:t xml:space="preserve">בבית הספר </w:t>
      </w:r>
      <w:r w:rsidR="000D6BD5" w:rsidRPr="00794707">
        <w:rPr>
          <w:rFonts w:hint="cs"/>
          <w:rtl/>
        </w:rPr>
        <w:t xml:space="preserve">אינה </w:t>
      </w:r>
      <w:r w:rsidR="000B426C" w:rsidRPr="00794707">
        <w:rPr>
          <w:rFonts w:hint="cs"/>
          <w:rtl/>
        </w:rPr>
        <w:t>תורמת</w:t>
      </w:r>
      <w:r w:rsidR="007C4F5F">
        <w:rPr>
          <w:rFonts w:hint="cs"/>
          <w:rtl/>
        </w:rPr>
        <w:t xml:space="preserve"> ואינה משמעותית</w:t>
      </w:r>
      <w:r w:rsidR="00C00B59">
        <w:rPr>
          <w:rFonts w:hint="cs"/>
          <w:rtl/>
        </w:rPr>
        <w:t xml:space="preserve"> </w:t>
      </w:r>
    </w:p>
    <w:p w:rsidR="003B33FD" w:rsidRDefault="00C00B59" w:rsidP="00F26C39">
      <w:pPr>
        <w:spacing w:line="312" w:lineRule="auto"/>
        <w:rPr>
          <w:rtl/>
        </w:rPr>
      </w:pPr>
      <w:r w:rsidRPr="00F97DD4">
        <w:rPr>
          <w:rFonts w:hint="eastAsia"/>
          <w:rtl/>
        </w:rPr>
        <w:t>מ</w:t>
      </w:r>
      <w:r w:rsidRPr="00C00B59">
        <w:rPr>
          <w:rFonts w:hint="cs"/>
          <w:rtl/>
        </w:rPr>
        <w:t xml:space="preserve">דובר באימוץ הגדרה </w:t>
      </w:r>
      <w:r>
        <w:rPr>
          <w:rFonts w:hint="cs"/>
          <w:rtl/>
        </w:rPr>
        <w:t>ש</w:t>
      </w:r>
      <w:r w:rsidRPr="00F97DD4">
        <w:rPr>
          <w:rFonts w:hint="eastAsia"/>
          <w:rtl/>
        </w:rPr>
        <w:t>ממוקדת</w:t>
      </w:r>
      <w:r w:rsidRPr="00F97DD4">
        <w:rPr>
          <w:rtl/>
        </w:rPr>
        <w:t xml:space="preserve"> </w:t>
      </w:r>
      <w:r w:rsidRPr="00F97DD4">
        <w:rPr>
          <w:rFonts w:hint="eastAsia"/>
          <w:rtl/>
        </w:rPr>
        <w:t>כולה</w:t>
      </w:r>
      <w:r w:rsidRPr="00F97DD4">
        <w:rPr>
          <w:rtl/>
        </w:rPr>
        <w:t xml:space="preserve"> </w:t>
      </w:r>
      <w:r w:rsidRPr="00F97DD4">
        <w:rPr>
          <w:rFonts w:hint="eastAsia"/>
          <w:rtl/>
        </w:rPr>
        <w:t>בתופעת</w:t>
      </w:r>
      <w:r w:rsidRPr="00F97DD4">
        <w:rPr>
          <w:rtl/>
        </w:rPr>
        <w:t xml:space="preserve"> </w:t>
      </w:r>
      <w:r w:rsidRPr="00F97DD4">
        <w:rPr>
          <w:rFonts w:hint="eastAsia"/>
          <w:rtl/>
        </w:rPr>
        <w:t>הניתוק</w:t>
      </w:r>
      <w:r w:rsidRPr="00F97DD4">
        <w:rPr>
          <w:rtl/>
        </w:rPr>
        <w:t xml:space="preserve"> עצמה, </w:t>
      </w:r>
      <w:r>
        <w:rPr>
          <w:rFonts w:hint="cs"/>
          <w:rtl/>
        </w:rPr>
        <w:t>מתוך הבחנה בין ממדי הניתוק ל</w:t>
      </w:r>
      <w:r w:rsidRPr="00F97DD4">
        <w:rPr>
          <w:rFonts w:hint="eastAsia"/>
          <w:rtl/>
        </w:rPr>
        <w:t>בין</w:t>
      </w:r>
      <w:r w:rsidRPr="00F97DD4">
        <w:rPr>
          <w:rtl/>
        </w:rPr>
        <w:t xml:space="preserve"> גורמים נלווים </w:t>
      </w:r>
      <w:r w:rsidRPr="00F97DD4">
        <w:rPr>
          <w:rFonts w:hint="eastAsia"/>
          <w:rtl/>
        </w:rPr>
        <w:t>אחרים</w:t>
      </w:r>
      <w:r w:rsidRPr="00F97DD4">
        <w:rPr>
          <w:rtl/>
        </w:rPr>
        <w:t xml:space="preserve"> המתקיימים בהקשר הבית ספרי, </w:t>
      </w:r>
      <w:r w:rsidRPr="00F97DD4">
        <w:rPr>
          <w:rFonts w:hint="eastAsia"/>
          <w:rtl/>
        </w:rPr>
        <w:t>כגון</w:t>
      </w:r>
      <w:r w:rsidRPr="00F97DD4">
        <w:rPr>
          <w:rtl/>
        </w:rPr>
        <w:t xml:space="preserve"> </w:t>
      </w:r>
      <w:r w:rsidRPr="00F97DD4">
        <w:rPr>
          <w:rFonts w:hint="eastAsia"/>
          <w:rtl/>
        </w:rPr>
        <w:t>היחסים</w:t>
      </w:r>
      <w:r w:rsidRPr="00F97DD4">
        <w:rPr>
          <w:rtl/>
        </w:rPr>
        <w:t xml:space="preserve"> עם </w:t>
      </w:r>
      <w:r w:rsidRPr="00F97DD4">
        <w:rPr>
          <w:rFonts w:hint="eastAsia"/>
          <w:rtl/>
        </w:rPr>
        <w:t>המורים</w:t>
      </w:r>
      <w:r w:rsidRPr="00F97DD4">
        <w:rPr>
          <w:rtl/>
        </w:rPr>
        <w:t xml:space="preserve"> </w:t>
      </w:r>
      <w:r w:rsidRPr="00F97DD4">
        <w:rPr>
          <w:rFonts w:hint="eastAsia"/>
          <w:rtl/>
        </w:rPr>
        <w:t>או</w:t>
      </w:r>
      <w:r w:rsidRPr="00F97DD4">
        <w:rPr>
          <w:rtl/>
        </w:rPr>
        <w:t xml:space="preserve"> </w:t>
      </w:r>
      <w:r w:rsidRPr="00F97DD4">
        <w:rPr>
          <w:rFonts w:hint="eastAsia"/>
          <w:rtl/>
        </w:rPr>
        <w:t>רמת</w:t>
      </w:r>
      <w:r w:rsidRPr="00F97DD4">
        <w:rPr>
          <w:rtl/>
        </w:rPr>
        <w:t xml:space="preserve"> </w:t>
      </w:r>
      <w:r w:rsidRPr="00F97DD4">
        <w:rPr>
          <w:rFonts w:hint="eastAsia"/>
          <w:rtl/>
        </w:rPr>
        <w:t>ההישגים</w:t>
      </w:r>
      <w:r w:rsidRPr="00F97DD4">
        <w:rPr>
          <w:rtl/>
        </w:rPr>
        <w:t xml:space="preserve"> </w:t>
      </w:r>
      <w:r w:rsidRPr="00F97DD4">
        <w:rPr>
          <w:rFonts w:hint="eastAsia"/>
          <w:rtl/>
        </w:rPr>
        <w:t>הלימודיים</w:t>
      </w:r>
      <w:r w:rsidRPr="00F97DD4">
        <w:rPr>
          <w:rtl/>
        </w:rPr>
        <w:t xml:space="preserve">, </w:t>
      </w:r>
      <w:r w:rsidRPr="00F97DD4">
        <w:rPr>
          <w:rFonts w:hint="eastAsia"/>
          <w:rtl/>
        </w:rPr>
        <w:t>אשר</w:t>
      </w:r>
      <w:r w:rsidRPr="00F97DD4">
        <w:rPr>
          <w:rtl/>
        </w:rPr>
        <w:t xml:space="preserve"> </w:t>
      </w:r>
      <w:r w:rsidRPr="00F97DD4">
        <w:rPr>
          <w:rFonts w:hint="eastAsia"/>
          <w:rtl/>
        </w:rPr>
        <w:t>נתפסים</w:t>
      </w:r>
      <w:r w:rsidRPr="00F97DD4">
        <w:rPr>
          <w:rtl/>
        </w:rPr>
        <w:t xml:space="preserve"> </w:t>
      </w:r>
      <w:r w:rsidRPr="00F97DD4">
        <w:rPr>
          <w:rFonts w:hint="eastAsia"/>
          <w:rtl/>
        </w:rPr>
        <w:t>כמשפיעים</w:t>
      </w:r>
      <w:r w:rsidRPr="00F97DD4">
        <w:rPr>
          <w:rtl/>
        </w:rPr>
        <w:t xml:space="preserve"> </w:t>
      </w:r>
      <w:r w:rsidRPr="00F97DD4">
        <w:rPr>
          <w:rFonts w:hint="eastAsia"/>
          <w:rtl/>
        </w:rPr>
        <w:t>על</w:t>
      </w:r>
      <w:r w:rsidRPr="00F97DD4">
        <w:rPr>
          <w:rtl/>
        </w:rPr>
        <w:t xml:space="preserve"> </w:t>
      </w:r>
      <w:r w:rsidRPr="00F97DD4">
        <w:rPr>
          <w:rFonts w:hint="eastAsia"/>
          <w:rtl/>
        </w:rPr>
        <w:t>התופעה</w:t>
      </w:r>
      <w:r w:rsidRPr="00F97DD4">
        <w:rPr>
          <w:rtl/>
        </w:rPr>
        <w:t xml:space="preserve"> </w:t>
      </w:r>
      <w:r w:rsidRPr="00F97DD4">
        <w:rPr>
          <w:rFonts w:hint="eastAsia"/>
          <w:rtl/>
        </w:rPr>
        <w:t>או</w:t>
      </w:r>
      <w:r w:rsidRPr="00F97DD4">
        <w:rPr>
          <w:rtl/>
        </w:rPr>
        <w:t xml:space="preserve"> </w:t>
      </w:r>
      <w:r w:rsidRPr="00F97DD4">
        <w:rPr>
          <w:rFonts w:hint="eastAsia"/>
          <w:rtl/>
        </w:rPr>
        <w:t>מושפעים</w:t>
      </w:r>
      <w:r w:rsidRPr="00F97DD4">
        <w:rPr>
          <w:rtl/>
        </w:rPr>
        <w:t xml:space="preserve"> </w:t>
      </w:r>
      <w:r w:rsidRPr="00F97DD4">
        <w:rPr>
          <w:rFonts w:hint="eastAsia"/>
          <w:rtl/>
        </w:rPr>
        <w:t>על</w:t>
      </w:r>
      <w:r w:rsidRPr="00F97DD4">
        <w:rPr>
          <w:rtl/>
        </w:rPr>
        <w:t xml:space="preserve"> </w:t>
      </w:r>
      <w:r w:rsidRPr="00F97DD4">
        <w:rPr>
          <w:rFonts w:hint="eastAsia"/>
          <w:rtl/>
        </w:rPr>
        <w:t>ידה</w:t>
      </w:r>
      <w:r w:rsidRPr="00F97DD4">
        <w:rPr>
          <w:rtl/>
        </w:rPr>
        <w:t xml:space="preserve"> (</w:t>
      </w:r>
      <w:r w:rsidRPr="00F97DD4">
        <w:t>Skinner, 2008</w:t>
      </w:r>
      <w:r w:rsidRPr="00F97DD4">
        <w:rPr>
          <w:rtl/>
        </w:rPr>
        <w:t>).</w:t>
      </w:r>
      <w:r>
        <w:rPr>
          <w:rFonts w:hint="cs"/>
          <w:rtl/>
        </w:rPr>
        <w:t xml:space="preserve"> </w:t>
      </w:r>
      <w:r w:rsidR="00D31E3F" w:rsidRPr="00D31E3F">
        <w:rPr>
          <w:rtl/>
        </w:rPr>
        <w:t>ההנחה היא ש</w:t>
      </w:r>
      <w:r w:rsidR="007C4F5F">
        <w:rPr>
          <w:rFonts w:hint="cs"/>
          <w:rtl/>
        </w:rPr>
        <w:t>קיימת חשיבות לכל ממד של ניתוק בפני עצמו</w:t>
      </w:r>
      <w:r w:rsidR="00F97DD4">
        <w:rPr>
          <w:rFonts w:hint="cs"/>
          <w:rtl/>
        </w:rPr>
        <w:t xml:space="preserve">, </w:t>
      </w:r>
      <w:r w:rsidR="007C4F5F">
        <w:rPr>
          <w:rFonts w:hint="cs"/>
          <w:rtl/>
        </w:rPr>
        <w:t>אך כ</w:t>
      </w:r>
      <w:r w:rsidR="00461493">
        <w:rPr>
          <w:rFonts w:hint="cs"/>
          <w:rtl/>
        </w:rPr>
        <w:t xml:space="preserve">כל שתלמיד חש ניתוק במספר רב יותר של ממדים, כך </w:t>
      </w:r>
      <w:r w:rsidR="007C4F5F">
        <w:rPr>
          <w:rFonts w:hint="cs"/>
          <w:rtl/>
        </w:rPr>
        <w:t>בעיית הניתוק מורכבת יו</w:t>
      </w:r>
      <w:r w:rsidR="007C4F5F" w:rsidRPr="009D735B">
        <w:rPr>
          <w:rFonts w:hint="cs"/>
          <w:rtl/>
        </w:rPr>
        <w:t>תר עבורו ו</w:t>
      </w:r>
      <w:r w:rsidR="00461493" w:rsidRPr="009D735B">
        <w:rPr>
          <w:rFonts w:hint="cs"/>
          <w:rtl/>
        </w:rPr>
        <w:t xml:space="preserve">מצבו יותר מעורר דאגה. </w:t>
      </w:r>
      <w:r w:rsidR="00D31E3F" w:rsidRPr="009D735B">
        <w:rPr>
          <w:rtl/>
        </w:rPr>
        <w:t xml:space="preserve">  </w:t>
      </w:r>
    </w:p>
    <w:p w:rsidR="00DF1CBA" w:rsidRDefault="0076542F" w:rsidP="007E1636">
      <w:pPr>
        <w:spacing w:after="0" w:line="312" w:lineRule="auto"/>
        <w:rPr>
          <w:rtl/>
        </w:rPr>
      </w:pPr>
      <w:r>
        <w:rPr>
          <w:rFonts w:hint="cs"/>
          <w:rtl/>
        </w:rPr>
        <w:t xml:space="preserve">תפיסה זו אומצה על ידי </w:t>
      </w:r>
      <w:r w:rsidR="000E5497">
        <w:rPr>
          <w:rFonts w:hint="cs"/>
          <w:rtl/>
        </w:rPr>
        <w:t xml:space="preserve">ארגון </w:t>
      </w:r>
      <w:r>
        <w:rPr>
          <w:rFonts w:hint="cs"/>
          <w:rtl/>
        </w:rPr>
        <w:t>ה</w:t>
      </w:r>
      <w:r w:rsidR="00DC3AFC">
        <w:rPr>
          <w:rFonts w:hint="cs"/>
          <w:rtl/>
        </w:rPr>
        <w:t>-</w:t>
      </w:r>
      <w:r>
        <w:t>OECD</w:t>
      </w:r>
      <w:r>
        <w:rPr>
          <w:rFonts w:hint="cs"/>
          <w:rtl/>
        </w:rPr>
        <w:t xml:space="preserve"> ב</w:t>
      </w:r>
      <w:r w:rsidR="008066BB">
        <w:rPr>
          <w:rFonts w:hint="cs"/>
          <w:rtl/>
        </w:rPr>
        <w:t>מערך ה</w:t>
      </w:r>
      <w:r>
        <w:rPr>
          <w:rFonts w:hint="cs"/>
          <w:rtl/>
        </w:rPr>
        <w:t>מחקר של מבחני ושאלוני פיז"ה הבינלאומיים</w:t>
      </w:r>
      <w:r w:rsidR="008066BB">
        <w:rPr>
          <w:rStyle w:val="ad"/>
          <w:rtl/>
        </w:rPr>
        <w:footnoteReference w:id="5"/>
      </w:r>
      <w:r w:rsidR="008066BB">
        <w:rPr>
          <w:rFonts w:hint="cs"/>
          <w:rtl/>
        </w:rPr>
        <w:t xml:space="preserve">. </w:t>
      </w:r>
      <w:r>
        <w:rPr>
          <w:rFonts w:hint="cs"/>
          <w:rtl/>
        </w:rPr>
        <w:t xml:space="preserve">בכך נוצרה הזדמנות מיוחדת לבחון את התופעה בישראל על פי כל שלושת ממדי הניתוק, וזאת בהשוואה בינלאומית ולמשך השנים 2002 עד 2012. </w:t>
      </w:r>
      <w:r w:rsidR="00D31E3F">
        <w:rPr>
          <w:rFonts w:hint="cs"/>
          <w:rtl/>
        </w:rPr>
        <w:t xml:space="preserve">מבחני פיז"ה </w:t>
      </w:r>
      <w:r w:rsidR="00D31E3F">
        <w:rPr>
          <w:rFonts w:hint="cs"/>
          <w:rtl/>
        </w:rPr>
        <w:lastRenderedPageBreak/>
        <w:t xml:space="preserve">מועברים בקרב תלמידים בגיל 15 בכל מדינות </w:t>
      </w:r>
      <w:r w:rsidR="00D31E3F">
        <w:t>OECD</w:t>
      </w:r>
      <w:r w:rsidR="00D31E3F">
        <w:rPr>
          <w:rFonts w:hint="cs"/>
          <w:rtl/>
        </w:rPr>
        <w:t xml:space="preserve"> ומדינות נוספות</w:t>
      </w:r>
      <w:r w:rsidR="00237CCC">
        <w:rPr>
          <w:rStyle w:val="ad"/>
          <w:rtl/>
        </w:rPr>
        <w:footnoteReference w:id="6"/>
      </w:r>
      <w:r w:rsidR="00545E5C" w:rsidRPr="00545E5C">
        <w:rPr>
          <w:rFonts w:hint="cs"/>
          <w:vertAlign w:val="superscript"/>
          <w:rtl/>
        </w:rPr>
        <w:t>,</w:t>
      </w:r>
      <w:r w:rsidR="005735DC">
        <w:rPr>
          <w:rStyle w:val="ad"/>
          <w:rtl/>
        </w:rPr>
        <w:footnoteReference w:id="7"/>
      </w:r>
      <w:r w:rsidR="00D31E3F">
        <w:rPr>
          <w:rFonts w:hint="cs"/>
          <w:rtl/>
        </w:rPr>
        <w:t xml:space="preserve">. נתונים לגבי ממדי הניתוק קיימים ביחס </w:t>
      </w:r>
      <w:r w:rsidR="00D31E3F" w:rsidRPr="00237CCC">
        <w:rPr>
          <w:rFonts w:hint="cs"/>
          <w:rtl/>
        </w:rPr>
        <w:t>לשנ</w:t>
      </w:r>
      <w:r w:rsidR="00D31E3F" w:rsidRPr="00237CCC">
        <w:rPr>
          <w:rFonts w:hint="eastAsia"/>
          <w:rtl/>
        </w:rPr>
        <w:t>ים</w:t>
      </w:r>
      <w:r w:rsidR="00DC3AFC">
        <w:rPr>
          <w:rFonts w:hint="cs"/>
          <w:rtl/>
        </w:rPr>
        <w:t xml:space="preserve"> </w:t>
      </w:r>
      <w:r w:rsidR="00DC3AFC" w:rsidRPr="00237CCC">
        <w:rPr>
          <w:rtl/>
        </w:rPr>
        <w:t>2002</w:t>
      </w:r>
      <w:r w:rsidR="00E81386" w:rsidRPr="00237CCC">
        <w:rPr>
          <w:rStyle w:val="ad"/>
          <w:rtl/>
        </w:rPr>
        <w:footnoteReference w:id="8"/>
      </w:r>
      <w:r w:rsidR="00D31E3F" w:rsidRPr="00237CCC">
        <w:rPr>
          <w:rtl/>
        </w:rPr>
        <w:t xml:space="preserve"> ו-2</w:t>
      </w:r>
      <w:r w:rsidR="00D31E3F" w:rsidRPr="00237CCC">
        <w:rPr>
          <w:rFonts w:hint="cs"/>
          <w:rtl/>
        </w:rPr>
        <w:t>012.</w:t>
      </w:r>
      <w:r w:rsidR="00D31E3F">
        <w:rPr>
          <w:rFonts w:hint="cs"/>
          <w:rtl/>
        </w:rPr>
        <w:t xml:space="preserve"> </w:t>
      </w:r>
    </w:p>
    <w:p w:rsidR="002168CB" w:rsidRPr="00794707" w:rsidRDefault="00D31E3F" w:rsidP="00A95B03">
      <w:pPr>
        <w:spacing w:after="0" w:line="312" w:lineRule="auto"/>
        <w:rPr>
          <w:rtl/>
        </w:rPr>
      </w:pPr>
      <w:r>
        <w:rPr>
          <w:rFonts w:hint="cs"/>
          <w:rtl/>
        </w:rPr>
        <w:t xml:space="preserve">בנוסף, נעשה שימוש במקורות מידע </w:t>
      </w:r>
      <w:r w:rsidR="00461493">
        <w:rPr>
          <w:rFonts w:hint="cs"/>
          <w:rtl/>
        </w:rPr>
        <w:t>אחרים</w:t>
      </w:r>
      <w:r>
        <w:rPr>
          <w:rFonts w:hint="cs"/>
          <w:rtl/>
        </w:rPr>
        <w:t>, על מנת להאיר היבטים נוספים בתופעה:</w:t>
      </w:r>
    </w:p>
    <w:p w:rsidR="00D31E3F" w:rsidRDefault="00237CCC" w:rsidP="00F26C39">
      <w:pPr>
        <w:pStyle w:val="af"/>
        <w:numPr>
          <w:ilvl w:val="0"/>
          <w:numId w:val="10"/>
        </w:numPr>
        <w:spacing w:line="312" w:lineRule="auto"/>
      </w:pPr>
      <w:r w:rsidRPr="00237CCC">
        <w:rPr>
          <w:rtl/>
        </w:rPr>
        <w:t>סקרי בריאות והתנהגויות סיכון של בני נוער (</w:t>
      </w:r>
      <w:r w:rsidRPr="00237CCC">
        <w:t>HBSC</w:t>
      </w:r>
      <w:r w:rsidRPr="00237CCC">
        <w:rPr>
          <w:rtl/>
        </w:rPr>
        <w:t xml:space="preserve">) </w:t>
      </w:r>
      <w:r w:rsidR="00904B16">
        <w:rPr>
          <w:rFonts w:hint="cs"/>
          <w:rtl/>
        </w:rPr>
        <w:t>(הראל-פיש ואחרים, 2011)</w:t>
      </w:r>
      <w:r w:rsidRPr="00237CCC">
        <w:rPr>
          <w:rtl/>
        </w:rPr>
        <w:t xml:space="preserve"> –התקיימו מידי כ-4 שנים החל משנת 1994 בקרב תלמידים בכיתות ו,</w:t>
      </w:r>
      <w:r w:rsidR="00A95B03">
        <w:rPr>
          <w:rFonts w:hint="cs"/>
          <w:rtl/>
        </w:rPr>
        <w:t xml:space="preserve"> </w:t>
      </w:r>
      <w:r w:rsidRPr="00237CCC">
        <w:rPr>
          <w:rtl/>
        </w:rPr>
        <w:t>ח,</w:t>
      </w:r>
      <w:r w:rsidR="00A95B03">
        <w:rPr>
          <w:rFonts w:hint="cs"/>
          <w:rtl/>
        </w:rPr>
        <w:t xml:space="preserve"> </w:t>
      </w:r>
      <w:r w:rsidRPr="00237CCC">
        <w:rPr>
          <w:rtl/>
        </w:rPr>
        <w:t xml:space="preserve">י, (בשנת 2010/11 גם בכיתות יא-יב) במדגם מייצג של כיתות בבתי ספר ממלכתיים וממלכתיים-דתיים, ומאפשרים ללמוד על מאפייני התופעה בקבוצות גיל שונות, ועל הקשר </w:t>
      </w:r>
      <w:r w:rsidR="00C00B59">
        <w:rPr>
          <w:rFonts w:hint="cs"/>
          <w:rtl/>
        </w:rPr>
        <w:t>שבין הנשירה הסמויה לבין היבטים אחרים של חיי בני הנוער</w:t>
      </w:r>
      <w:r w:rsidR="00D31E3F">
        <w:rPr>
          <w:rFonts w:hint="cs"/>
          <w:rtl/>
        </w:rPr>
        <w:t xml:space="preserve"> (התנהגויות סיכון, יחסים עם </w:t>
      </w:r>
      <w:r w:rsidR="00461493">
        <w:rPr>
          <w:rFonts w:hint="cs"/>
          <w:rtl/>
        </w:rPr>
        <w:t>ה</w:t>
      </w:r>
      <w:r w:rsidR="00D31E3F">
        <w:rPr>
          <w:rFonts w:hint="cs"/>
          <w:rtl/>
        </w:rPr>
        <w:t>ורים ועוד).</w:t>
      </w:r>
      <w:r w:rsidR="005530ED">
        <w:rPr>
          <w:rFonts w:hint="cs"/>
          <w:rtl/>
        </w:rPr>
        <w:t xml:space="preserve"> סקרים אלה מתייחסים לממד ההתנהגותי ולממד הרגשי, אך לא לממד הקוגנ</w:t>
      </w:r>
      <w:r w:rsidR="00CC4A81">
        <w:rPr>
          <w:rFonts w:hint="cs"/>
          <w:rtl/>
        </w:rPr>
        <w:t>י</w:t>
      </w:r>
      <w:r w:rsidR="005530ED">
        <w:rPr>
          <w:rFonts w:hint="cs"/>
          <w:rtl/>
        </w:rPr>
        <w:t>טיבי.</w:t>
      </w:r>
    </w:p>
    <w:p w:rsidR="005530ED" w:rsidRDefault="0027767F" w:rsidP="00904B16">
      <w:pPr>
        <w:pStyle w:val="af"/>
        <w:numPr>
          <w:ilvl w:val="0"/>
          <w:numId w:val="10"/>
        </w:numPr>
        <w:spacing w:line="312" w:lineRule="auto"/>
      </w:pPr>
      <w:r w:rsidRPr="00794707">
        <w:rPr>
          <w:rFonts w:hint="eastAsia"/>
          <w:rtl/>
        </w:rPr>
        <w:t>נתונים</w:t>
      </w:r>
      <w:r w:rsidRPr="00794707">
        <w:rPr>
          <w:rtl/>
        </w:rPr>
        <w:t xml:space="preserve"> </w:t>
      </w:r>
      <w:r w:rsidRPr="00794707">
        <w:rPr>
          <w:rFonts w:hint="eastAsia"/>
          <w:rtl/>
        </w:rPr>
        <w:t>שנאספו</w:t>
      </w:r>
      <w:r w:rsidRPr="00794707">
        <w:rPr>
          <w:rtl/>
        </w:rPr>
        <w:t xml:space="preserve"> </w:t>
      </w:r>
      <w:r w:rsidRPr="00794707">
        <w:rPr>
          <w:rFonts w:hint="eastAsia"/>
          <w:rtl/>
        </w:rPr>
        <w:t>במסגרת</w:t>
      </w:r>
      <w:r w:rsidRPr="00794707">
        <w:rPr>
          <w:rtl/>
        </w:rPr>
        <w:t xml:space="preserve"> </w:t>
      </w:r>
      <w:r w:rsidRPr="00794707">
        <w:rPr>
          <w:rFonts w:hint="eastAsia"/>
          <w:rtl/>
        </w:rPr>
        <w:t>התכנית</w:t>
      </w:r>
      <w:r w:rsidRPr="00794707">
        <w:rPr>
          <w:rtl/>
        </w:rPr>
        <w:t xml:space="preserve"> </w:t>
      </w:r>
      <w:r w:rsidRPr="00794707">
        <w:rPr>
          <w:rFonts w:hint="eastAsia"/>
          <w:rtl/>
        </w:rPr>
        <w:t>הלאומית</w:t>
      </w:r>
      <w:r w:rsidRPr="00794707">
        <w:rPr>
          <w:rtl/>
        </w:rPr>
        <w:t xml:space="preserve"> </w:t>
      </w:r>
      <w:r w:rsidRPr="00794707">
        <w:rPr>
          <w:rFonts w:hint="eastAsia"/>
          <w:rtl/>
        </w:rPr>
        <w:t>לילדים</w:t>
      </w:r>
      <w:r w:rsidRPr="00794707">
        <w:rPr>
          <w:rtl/>
        </w:rPr>
        <w:t xml:space="preserve"> </w:t>
      </w:r>
      <w:r w:rsidRPr="00794707">
        <w:rPr>
          <w:rFonts w:hint="eastAsia"/>
          <w:rtl/>
        </w:rPr>
        <w:t>ובני</w:t>
      </w:r>
      <w:r w:rsidRPr="00794707">
        <w:rPr>
          <w:rtl/>
        </w:rPr>
        <w:t xml:space="preserve"> </w:t>
      </w:r>
      <w:r w:rsidRPr="00794707">
        <w:rPr>
          <w:rFonts w:hint="eastAsia"/>
          <w:rtl/>
        </w:rPr>
        <w:t>נוער</w:t>
      </w:r>
      <w:r w:rsidRPr="00794707">
        <w:rPr>
          <w:rtl/>
        </w:rPr>
        <w:t xml:space="preserve"> </w:t>
      </w:r>
      <w:r w:rsidRPr="00794707">
        <w:rPr>
          <w:rFonts w:hint="eastAsia"/>
          <w:rtl/>
        </w:rPr>
        <w:t>בסיכון</w:t>
      </w:r>
      <w:r w:rsidRPr="00794707">
        <w:rPr>
          <w:rtl/>
        </w:rPr>
        <w:t xml:space="preserve"> (</w:t>
      </w:r>
      <w:r w:rsidRPr="00794707">
        <w:rPr>
          <w:rFonts w:hint="eastAsia"/>
          <w:rtl/>
        </w:rPr>
        <w:t>תכנית</w:t>
      </w:r>
      <w:r w:rsidRPr="00794707">
        <w:rPr>
          <w:rtl/>
        </w:rPr>
        <w:t xml:space="preserve"> 360</w:t>
      </w:r>
      <w:r w:rsidRPr="00D31E3F">
        <w:rPr>
          <w:vertAlign w:val="superscript"/>
          <w:rtl/>
        </w:rPr>
        <w:t>0</w:t>
      </w:r>
      <w:r w:rsidRPr="00794707">
        <w:rPr>
          <w:rtl/>
        </w:rPr>
        <w:t>)</w:t>
      </w:r>
      <w:r w:rsidR="004C6552">
        <w:rPr>
          <w:rFonts w:hint="cs"/>
          <w:rtl/>
        </w:rPr>
        <w:t xml:space="preserve"> בשנת 2009</w:t>
      </w:r>
      <w:r w:rsidR="00904B16">
        <w:rPr>
          <w:rFonts w:hint="cs"/>
          <w:sz w:val="26"/>
          <w:rtl/>
        </w:rPr>
        <w:t xml:space="preserve"> (סבו-לאל ואחרים, 2011)</w:t>
      </w:r>
      <w:r w:rsidR="00D52D81">
        <w:rPr>
          <w:rFonts w:hint="cs"/>
          <w:sz w:val="26"/>
          <w:rtl/>
        </w:rPr>
        <w:t>,</w:t>
      </w:r>
      <w:r w:rsidR="005530ED">
        <w:rPr>
          <w:rFonts w:hint="cs"/>
          <w:rtl/>
        </w:rPr>
        <w:t xml:space="preserve"> ובהם </w:t>
      </w:r>
      <w:r w:rsidR="004C6552">
        <w:rPr>
          <w:rFonts w:hint="cs"/>
          <w:rtl/>
        </w:rPr>
        <w:t xml:space="preserve">דיווחי </w:t>
      </w:r>
      <w:r w:rsidR="005530ED">
        <w:rPr>
          <w:rFonts w:hint="cs"/>
          <w:rtl/>
        </w:rPr>
        <w:t xml:space="preserve">מורים על </w:t>
      </w:r>
      <w:r w:rsidR="00C00B59">
        <w:rPr>
          <w:rFonts w:hint="cs"/>
          <w:rtl/>
        </w:rPr>
        <w:t xml:space="preserve">היקף </w:t>
      </w:r>
      <w:r w:rsidR="005530ED">
        <w:rPr>
          <w:rFonts w:hint="cs"/>
          <w:rtl/>
        </w:rPr>
        <w:t xml:space="preserve">מצבי </w:t>
      </w:r>
      <w:r w:rsidR="00EA483E">
        <w:rPr>
          <w:rFonts w:hint="cs"/>
          <w:rtl/>
        </w:rPr>
        <w:t xml:space="preserve">סיכון </w:t>
      </w:r>
      <w:r w:rsidR="00237CCC">
        <w:rPr>
          <w:rFonts w:hint="cs"/>
          <w:rtl/>
        </w:rPr>
        <w:t xml:space="preserve">שונים </w:t>
      </w:r>
      <w:r w:rsidR="00C00B59">
        <w:rPr>
          <w:rFonts w:hint="cs"/>
          <w:rtl/>
        </w:rPr>
        <w:t xml:space="preserve">בקרב </w:t>
      </w:r>
      <w:r w:rsidR="005530ED">
        <w:rPr>
          <w:rFonts w:hint="cs"/>
          <w:rtl/>
        </w:rPr>
        <w:t>תלמידים בכיתות א-יב, ב</w:t>
      </w:r>
      <w:r w:rsidR="00237CCC">
        <w:rPr>
          <w:rFonts w:hint="cs"/>
          <w:rtl/>
        </w:rPr>
        <w:t>כ</w:t>
      </w:r>
      <w:r w:rsidR="005530ED">
        <w:rPr>
          <w:rFonts w:hint="cs"/>
          <w:rtl/>
        </w:rPr>
        <w:t>-70 יישובים מאשכולות סוציו-אקונומיים נמוכים</w:t>
      </w:r>
      <w:r w:rsidR="00AE1E13">
        <w:rPr>
          <w:rFonts w:hint="cs"/>
          <w:rtl/>
        </w:rPr>
        <w:t xml:space="preserve"> (כולל יישובים ערבים וחרד</w:t>
      </w:r>
      <w:r w:rsidR="00E940C6">
        <w:rPr>
          <w:rFonts w:hint="cs"/>
          <w:rtl/>
        </w:rPr>
        <w:t>ים</w:t>
      </w:r>
      <w:r w:rsidR="00C00B59">
        <w:rPr>
          <w:rFonts w:hint="cs"/>
          <w:rtl/>
        </w:rPr>
        <w:t xml:space="preserve"> רבים)</w:t>
      </w:r>
      <w:r w:rsidR="005530ED">
        <w:rPr>
          <w:rFonts w:hint="cs"/>
          <w:rtl/>
        </w:rPr>
        <w:t>.</w:t>
      </w:r>
      <w:r w:rsidR="00461493">
        <w:rPr>
          <w:rFonts w:hint="cs"/>
          <w:rtl/>
        </w:rPr>
        <w:t xml:space="preserve"> נתונים אלה מאפשרים ל</w:t>
      </w:r>
      <w:r w:rsidR="004C6552">
        <w:rPr>
          <w:rFonts w:hint="cs"/>
          <w:rtl/>
        </w:rPr>
        <w:t xml:space="preserve">למוד </w:t>
      </w:r>
      <w:r w:rsidR="00237CCC">
        <w:rPr>
          <w:rFonts w:hint="cs"/>
          <w:rtl/>
        </w:rPr>
        <w:t xml:space="preserve">על </w:t>
      </w:r>
      <w:r w:rsidR="004C6552">
        <w:rPr>
          <w:rFonts w:hint="cs"/>
          <w:rtl/>
        </w:rPr>
        <w:t>תופעת</w:t>
      </w:r>
      <w:r w:rsidR="00461493">
        <w:rPr>
          <w:rFonts w:hint="cs"/>
          <w:rtl/>
        </w:rPr>
        <w:t xml:space="preserve"> ה</w:t>
      </w:r>
      <w:r w:rsidR="008066BB">
        <w:rPr>
          <w:rFonts w:hint="cs"/>
          <w:rtl/>
        </w:rPr>
        <w:t>נשירה הסמויה</w:t>
      </w:r>
      <w:r w:rsidR="00461493">
        <w:rPr>
          <w:rFonts w:hint="cs"/>
          <w:rtl/>
        </w:rPr>
        <w:t xml:space="preserve"> בקרב ילדים צעירים יותר. </w:t>
      </w:r>
    </w:p>
    <w:p w:rsidR="00A85F8C" w:rsidRDefault="0027767F" w:rsidP="00A95B03">
      <w:pPr>
        <w:spacing w:line="312" w:lineRule="auto"/>
        <w:rPr>
          <w:rtl/>
        </w:rPr>
      </w:pPr>
      <w:r w:rsidRPr="00794707">
        <w:rPr>
          <w:rFonts w:hint="eastAsia"/>
          <w:rtl/>
        </w:rPr>
        <w:t>ראוי</w:t>
      </w:r>
      <w:r w:rsidRPr="00794707">
        <w:rPr>
          <w:rtl/>
        </w:rPr>
        <w:t xml:space="preserve"> </w:t>
      </w:r>
      <w:r w:rsidRPr="00794707">
        <w:rPr>
          <w:rFonts w:hint="eastAsia"/>
          <w:rtl/>
        </w:rPr>
        <w:t>ל</w:t>
      </w:r>
      <w:r w:rsidR="004C6552">
        <w:rPr>
          <w:rFonts w:hint="cs"/>
          <w:rtl/>
        </w:rPr>
        <w:t>הדגיש</w:t>
      </w:r>
      <w:r w:rsidRPr="00794707">
        <w:rPr>
          <w:rtl/>
        </w:rPr>
        <w:t xml:space="preserve"> </w:t>
      </w:r>
      <w:r w:rsidRPr="00794707">
        <w:rPr>
          <w:rFonts w:hint="eastAsia"/>
          <w:rtl/>
        </w:rPr>
        <w:t>שהמדדים</w:t>
      </w:r>
      <w:r w:rsidRPr="00794707">
        <w:rPr>
          <w:rtl/>
        </w:rPr>
        <w:t xml:space="preserve"> </w:t>
      </w:r>
      <w:r w:rsidRPr="00794707">
        <w:rPr>
          <w:rFonts w:hint="eastAsia"/>
          <w:rtl/>
        </w:rPr>
        <w:t>שניתן</w:t>
      </w:r>
      <w:r w:rsidRPr="00794707">
        <w:rPr>
          <w:rtl/>
        </w:rPr>
        <w:t xml:space="preserve"> </w:t>
      </w:r>
      <w:r w:rsidRPr="00794707">
        <w:rPr>
          <w:rFonts w:hint="eastAsia"/>
          <w:rtl/>
        </w:rPr>
        <w:t>להפיק</w:t>
      </w:r>
      <w:r w:rsidRPr="00794707">
        <w:rPr>
          <w:rtl/>
        </w:rPr>
        <w:t xml:space="preserve"> </w:t>
      </w:r>
      <w:r w:rsidRPr="00794707">
        <w:rPr>
          <w:rFonts w:hint="eastAsia"/>
          <w:rtl/>
        </w:rPr>
        <w:t>ממקורות</w:t>
      </w:r>
      <w:r w:rsidRPr="00794707">
        <w:rPr>
          <w:rtl/>
        </w:rPr>
        <w:t xml:space="preserve"> </w:t>
      </w:r>
      <w:r w:rsidRPr="00794707">
        <w:rPr>
          <w:rFonts w:hint="eastAsia"/>
          <w:rtl/>
        </w:rPr>
        <w:t>המידע</w:t>
      </w:r>
      <w:r w:rsidRPr="00794707">
        <w:rPr>
          <w:rtl/>
        </w:rPr>
        <w:t xml:space="preserve"> </w:t>
      </w:r>
      <w:r w:rsidRPr="00794707">
        <w:rPr>
          <w:rFonts w:hint="eastAsia"/>
          <w:rtl/>
        </w:rPr>
        <w:t>השונים</w:t>
      </w:r>
      <w:r w:rsidRPr="00794707">
        <w:rPr>
          <w:rtl/>
        </w:rPr>
        <w:t xml:space="preserve"> </w:t>
      </w:r>
      <w:r w:rsidRPr="00794707">
        <w:rPr>
          <w:rFonts w:hint="eastAsia"/>
          <w:rtl/>
        </w:rPr>
        <w:t>אינם</w:t>
      </w:r>
      <w:r w:rsidRPr="00794707">
        <w:rPr>
          <w:rtl/>
        </w:rPr>
        <w:t xml:space="preserve"> </w:t>
      </w:r>
      <w:r w:rsidRPr="00794707">
        <w:rPr>
          <w:rFonts w:hint="eastAsia"/>
          <w:rtl/>
        </w:rPr>
        <w:t>זהים</w:t>
      </w:r>
      <w:r w:rsidRPr="00794707">
        <w:rPr>
          <w:rtl/>
        </w:rPr>
        <w:t xml:space="preserve">, </w:t>
      </w:r>
      <w:r w:rsidRPr="00794707">
        <w:rPr>
          <w:rFonts w:hint="eastAsia"/>
          <w:rtl/>
        </w:rPr>
        <w:t>ולכן</w:t>
      </w:r>
      <w:r w:rsidRPr="00794707">
        <w:rPr>
          <w:rtl/>
        </w:rPr>
        <w:t xml:space="preserve"> </w:t>
      </w:r>
      <w:r w:rsidRPr="00794707">
        <w:rPr>
          <w:rFonts w:hint="eastAsia"/>
          <w:rtl/>
        </w:rPr>
        <w:t>גם</w:t>
      </w:r>
      <w:r w:rsidRPr="00794707">
        <w:rPr>
          <w:rtl/>
        </w:rPr>
        <w:t xml:space="preserve"> </w:t>
      </w:r>
      <w:r w:rsidR="00B03D2B" w:rsidRPr="00794707">
        <w:rPr>
          <w:rFonts w:hint="eastAsia"/>
          <w:rtl/>
        </w:rPr>
        <w:t>האומדנים</w:t>
      </w:r>
      <w:r w:rsidR="00B03D2B" w:rsidRPr="00794707">
        <w:rPr>
          <w:rtl/>
        </w:rPr>
        <w:t xml:space="preserve"> </w:t>
      </w:r>
      <w:r w:rsidR="00B03D2B" w:rsidRPr="00794707">
        <w:rPr>
          <w:rFonts w:hint="eastAsia"/>
          <w:rtl/>
        </w:rPr>
        <w:t>ל</w:t>
      </w:r>
      <w:r w:rsidRPr="00794707">
        <w:rPr>
          <w:rFonts w:hint="eastAsia"/>
          <w:rtl/>
        </w:rPr>
        <w:t>היקפי</w:t>
      </w:r>
      <w:r w:rsidRPr="00794707">
        <w:rPr>
          <w:rtl/>
        </w:rPr>
        <w:t xml:space="preserve"> </w:t>
      </w:r>
      <w:r w:rsidRPr="00794707">
        <w:rPr>
          <w:rFonts w:hint="eastAsia"/>
          <w:rtl/>
        </w:rPr>
        <w:t>התופעות</w:t>
      </w:r>
      <w:r w:rsidRPr="00794707">
        <w:rPr>
          <w:rtl/>
        </w:rPr>
        <w:t xml:space="preserve"> </w:t>
      </w:r>
      <w:r w:rsidRPr="00794707">
        <w:rPr>
          <w:rFonts w:hint="eastAsia"/>
          <w:rtl/>
        </w:rPr>
        <w:t>על</w:t>
      </w:r>
      <w:r w:rsidRPr="00794707">
        <w:rPr>
          <w:rtl/>
        </w:rPr>
        <w:t xml:space="preserve"> </w:t>
      </w:r>
      <w:r w:rsidRPr="00794707">
        <w:rPr>
          <w:rFonts w:hint="eastAsia"/>
          <w:rtl/>
        </w:rPr>
        <w:t>פי</w:t>
      </w:r>
      <w:r w:rsidRPr="00794707">
        <w:rPr>
          <w:rtl/>
        </w:rPr>
        <w:t xml:space="preserve"> </w:t>
      </w:r>
      <w:r w:rsidRPr="00794707">
        <w:rPr>
          <w:rFonts w:hint="eastAsia"/>
          <w:rtl/>
        </w:rPr>
        <w:t>המדדים</w:t>
      </w:r>
      <w:r w:rsidRPr="00794707">
        <w:rPr>
          <w:rtl/>
        </w:rPr>
        <w:t xml:space="preserve"> </w:t>
      </w:r>
      <w:r w:rsidRPr="00794707">
        <w:rPr>
          <w:rFonts w:hint="eastAsia"/>
          <w:rtl/>
        </w:rPr>
        <w:t>השונים</w:t>
      </w:r>
      <w:r w:rsidRPr="00794707">
        <w:rPr>
          <w:rtl/>
        </w:rPr>
        <w:t xml:space="preserve"> </w:t>
      </w:r>
      <w:r w:rsidRPr="00794707">
        <w:rPr>
          <w:rFonts w:hint="eastAsia"/>
          <w:rtl/>
        </w:rPr>
        <w:t>אינם</w:t>
      </w:r>
      <w:r w:rsidRPr="00794707">
        <w:rPr>
          <w:rtl/>
        </w:rPr>
        <w:t xml:space="preserve"> </w:t>
      </w:r>
      <w:r w:rsidRPr="00794707">
        <w:rPr>
          <w:rFonts w:hint="eastAsia"/>
          <w:rtl/>
        </w:rPr>
        <w:t>זהים</w:t>
      </w:r>
      <w:r w:rsidRPr="00794707">
        <w:rPr>
          <w:rtl/>
        </w:rPr>
        <w:t xml:space="preserve">. </w:t>
      </w:r>
      <w:r w:rsidRPr="00794707">
        <w:rPr>
          <w:rFonts w:hint="eastAsia"/>
          <w:rtl/>
        </w:rPr>
        <w:t>עם</w:t>
      </w:r>
      <w:r w:rsidRPr="00794707">
        <w:rPr>
          <w:rtl/>
        </w:rPr>
        <w:t xml:space="preserve"> </w:t>
      </w:r>
      <w:r w:rsidRPr="00794707">
        <w:rPr>
          <w:rFonts w:hint="eastAsia"/>
          <w:rtl/>
        </w:rPr>
        <w:t>זאת</w:t>
      </w:r>
      <w:r w:rsidRPr="00794707">
        <w:rPr>
          <w:rtl/>
        </w:rPr>
        <w:t xml:space="preserve">, </w:t>
      </w:r>
      <w:r w:rsidRPr="00794707">
        <w:rPr>
          <w:rFonts w:hint="eastAsia"/>
          <w:rtl/>
        </w:rPr>
        <w:t>הנתונים</w:t>
      </w:r>
      <w:r w:rsidRPr="00794707">
        <w:rPr>
          <w:rtl/>
        </w:rPr>
        <w:t xml:space="preserve"> </w:t>
      </w:r>
      <w:r w:rsidRPr="00794707">
        <w:rPr>
          <w:rFonts w:hint="eastAsia"/>
          <w:rtl/>
        </w:rPr>
        <w:t>מהמקורות</w:t>
      </w:r>
      <w:r w:rsidRPr="00794707">
        <w:rPr>
          <w:rtl/>
        </w:rPr>
        <w:t xml:space="preserve"> </w:t>
      </w:r>
      <w:r w:rsidRPr="00794707">
        <w:rPr>
          <w:rFonts w:hint="eastAsia"/>
          <w:rtl/>
        </w:rPr>
        <w:t>השונים</w:t>
      </w:r>
      <w:r w:rsidRPr="00794707">
        <w:rPr>
          <w:rtl/>
        </w:rPr>
        <w:t xml:space="preserve"> </w:t>
      </w:r>
      <w:r w:rsidRPr="00794707">
        <w:rPr>
          <w:rFonts w:hint="eastAsia"/>
          <w:rtl/>
        </w:rPr>
        <w:t>מעלים</w:t>
      </w:r>
      <w:r w:rsidRPr="00794707">
        <w:rPr>
          <w:rtl/>
        </w:rPr>
        <w:t xml:space="preserve"> </w:t>
      </w:r>
      <w:r w:rsidRPr="00794707">
        <w:rPr>
          <w:rFonts w:hint="eastAsia"/>
          <w:rtl/>
        </w:rPr>
        <w:t>ממצאים</w:t>
      </w:r>
      <w:r w:rsidRPr="00794707">
        <w:rPr>
          <w:rtl/>
        </w:rPr>
        <w:t xml:space="preserve"> </w:t>
      </w:r>
      <w:r w:rsidRPr="00794707">
        <w:rPr>
          <w:rFonts w:hint="eastAsia"/>
          <w:rtl/>
        </w:rPr>
        <w:t>עקביים</w:t>
      </w:r>
      <w:r w:rsidRPr="00794707">
        <w:rPr>
          <w:rtl/>
        </w:rPr>
        <w:t xml:space="preserve"> </w:t>
      </w:r>
      <w:r w:rsidRPr="00794707">
        <w:rPr>
          <w:rFonts w:hint="eastAsia"/>
          <w:rtl/>
        </w:rPr>
        <w:t>לגבי</w:t>
      </w:r>
      <w:r w:rsidRPr="00794707">
        <w:rPr>
          <w:rtl/>
        </w:rPr>
        <w:t xml:space="preserve"> </w:t>
      </w:r>
      <w:r w:rsidRPr="00794707">
        <w:rPr>
          <w:rFonts w:hint="eastAsia"/>
          <w:rtl/>
        </w:rPr>
        <w:t>סדר</w:t>
      </w:r>
      <w:r w:rsidRPr="00794707">
        <w:rPr>
          <w:rtl/>
        </w:rPr>
        <w:t xml:space="preserve"> </w:t>
      </w:r>
      <w:r w:rsidRPr="00794707">
        <w:rPr>
          <w:rFonts w:hint="eastAsia"/>
          <w:rtl/>
        </w:rPr>
        <w:t>הגודל</w:t>
      </w:r>
      <w:r w:rsidRPr="00794707">
        <w:rPr>
          <w:rtl/>
        </w:rPr>
        <w:t xml:space="preserve"> </w:t>
      </w:r>
      <w:r w:rsidRPr="00794707">
        <w:rPr>
          <w:rFonts w:hint="eastAsia"/>
          <w:rtl/>
        </w:rPr>
        <w:t>של</w:t>
      </w:r>
      <w:r w:rsidRPr="00794707">
        <w:rPr>
          <w:rtl/>
        </w:rPr>
        <w:t xml:space="preserve"> </w:t>
      </w:r>
      <w:r w:rsidRPr="00794707">
        <w:rPr>
          <w:rFonts w:hint="eastAsia"/>
          <w:rtl/>
        </w:rPr>
        <w:t>התופעה</w:t>
      </w:r>
      <w:r w:rsidRPr="00794707">
        <w:rPr>
          <w:rtl/>
        </w:rPr>
        <w:t xml:space="preserve">, </w:t>
      </w:r>
      <w:r w:rsidRPr="00794707">
        <w:rPr>
          <w:rFonts w:hint="eastAsia"/>
          <w:rtl/>
        </w:rPr>
        <w:t>מאפייניה</w:t>
      </w:r>
      <w:r w:rsidRPr="00794707">
        <w:rPr>
          <w:rtl/>
        </w:rPr>
        <w:t xml:space="preserve"> </w:t>
      </w:r>
      <w:r w:rsidRPr="00794707">
        <w:rPr>
          <w:rFonts w:hint="eastAsia"/>
          <w:rtl/>
        </w:rPr>
        <w:t>ומגמות</w:t>
      </w:r>
      <w:r w:rsidRPr="00794707">
        <w:rPr>
          <w:rtl/>
        </w:rPr>
        <w:t xml:space="preserve"> </w:t>
      </w:r>
      <w:r w:rsidRPr="00794707">
        <w:rPr>
          <w:rFonts w:hint="eastAsia"/>
          <w:rtl/>
        </w:rPr>
        <w:t>השינוי</w:t>
      </w:r>
      <w:r w:rsidRPr="00794707">
        <w:rPr>
          <w:rtl/>
        </w:rPr>
        <w:t xml:space="preserve"> </w:t>
      </w:r>
      <w:r w:rsidRPr="00794707">
        <w:rPr>
          <w:rFonts w:hint="eastAsia"/>
          <w:rtl/>
        </w:rPr>
        <w:t>בהיקפה</w:t>
      </w:r>
      <w:r w:rsidR="00237CCC" w:rsidRPr="00237CCC">
        <w:rPr>
          <w:rFonts w:hint="cs"/>
          <w:rtl/>
        </w:rPr>
        <w:t>.</w:t>
      </w:r>
      <w:r w:rsidR="00237CCC" w:rsidRPr="00237CCC">
        <w:rPr>
          <w:rStyle w:val="ad"/>
          <w:rtl/>
        </w:rPr>
        <w:footnoteReference w:id="9"/>
      </w:r>
      <w:r w:rsidR="00237CCC" w:rsidRPr="00237CCC">
        <w:rPr>
          <w:rtl/>
        </w:rPr>
        <w:t xml:space="preserve"> </w:t>
      </w:r>
    </w:p>
    <w:p w:rsidR="00EA483E" w:rsidRPr="00237CCC" w:rsidRDefault="00A95B03" w:rsidP="000C667C">
      <w:pPr>
        <w:pStyle w:val="1"/>
        <w:spacing w:after="0"/>
      </w:pPr>
      <w:r>
        <w:rPr>
          <w:rFonts w:hint="cs"/>
          <w:rtl/>
        </w:rPr>
        <w:t xml:space="preserve">2. </w:t>
      </w:r>
      <w:r w:rsidR="00EA483E" w:rsidRPr="00237CCC">
        <w:rPr>
          <w:rtl/>
        </w:rPr>
        <w:t xml:space="preserve">היקף </w:t>
      </w:r>
      <w:r w:rsidR="00EA483E" w:rsidRPr="00237CCC">
        <w:rPr>
          <w:rFonts w:hint="cs"/>
          <w:rtl/>
        </w:rPr>
        <w:t>ממדי ניתוק</w:t>
      </w:r>
      <w:r w:rsidR="006457AB">
        <w:rPr>
          <w:rFonts w:hint="cs"/>
          <w:rtl/>
        </w:rPr>
        <w:t xml:space="preserve"> בשנת 2012</w:t>
      </w:r>
    </w:p>
    <w:p w:rsidR="002A7622" w:rsidRDefault="00DF1CBA" w:rsidP="002663F0">
      <w:pPr>
        <w:pStyle w:val="af"/>
        <w:numPr>
          <w:ilvl w:val="0"/>
          <w:numId w:val="7"/>
        </w:numPr>
        <w:spacing w:line="312" w:lineRule="auto"/>
      </w:pPr>
      <w:r>
        <w:rPr>
          <w:rFonts w:hint="cs"/>
          <w:rtl/>
        </w:rPr>
        <w:t xml:space="preserve">מהמחקר עולה כי תלמידים רבים מדווחים על ניתוק מבית הספר. </w:t>
      </w:r>
      <w:r w:rsidR="00D843ED">
        <w:rPr>
          <w:rFonts w:hint="cs"/>
          <w:rtl/>
        </w:rPr>
        <w:t>על פי מבחני פי</w:t>
      </w:r>
      <w:r w:rsidR="005530ED">
        <w:rPr>
          <w:rFonts w:hint="cs"/>
          <w:rtl/>
        </w:rPr>
        <w:t>ז</w:t>
      </w:r>
      <w:r w:rsidR="00D843ED">
        <w:rPr>
          <w:rFonts w:hint="cs"/>
          <w:rtl/>
        </w:rPr>
        <w:t>"</w:t>
      </w:r>
      <w:r w:rsidR="005530ED">
        <w:rPr>
          <w:rFonts w:hint="cs"/>
          <w:rtl/>
        </w:rPr>
        <w:t>ה משנת 2012, 42% מהתלמידים בישראל בגיל 15 מדווחים על תחושת ניתוק בלפחות אחד מהתחומים שנבדקו</w:t>
      </w:r>
      <w:r w:rsidR="002A7622" w:rsidRPr="00C211A6">
        <w:rPr>
          <w:rStyle w:val="ad"/>
          <w:rtl/>
        </w:rPr>
        <w:footnoteReference w:id="10"/>
      </w:r>
      <w:r w:rsidR="002A7622">
        <w:rPr>
          <w:rFonts w:hint="cs"/>
          <w:rtl/>
        </w:rPr>
        <w:t>:</w:t>
      </w:r>
    </w:p>
    <w:p w:rsidR="002A7622" w:rsidRDefault="002A7622" w:rsidP="00EB1F2B">
      <w:pPr>
        <w:pStyle w:val="af"/>
        <w:numPr>
          <w:ilvl w:val="1"/>
          <w:numId w:val="6"/>
        </w:numPr>
        <w:spacing w:line="312" w:lineRule="auto"/>
      </w:pPr>
      <w:r>
        <w:rPr>
          <w:rFonts w:hint="cs"/>
          <w:rtl/>
        </w:rPr>
        <w:t xml:space="preserve">15% דיווחו על ניתוק התנהגותי </w:t>
      </w:r>
      <w:r w:rsidR="0049455E">
        <w:rPr>
          <w:rFonts w:hint="cs"/>
          <w:rtl/>
        </w:rPr>
        <w:t xml:space="preserve">(לעומת 8% ממוצע מדינות </w:t>
      </w:r>
      <w:r w:rsidR="0049455E">
        <w:t>OECD</w:t>
      </w:r>
      <w:r w:rsidR="0049455E">
        <w:rPr>
          <w:rFonts w:hint="cs"/>
          <w:rtl/>
        </w:rPr>
        <w:t>ׂׂ</w:t>
      </w:r>
      <w:r w:rsidR="0049455E">
        <w:t>(</w:t>
      </w:r>
    </w:p>
    <w:p w:rsidR="002A7622" w:rsidRDefault="002A7622" w:rsidP="00EB1F2B">
      <w:pPr>
        <w:pStyle w:val="af"/>
        <w:numPr>
          <w:ilvl w:val="1"/>
          <w:numId w:val="6"/>
        </w:numPr>
        <w:spacing w:line="312" w:lineRule="auto"/>
      </w:pPr>
      <w:r w:rsidRPr="00C211A6">
        <w:rPr>
          <w:rFonts w:hint="cs"/>
          <w:rtl/>
        </w:rPr>
        <w:t xml:space="preserve">24% </w:t>
      </w:r>
      <w:r>
        <w:rPr>
          <w:rFonts w:hint="cs"/>
          <w:rtl/>
        </w:rPr>
        <w:t>דיווחו</w:t>
      </w:r>
      <w:r w:rsidRPr="00C211A6">
        <w:rPr>
          <w:rFonts w:hint="cs"/>
          <w:rtl/>
        </w:rPr>
        <w:t xml:space="preserve"> על ניתוק רגשי</w:t>
      </w:r>
      <w:r w:rsidR="0049455E">
        <w:t xml:space="preserve"> </w:t>
      </w:r>
      <w:r w:rsidR="0049455E">
        <w:rPr>
          <w:rFonts w:hint="cs"/>
          <w:rtl/>
        </w:rPr>
        <w:t xml:space="preserve">(לעומת 35% ממוצע מדינות </w:t>
      </w:r>
      <w:r w:rsidR="0049455E">
        <w:t>OECD</w:t>
      </w:r>
      <w:r w:rsidR="0049455E">
        <w:rPr>
          <w:rFonts w:hint="cs"/>
          <w:rtl/>
        </w:rPr>
        <w:t>ׂׂ</w:t>
      </w:r>
      <w:r w:rsidR="0049455E">
        <w:t>(</w:t>
      </w:r>
    </w:p>
    <w:p w:rsidR="004C6552" w:rsidRDefault="004C6552" w:rsidP="004C6552">
      <w:pPr>
        <w:pStyle w:val="af"/>
        <w:numPr>
          <w:ilvl w:val="1"/>
          <w:numId w:val="6"/>
        </w:numPr>
        <w:spacing w:line="312" w:lineRule="auto"/>
      </w:pPr>
      <w:r>
        <w:rPr>
          <w:rFonts w:hint="cs"/>
          <w:rtl/>
        </w:rPr>
        <w:t>22% דיווחו על ניתוק קוגניטיבי</w:t>
      </w:r>
      <w:r>
        <w:t xml:space="preserve"> </w:t>
      </w:r>
      <w:r>
        <w:rPr>
          <w:rFonts w:hint="cs"/>
          <w:rtl/>
        </w:rPr>
        <w:t xml:space="preserve">(לעומת 24% ממוצע מדינות </w:t>
      </w:r>
      <w:r>
        <w:t>OECD</w:t>
      </w:r>
      <w:r>
        <w:rPr>
          <w:rFonts w:hint="cs"/>
          <w:rtl/>
        </w:rPr>
        <w:t>ׂׂ</w:t>
      </w:r>
      <w:r>
        <w:t xml:space="preserve">( </w:t>
      </w:r>
    </w:p>
    <w:p w:rsidR="003D580A" w:rsidRDefault="003D580A" w:rsidP="00B00ADA">
      <w:pPr>
        <w:pStyle w:val="af"/>
        <w:numPr>
          <w:ilvl w:val="0"/>
          <w:numId w:val="6"/>
        </w:numPr>
        <w:spacing w:line="312" w:lineRule="auto"/>
        <w:ind w:left="276" w:hanging="283"/>
      </w:pPr>
      <w:r w:rsidRPr="003D580A">
        <w:rPr>
          <w:rtl/>
        </w:rPr>
        <w:t>שיעור משמעותי של תלמידים (13%) מדווחים על ניתוק בשני תחומים (9% – על ניתוק רגשי וקוגנ</w:t>
      </w:r>
      <w:r w:rsidR="0064465B">
        <w:rPr>
          <w:rFonts w:hint="cs"/>
          <w:rtl/>
        </w:rPr>
        <w:t>י</w:t>
      </w:r>
      <w:r w:rsidRPr="003D580A">
        <w:rPr>
          <w:rtl/>
        </w:rPr>
        <w:t>טיבי).</w:t>
      </w:r>
      <w:r w:rsidR="004C6552">
        <w:rPr>
          <w:rFonts w:hint="cs"/>
          <w:rtl/>
        </w:rPr>
        <w:t xml:space="preserve"> עוד</w:t>
      </w:r>
      <w:r w:rsidRPr="003D580A">
        <w:rPr>
          <w:rtl/>
        </w:rPr>
        <w:t xml:space="preserve"> 3% מדווחים על ניתוק בכל שלושת התחומים. אחוזים אלה דומים לממוצע במדינות ה- </w:t>
      </w:r>
      <w:r w:rsidRPr="003D580A">
        <w:t>OECD</w:t>
      </w:r>
      <w:r w:rsidRPr="003D580A">
        <w:rPr>
          <w:rtl/>
        </w:rPr>
        <w:t xml:space="preserve"> (תרשים 1). </w:t>
      </w:r>
      <w:r w:rsidR="004B24F5">
        <w:rPr>
          <w:rFonts w:hint="cs"/>
          <w:rtl/>
        </w:rPr>
        <w:t xml:space="preserve">ר' פרוט גם בנספח </w:t>
      </w:r>
      <w:r w:rsidR="00B35B51">
        <w:rPr>
          <w:rFonts w:hint="cs"/>
          <w:rtl/>
        </w:rPr>
        <w:t>ב</w:t>
      </w:r>
      <w:r w:rsidR="004B24F5">
        <w:rPr>
          <w:rFonts w:hint="cs"/>
          <w:rtl/>
        </w:rPr>
        <w:t>.</w:t>
      </w:r>
    </w:p>
    <w:p w:rsidR="00904B16" w:rsidRDefault="00904B16" w:rsidP="00904B16">
      <w:pPr>
        <w:pStyle w:val="af"/>
        <w:spacing w:line="312" w:lineRule="auto"/>
        <w:ind w:left="276"/>
        <w:rPr>
          <w:rtl/>
        </w:rPr>
      </w:pPr>
    </w:p>
    <w:p w:rsidR="00904B16" w:rsidRDefault="00904B16" w:rsidP="00904B16">
      <w:pPr>
        <w:pStyle w:val="af"/>
        <w:spacing w:line="312" w:lineRule="auto"/>
        <w:ind w:left="276"/>
        <w:rPr>
          <w:rtl/>
        </w:rPr>
      </w:pPr>
    </w:p>
    <w:p w:rsidR="00D803C1" w:rsidRPr="00D803C1" w:rsidRDefault="0064465B" w:rsidP="00D843ED">
      <w:pPr>
        <w:pStyle w:val="chart"/>
      </w:pPr>
      <w:r>
        <w:rPr>
          <w:noProof/>
          <w:lang w:eastAsia="en-US"/>
        </w:rPr>
        <mc:AlternateContent>
          <mc:Choice Requires="wps">
            <w:drawing>
              <wp:anchor distT="0" distB="0" distL="114300" distR="114300" simplePos="0" relativeHeight="251669504" behindDoc="0" locked="0" layoutInCell="1" allowOverlap="1" wp14:anchorId="1843BEB3" wp14:editId="79F78DC6">
                <wp:simplePos x="0" y="0"/>
                <wp:positionH relativeFrom="column">
                  <wp:posOffset>4598581</wp:posOffset>
                </wp:positionH>
                <wp:positionV relativeFrom="paragraph">
                  <wp:posOffset>922906</wp:posOffset>
                </wp:positionV>
                <wp:extent cx="127000" cy="1009517"/>
                <wp:effectExtent l="0" t="0" r="25400" b="19685"/>
                <wp:wrapNone/>
                <wp:docPr id="15" name="Right Brace 15"/>
                <wp:cNvGraphicFramePr/>
                <a:graphic xmlns:a="http://schemas.openxmlformats.org/drawingml/2006/main">
                  <a:graphicData uri="http://schemas.microsoft.com/office/word/2010/wordprocessingShape">
                    <wps:wsp>
                      <wps:cNvSpPr/>
                      <wps:spPr>
                        <a:xfrm>
                          <a:off x="0" y="0"/>
                          <a:ext cx="127000" cy="100951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835FAA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6" type="#_x0000_t88" style="position:absolute;margin-left:362.1pt;margin-top:72.65pt;width:10pt;height: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" adj="226" strokecolor="black [3040]"/>
            </w:pict>
          </mc:Fallback>
        </mc:AlternateContent>
      </w:r>
      <w:r>
        <w:rPr>
          <w:noProof/>
          <w:rtl/>
          <w:lang w:eastAsia="en-US"/>
        </w:rPr>
        <mc:AlternateContent>
          <mc:Choice Requires="wps">
            <w:drawing>
              <wp:anchor distT="0" distB="0" distL="114300" distR="114300" simplePos="0" relativeHeight="251670528" behindDoc="0" locked="0" layoutInCell="1" allowOverlap="1" wp14:anchorId="2906E057" wp14:editId="07D92361">
                <wp:simplePos x="0" y="0"/>
                <wp:positionH relativeFrom="column">
                  <wp:posOffset>4649750</wp:posOffset>
                </wp:positionH>
                <wp:positionV relativeFrom="paragraph">
                  <wp:posOffset>1272082</wp:posOffset>
                </wp:positionV>
                <wp:extent cx="372139" cy="297711"/>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372139" cy="2977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Default="009D7D46">
                            <w:r>
                              <w:rPr>
                                <w:rFonts w:hint="cs"/>
                                <w:rtl/>
                              </w:rPr>
                              <w:t>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906E057" id="_x0000_t202" coordsize="21600,21600" o:spt="202" path="m,l,21600r21600,l21600,xe">
                <v:stroke joinstyle="miter"/>
                <v:path gradientshapeok="t" o:connecttype="rect"/>
              </v:shapetype>
              <v:shape id="Text Box 16" o:spid="_x0000_s1026" type="#_x0000_t202" style="position:absolute;left:0;text-align:left;margin-left:366.1pt;margin-top:100.15pt;width:29.3pt;height:2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" filled="f" stroked="f" strokeweight=".5pt">
                <v:textbox>
                  <w:txbxContent>
                    <w:p w:rsidR="009D7D46" w:rsidRDefault="009D7D46">
                      <w:r>
                        <w:rPr>
                          <w:rFonts w:hint="cs"/>
                          <w:rtl/>
                        </w:rPr>
                        <w:t>48</w:t>
                      </w:r>
                    </w:p>
                  </w:txbxContent>
                </v:textbox>
              </v:shape>
            </w:pict>
          </mc:Fallback>
        </mc:AlternateContent>
      </w:r>
      <w:r>
        <w:rPr>
          <w:noProof/>
          <w:rtl/>
          <w:lang w:eastAsia="en-US"/>
        </w:rPr>
        <mc:AlternateContent>
          <mc:Choice Requires="wps">
            <w:drawing>
              <wp:anchor distT="0" distB="0" distL="114300" distR="114300" simplePos="0" relativeHeight="251672576" behindDoc="0" locked="0" layoutInCell="1" allowOverlap="1" wp14:anchorId="302EF570" wp14:editId="148AA22E">
                <wp:simplePos x="0" y="0"/>
                <wp:positionH relativeFrom="column">
                  <wp:posOffset>3762493</wp:posOffset>
                </wp:positionH>
                <wp:positionV relativeFrom="paragraph">
                  <wp:posOffset>1276010</wp:posOffset>
                </wp:positionV>
                <wp:extent cx="372139" cy="318976"/>
                <wp:effectExtent l="0" t="0" r="0" b="5080"/>
                <wp:wrapNone/>
                <wp:docPr id="17" name="Text Box 17"/>
                <wp:cNvGraphicFramePr/>
                <a:graphic xmlns:a="http://schemas.openxmlformats.org/drawingml/2006/main">
                  <a:graphicData uri="http://schemas.microsoft.com/office/word/2010/wordprocessingShape">
                    <wps:wsp>
                      <wps:cNvSpPr txBox="1"/>
                      <wps:spPr>
                        <a:xfrm>
                          <a:off x="0" y="0"/>
                          <a:ext cx="372139" cy="3189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Default="009D7D46" w:rsidP="00B1258F">
                            <w:r>
                              <w:rPr>
                                <w:rFonts w:hint="cs"/>
                                <w:rtl/>
                              </w:rPr>
                              <w:t>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302EF570" id="Text Box 17" o:spid="_x0000_s1027" type="#_x0000_t202" style="position:absolute;left:0;text-align:left;margin-left:296.25pt;margin-top:100.45pt;width:29.3pt;height:25.1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" filled="f" stroked="f" strokeweight=".5pt">
                <v:textbox>
                  <w:txbxContent>
                    <w:p w:rsidR="009D7D46" w:rsidRDefault="009D7D46" w:rsidP="00B1258F">
                      <w:r>
                        <w:rPr>
                          <w:rFonts w:hint="cs"/>
                          <w:rtl/>
                        </w:rPr>
                        <w:t>42</w:t>
                      </w:r>
                    </w:p>
                  </w:txbxContent>
                </v:textbox>
              </v:shape>
            </w:pict>
          </mc:Fallback>
        </mc:AlternateContent>
      </w:r>
      <w:r>
        <w:rPr>
          <w:noProof/>
          <w:lang w:eastAsia="en-US"/>
        </w:rPr>
        <mc:AlternateContent>
          <mc:Choice Requires="wps">
            <w:drawing>
              <wp:anchor distT="0" distB="0" distL="114300" distR="114300" simplePos="0" relativeHeight="251667456" behindDoc="0" locked="0" layoutInCell="1" allowOverlap="1" wp14:anchorId="257C860B" wp14:editId="352F2AD7">
                <wp:simplePos x="0" y="0"/>
                <wp:positionH relativeFrom="column">
                  <wp:posOffset>3716152</wp:posOffset>
                </wp:positionH>
                <wp:positionV relativeFrom="paragraph">
                  <wp:posOffset>922020</wp:posOffset>
                </wp:positionV>
                <wp:extent cx="127591" cy="935665"/>
                <wp:effectExtent l="0" t="0" r="25400" b="17145"/>
                <wp:wrapNone/>
                <wp:docPr id="14" name="Right Brace 14"/>
                <wp:cNvGraphicFramePr/>
                <a:graphic xmlns:a="http://schemas.openxmlformats.org/drawingml/2006/main">
                  <a:graphicData uri="http://schemas.microsoft.com/office/word/2010/wordprocessingShape">
                    <wps:wsp>
                      <wps:cNvSpPr/>
                      <wps:spPr>
                        <a:xfrm>
                          <a:off x="0" y="0"/>
                          <a:ext cx="127591" cy="93566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4698E393" id="Right Brace 14" o:spid="_x0000_s1026" type="#_x0000_t88" style="position:absolute;margin-left:292.6pt;margin-top:72.6pt;width:10.05pt;height:73.6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" adj="245" strokecolor="black [3040]"/>
            </w:pict>
          </mc:Fallback>
        </mc:AlternateContent>
      </w:r>
      <w:r>
        <w:rPr>
          <w:noProof/>
          <w:lang w:eastAsia="en-US"/>
        </w:rPr>
        <w:drawing>
          <wp:anchor distT="0" distB="0" distL="114300" distR="114300" simplePos="0" relativeHeight="251666432" behindDoc="1" locked="0" layoutInCell="1" allowOverlap="1" wp14:anchorId="6D8B4196" wp14:editId="125FFC46">
            <wp:simplePos x="0" y="0"/>
            <wp:positionH relativeFrom="column">
              <wp:posOffset>2716412</wp:posOffset>
            </wp:positionH>
            <wp:positionV relativeFrom="paragraph">
              <wp:posOffset>518795</wp:posOffset>
            </wp:positionV>
            <wp:extent cx="3168015" cy="2817495"/>
            <wp:effectExtent l="0" t="0" r="13335" b="1905"/>
            <wp:wrapTight wrapText="bothSides">
              <wp:wrapPolygon edited="0">
                <wp:start x="0" y="0"/>
                <wp:lineTo x="0" y="21469"/>
                <wp:lineTo x="21561" y="21469"/>
                <wp:lineTo x="21561"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73600" behindDoc="1" locked="0" layoutInCell="1" allowOverlap="1" wp14:anchorId="075DC8BF" wp14:editId="33EB0D85">
            <wp:simplePos x="0" y="0"/>
            <wp:positionH relativeFrom="column">
              <wp:posOffset>-888365</wp:posOffset>
            </wp:positionH>
            <wp:positionV relativeFrom="paragraph">
              <wp:posOffset>518795</wp:posOffset>
            </wp:positionV>
            <wp:extent cx="3550920" cy="2817495"/>
            <wp:effectExtent l="0" t="0" r="11430" b="1905"/>
            <wp:wrapTight wrapText="bothSides">
              <wp:wrapPolygon edited="0">
                <wp:start x="0" y="0"/>
                <wp:lineTo x="0" y="21469"/>
                <wp:lineTo x="21554" y="21469"/>
                <wp:lineTo x="21554"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D803C1" w:rsidRPr="00D803C1">
        <w:rPr>
          <w:rtl/>
        </w:rPr>
        <w:t xml:space="preserve">תרשים 1: היקף ממדי הניתוק בישראל ובמדינות </w:t>
      </w:r>
      <w:r w:rsidR="00D803C1" w:rsidRPr="00D803C1">
        <w:t>OECD</w:t>
      </w:r>
      <w:r w:rsidR="00D803C1" w:rsidRPr="00D803C1">
        <w:rPr>
          <w:rtl/>
        </w:rPr>
        <w:t xml:space="preserve"> לפי מבחן פיז"ה 2012 (גיל 15), באחוזים</w:t>
      </w:r>
    </w:p>
    <w:p w:rsidR="000840B6" w:rsidRDefault="006457AB" w:rsidP="00B00ADA">
      <w:pPr>
        <w:pStyle w:val="1"/>
        <w:spacing w:before="240" w:after="0"/>
      </w:pPr>
      <w:r>
        <w:rPr>
          <w:rFonts w:hint="cs"/>
          <w:rtl/>
        </w:rPr>
        <w:t>3.</w:t>
      </w:r>
      <w:r w:rsidRPr="006457AB">
        <w:rPr>
          <w:rFonts w:hint="cs"/>
          <w:rtl/>
        </w:rPr>
        <w:t xml:space="preserve"> </w:t>
      </w:r>
      <w:r>
        <w:rPr>
          <w:rFonts w:hint="cs"/>
          <w:rtl/>
        </w:rPr>
        <w:t xml:space="preserve">היקף </w:t>
      </w:r>
      <w:r w:rsidR="00C255CC" w:rsidRPr="006457AB">
        <w:rPr>
          <w:rFonts w:hint="eastAsia"/>
          <w:rtl/>
        </w:rPr>
        <w:t>ממדי</w:t>
      </w:r>
      <w:r w:rsidR="00C255CC" w:rsidRPr="006457AB">
        <w:rPr>
          <w:rtl/>
        </w:rPr>
        <w:t xml:space="preserve"> </w:t>
      </w:r>
      <w:r w:rsidR="00C255CC" w:rsidRPr="006457AB">
        <w:rPr>
          <w:rFonts w:hint="eastAsia"/>
          <w:rtl/>
        </w:rPr>
        <w:t>ניתוק</w:t>
      </w:r>
      <w:r w:rsidR="00BB2691" w:rsidRPr="006457AB">
        <w:rPr>
          <w:rtl/>
        </w:rPr>
        <w:t xml:space="preserve"> </w:t>
      </w:r>
      <w:r w:rsidR="000840B6" w:rsidRPr="006457AB">
        <w:rPr>
          <w:rFonts w:hint="cs"/>
          <w:rtl/>
        </w:rPr>
        <w:t>בקרב בנים ובנות</w:t>
      </w:r>
      <w:r w:rsidR="007E1636">
        <w:rPr>
          <w:rFonts w:hint="cs"/>
          <w:rtl/>
        </w:rPr>
        <w:t xml:space="preserve"> בחינוך העברי והערבי</w:t>
      </w:r>
      <w:r w:rsidR="00734E18">
        <w:rPr>
          <w:rFonts w:hint="cs"/>
          <w:rtl/>
        </w:rPr>
        <w:t>, ובגילים שונים</w:t>
      </w:r>
    </w:p>
    <w:p w:rsidR="006A643F" w:rsidRPr="006A643F" w:rsidRDefault="00AE1E13" w:rsidP="001D4506">
      <w:pPr>
        <w:pStyle w:val="af"/>
        <w:numPr>
          <w:ilvl w:val="0"/>
          <w:numId w:val="12"/>
        </w:numPr>
        <w:spacing w:after="0"/>
        <w:rPr>
          <w:rFonts w:ascii="Calibri" w:eastAsia="Calibri" w:hAnsi="Calibri"/>
          <w:b/>
          <w:bCs/>
          <w:sz w:val="26"/>
          <w:lang w:eastAsia="en-US"/>
        </w:rPr>
      </w:pPr>
      <w:r>
        <w:rPr>
          <w:rFonts w:ascii="Calibri" w:eastAsia="Calibri" w:hAnsi="Calibri" w:hint="cs"/>
          <w:b/>
          <w:bCs/>
          <w:sz w:val="26"/>
          <w:rtl/>
          <w:lang w:eastAsia="en-US"/>
        </w:rPr>
        <w:t>מין</w:t>
      </w:r>
      <w:r w:rsidR="006A643F" w:rsidRPr="006A643F">
        <w:rPr>
          <w:rFonts w:ascii="Calibri" w:eastAsia="Calibri" w:hAnsi="Calibri" w:hint="cs"/>
          <w:b/>
          <w:bCs/>
          <w:sz w:val="26"/>
          <w:rtl/>
          <w:lang w:eastAsia="en-US"/>
        </w:rPr>
        <w:t xml:space="preserve"> ומגזר: </w:t>
      </w:r>
    </w:p>
    <w:p w:rsidR="00D843ED" w:rsidRDefault="00383AB5" w:rsidP="00E0677D">
      <w:pPr>
        <w:pStyle w:val="af"/>
        <w:numPr>
          <w:ilvl w:val="0"/>
          <w:numId w:val="11"/>
        </w:numPr>
        <w:spacing w:after="0"/>
        <w:rPr>
          <w:rFonts w:ascii="Calibri" w:eastAsia="Calibri" w:hAnsi="Calibri"/>
          <w:sz w:val="26"/>
          <w:lang w:eastAsia="en-US"/>
        </w:rPr>
      </w:pPr>
      <w:r w:rsidRPr="00D843ED">
        <w:rPr>
          <w:rFonts w:ascii="Calibri" w:eastAsia="Calibri" w:hAnsi="Calibri" w:hint="cs"/>
          <w:sz w:val="26"/>
          <w:rtl/>
          <w:lang w:eastAsia="en-US"/>
        </w:rPr>
        <w:t>הדיווח על שניים או שלושה מ</w:t>
      </w:r>
      <w:r w:rsidR="00DF1CBA">
        <w:rPr>
          <w:rFonts w:ascii="Calibri" w:eastAsia="Calibri" w:hAnsi="Calibri" w:hint="cs"/>
          <w:sz w:val="26"/>
          <w:rtl/>
          <w:lang w:eastAsia="en-US"/>
        </w:rPr>
        <w:t>מד</w:t>
      </w:r>
      <w:r w:rsidRPr="00D843ED">
        <w:rPr>
          <w:rFonts w:ascii="Calibri" w:eastAsia="Calibri" w:hAnsi="Calibri" w:hint="cs"/>
          <w:sz w:val="26"/>
          <w:rtl/>
          <w:lang w:eastAsia="en-US"/>
        </w:rPr>
        <w:t xml:space="preserve">י ניתוק היה גבוה במיוחד בקרב בנים </w:t>
      </w:r>
      <w:r w:rsidR="00AE1E13">
        <w:rPr>
          <w:rFonts w:ascii="Calibri" w:eastAsia="Calibri" w:hAnsi="Calibri" w:hint="cs"/>
          <w:sz w:val="26"/>
          <w:rtl/>
          <w:lang w:eastAsia="en-US"/>
        </w:rPr>
        <w:t>בחינוך הערבי</w:t>
      </w:r>
      <w:r w:rsidRPr="00D843ED">
        <w:rPr>
          <w:rFonts w:ascii="Calibri" w:eastAsia="Calibri" w:hAnsi="Calibri" w:hint="cs"/>
          <w:sz w:val="26"/>
          <w:rtl/>
          <w:lang w:eastAsia="en-US"/>
        </w:rPr>
        <w:t xml:space="preserve"> (26%), לעו</w:t>
      </w:r>
      <w:r w:rsidR="00AE1E13">
        <w:rPr>
          <w:rFonts w:ascii="Calibri" w:eastAsia="Calibri" w:hAnsi="Calibri" w:hint="cs"/>
          <w:sz w:val="26"/>
          <w:rtl/>
          <w:lang w:eastAsia="en-US"/>
        </w:rPr>
        <w:t>מת 15-16% בקרב בנים ובנות בחינוך העברי</w:t>
      </w:r>
      <w:r w:rsidRPr="00D843ED">
        <w:rPr>
          <w:rFonts w:ascii="Calibri" w:eastAsia="Calibri" w:hAnsi="Calibri" w:hint="cs"/>
          <w:sz w:val="26"/>
          <w:rtl/>
          <w:lang w:eastAsia="en-US"/>
        </w:rPr>
        <w:t xml:space="preserve">, ו-10% בלבד בקרב בנות </w:t>
      </w:r>
      <w:r w:rsidR="00AE1E13">
        <w:rPr>
          <w:rFonts w:ascii="Calibri" w:eastAsia="Calibri" w:hAnsi="Calibri" w:hint="cs"/>
          <w:sz w:val="26"/>
          <w:rtl/>
          <w:lang w:eastAsia="en-US"/>
        </w:rPr>
        <w:t>בחינוך ה</w:t>
      </w:r>
      <w:r w:rsidRPr="00D843ED">
        <w:rPr>
          <w:rFonts w:ascii="Calibri" w:eastAsia="Calibri" w:hAnsi="Calibri" w:hint="cs"/>
          <w:sz w:val="26"/>
          <w:rtl/>
          <w:lang w:eastAsia="en-US"/>
        </w:rPr>
        <w:t xml:space="preserve">ערבי. </w:t>
      </w:r>
    </w:p>
    <w:p w:rsidR="001D4506" w:rsidRPr="001D4506" w:rsidRDefault="001D4506" w:rsidP="00AE1E13">
      <w:pPr>
        <w:pStyle w:val="af"/>
        <w:numPr>
          <w:ilvl w:val="0"/>
          <w:numId w:val="11"/>
        </w:numPr>
        <w:spacing w:after="0"/>
        <w:rPr>
          <w:rFonts w:ascii="Calibri" w:eastAsia="Calibri" w:hAnsi="Calibri"/>
          <w:sz w:val="26"/>
          <w:lang w:eastAsia="en-US"/>
        </w:rPr>
      </w:pPr>
      <w:r>
        <w:rPr>
          <w:rFonts w:hint="cs"/>
          <w:rtl/>
        </w:rPr>
        <w:t xml:space="preserve">הניתוק ההתנהגותי נמצא בהיקף דומה (15-17%) בקרב בנים </w:t>
      </w:r>
      <w:r w:rsidR="00AE1E13">
        <w:rPr>
          <w:rFonts w:hint="cs"/>
          <w:rtl/>
        </w:rPr>
        <w:t>בחינוך העברי והערבי ו</w:t>
      </w:r>
      <w:r>
        <w:rPr>
          <w:rFonts w:hint="cs"/>
          <w:rtl/>
        </w:rPr>
        <w:t xml:space="preserve">בנות </w:t>
      </w:r>
      <w:r w:rsidR="00AE1E13">
        <w:rPr>
          <w:rFonts w:hint="cs"/>
          <w:rtl/>
        </w:rPr>
        <w:t>בחינוך העברי</w:t>
      </w:r>
      <w:r>
        <w:rPr>
          <w:rFonts w:hint="cs"/>
          <w:rtl/>
        </w:rPr>
        <w:t xml:space="preserve">, ובהיקף נמוך יותר (9%) בקרב בנות </w:t>
      </w:r>
      <w:r w:rsidR="00AE1E13">
        <w:rPr>
          <w:rFonts w:hint="cs"/>
          <w:rtl/>
        </w:rPr>
        <w:t>בחינוך ה</w:t>
      </w:r>
      <w:r>
        <w:rPr>
          <w:rFonts w:hint="cs"/>
          <w:rtl/>
        </w:rPr>
        <w:t xml:space="preserve">ערבי. בשני הממדים האחרים, היקף הניתוק בקרב הבנים </w:t>
      </w:r>
      <w:r w:rsidR="00AE1E13">
        <w:rPr>
          <w:rFonts w:hint="cs"/>
          <w:rtl/>
        </w:rPr>
        <w:t xml:space="preserve">בחינוך </w:t>
      </w:r>
      <w:r>
        <w:rPr>
          <w:rFonts w:hint="cs"/>
          <w:rtl/>
        </w:rPr>
        <w:t>הערב</w:t>
      </w:r>
      <w:r w:rsidR="007E1636">
        <w:rPr>
          <w:rFonts w:hint="cs"/>
          <w:rtl/>
        </w:rPr>
        <w:t>י</w:t>
      </w:r>
      <w:r>
        <w:rPr>
          <w:rFonts w:hint="cs"/>
          <w:rtl/>
        </w:rPr>
        <w:t xml:space="preserve"> גבוה יותר מאשר </w:t>
      </w:r>
      <w:r w:rsidR="00AE1E13">
        <w:rPr>
          <w:rFonts w:hint="cs"/>
          <w:rtl/>
        </w:rPr>
        <w:t>ב</w:t>
      </w:r>
      <w:r>
        <w:rPr>
          <w:rFonts w:hint="cs"/>
          <w:rtl/>
        </w:rPr>
        <w:t>שאר הקבוצות.</w:t>
      </w:r>
    </w:p>
    <w:p w:rsidR="001D4506" w:rsidRPr="00D843ED" w:rsidRDefault="001D4506" w:rsidP="00322590">
      <w:pPr>
        <w:pStyle w:val="af"/>
        <w:numPr>
          <w:ilvl w:val="0"/>
          <w:numId w:val="11"/>
        </w:numPr>
        <w:spacing w:after="0"/>
        <w:rPr>
          <w:rFonts w:ascii="Calibri" w:eastAsia="Calibri" w:hAnsi="Calibri"/>
          <w:sz w:val="26"/>
          <w:lang w:eastAsia="en-US"/>
        </w:rPr>
      </w:pPr>
      <w:r w:rsidRPr="001D4506">
        <w:rPr>
          <w:rFonts w:ascii="Calibri" w:eastAsia="Calibri" w:hAnsi="Calibri"/>
          <w:sz w:val="26"/>
          <w:rtl/>
          <w:lang w:eastAsia="en-US"/>
        </w:rPr>
        <w:t xml:space="preserve">בקרב התלמידים </w:t>
      </w:r>
      <w:r w:rsidR="00AE1E13">
        <w:rPr>
          <w:rFonts w:ascii="Calibri" w:eastAsia="Calibri" w:hAnsi="Calibri" w:hint="cs"/>
          <w:sz w:val="26"/>
          <w:rtl/>
          <w:lang w:eastAsia="en-US"/>
        </w:rPr>
        <w:t xml:space="preserve">בחינוך </w:t>
      </w:r>
      <w:r w:rsidRPr="001D4506">
        <w:rPr>
          <w:rFonts w:ascii="Calibri" w:eastAsia="Calibri" w:hAnsi="Calibri"/>
          <w:sz w:val="26"/>
          <w:rtl/>
          <w:lang w:eastAsia="en-US"/>
        </w:rPr>
        <w:t>הערבי, אחוז הבנים שדיווחו על כל אחד משלושת ממדי הניתוק גבוה י</w:t>
      </w:r>
      <w:r w:rsidR="00322590">
        <w:rPr>
          <w:rFonts w:ascii="Calibri" w:eastAsia="Calibri" w:hAnsi="Calibri"/>
          <w:sz w:val="26"/>
          <w:rtl/>
          <w:lang w:eastAsia="en-US"/>
        </w:rPr>
        <w:t>ותר, באופן משמעותי, מאחוז הבנות</w:t>
      </w:r>
      <w:r w:rsidRPr="001D4506">
        <w:rPr>
          <w:rFonts w:ascii="Calibri" w:eastAsia="Calibri" w:hAnsi="Calibri"/>
          <w:sz w:val="26"/>
          <w:rtl/>
          <w:lang w:eastAsia="en-US"/>
        </w:rPr>
        <w:t xml:space="preserve">; בקרב התלמידים </w:t>
      </w:r>
      <w:r w:rsidR="00AE1E13">
        <w:rPr>
          <w:rFonts w:ascii="Calibri" w:eastAsia="Calibri" w:hAnsi="Calibri" w:hint="cs"/>
          <w:sz w:val="26"/>
          <w:rtl/>
          <w:lang w:eastAsia="en-US"/>
        </w:rPr>
        <w:t>בחינוך היהודי</w:t>
      </w:r>
      <w:r w:rsidRPr="001D4506">
        <w:rPr>
          <w:rFonts w:ascii="Calibri" w:eastAsia="Calibri" w:hAnsi="Calibri"/>
          <w:sz w:val="26"/>
          <w:rtl/>
          <w:lang w:eastAsia="en-US"/>
        </w:rPr>
        <w:t xml:space="preserve"> ניכר הבדל בין המינים רק ברכיב של הניתוק הקוגניטיבי, שהינו בולט יותר בקרב הבנים (25% לעומת 20%</w:t>
      </w:r>
      <w:r w:rsidR="00322590">
        <w:rPr>
          <w:rFonts w:ascii="Calibri" w:eastAsia="Calibri" w:hAnsi="Calibri" w:hint="cs"/>
          <w:sz w:val="26"/>
          <w:rtl/>
          <w:lang w:eastAsia="en-US"/>
        </w:rPr>
        <w:t xml:space="preserve"> אצל הבנות</w:t>
      </w:r>
      <w:r w:rsidRPr="001D4506">
        <w:rPr>
          <w:rFonts w:ascii="Calibri" w:eastAsia="Calibri" w:hAnsi="Calibri"/>
          <w:sz w:val="26"/>
          <w:rtl/>
          <w:lang w:eastAsia="en-US"/>
        </w:rPr>
        <w:t>).</w:t>
      </w:r>
    </w:p>
    <w:p w:rsidR="005E2B97" w:rsidRDefault="005E2B97" w:rsidP="005E2B97">
      <w:pPr>
        <w:pStyle w:val="chart"/>
        <w:spacing w:line="312" w:lineRule="auto"/>
        <w:rPr>
          <w:rtl/>
        </w:rPr>
      </w:pPr>
      <w:r w:rsidRPr="00794707">
        <w:rPr>
          <w:rFonts w:hint="eastAsia"/>
          <w:rtl/>
        </w:rPr>
        <w:t>תרשים</w:t>
      </w:r>
      <w:r w:rsidRPr="00794707">
        <w:rPr>
          <w:rtl/>
        </w:rPr>
        <w:t xml:space="preserve"> </w:t>
      </w:r>
      <w:r>
        <w:rPr>
          <w:rFonts w:hint="cs"/>
          <w:rtl/>
        </w:rPr>
        <w:t>2</w:t>
      </w:r>
      <w:r w:rsidRPr="00794707">
        <w:rPr>
          <w:rtl/>
        </w:rPr>
        <w:t xml:space="preserve">: </w:t>
      </w:r>
      <w:r w:rsidRPr="00794707">
        <w:rPr>
          <w:rFonts w:hint="eastAsia"/>
          <w:rtl/>
        </w:rPr>
        <w:t>היקף</w:t>
      </w:r>
      <w:r w:rsidRPr="00794707">
        <w:rPr>
          <w:rtl/>
        </w:rPr>
        <w:t xml:space="preserve"> </w:t>
      </w:r>
      <w:r>
        <w:rPr>
          <w:rFonts w:hint="cs"/>
          <w:rtl/>
        </w:rPr>
        <w:t xml:space="preserve">ממדי הניתוק  </w:t>
      </w:r>
      <w:r w:rsidR="00B00ADA">
        <w:rPr>
          <w:rFonts w:hint="cs"/>
          <w:rtl/>
        </w:rPr>
        <w:t xml:space="preserve">בישראל </w:t>
      </w:r>
      <w:r>
        <w:rPr>
          <w:rFonts w:hint="cs"/>
          <w:rtl/>
        </w:rPr>
        <w:t>לפי מין ומגזר,</w:t>
      </w:r>
      <w:r w:rsidRPr="00794707">
        <w:rPr>
          <w:rtl/>
        </w:rPr>
        <w:t xml:space="preserve"> </w:t>
      </w:r>
      <w:r w:rsidRPr="00794707">
        <w:rPr>
          <w:rFonts w:hint="eastAsia"/>
          <w:rtl/>
        </w:rPr>
        <w:t>לפי</w:t>
      </w:r>
      <w:r w:rsidRPr="00794707">
        <w:rPr>
          <w:rtl/>
        </w:rPr>
        <w:t xml:space="preserve"> </w:t>
      </w:r>
      <w:r w:rsidRPr="00794707">
        <w:rPr>
          <w:rFonts w:hint="eastAsia"/>
          <w:rtl/>
        </w:rPr>
        <w:t>מבחן</w:t>
      </w:r>
      <w:r w:rsidRPr="00794707">
        <w:rPr>
          <w:rtl/>
        </w:rPr>
        <w:t xml:space="preserve"> </w:t>
      </w:r>
      <w:r w:rsidRPr="00794707">
        <w:rPr>
          <w:rFonts w:hint="eastAsia"/>
          <w:rtl/>
        </w:rPr>
        <w:t>פיז</w:t>
      </w:r>
      <w:r w:rsidRPr="00794707">
        <w:rPr>
          <w:rtl/>
        </w:rPr>
        <w:t>"</w:t>
      </w:r>
      <w:r w:rsidRPr="00794707">
        <w:rPr>
          <w:rFonts w:hint="eastAsia"/>
          <w:rtl/>
        </w:rPr>
        <w:t>ה</w:t>
      </w:r>
      <w:r w:rsidRPr="00794707">
        <w:rPr>
          <w:rtl/>
        </w:rPr>
        <w:t xml:space="preserve"> 2012 </w:t>
      </w:r>
      <w:r>
        <w:rPr>
          <w:rFonts w:hint="cs"/>
          <w:rtl/>
        </w:rPr>
        <w:t>(גיל 15), ב</w:t>
      </w:r>
      <w:r w:rsidRPr="00794707">
        <w:rPr>
          <w:rFonts w:hint="eastAsia"/>
          <w:rtl/>
        </w:rPr>
        <w:t>אחוזים</w:t>
      </w:r>
    </w:p>
    <w:p w:rsidR="00FE7B99" w:rsidRPr="00794707" w:rsidRDefault="00064088" w:rsidP="005E2B97">
      <w:pPr>
        <w:pStyle w:val="chart"/>
        <w:spacing w:line="312" w:lineRule="auto"/>
        <w:rPr>
          <w:rtl/>
        </w:rPr>
      </w:pPr>
      <w:r>
        <w:rPr>
          <w:noProof/>
          <w:rtl/>
          <w:lang w:eastAsia="en-US"/>
        </w:rPr>
        <mc:AlternateContent>
          <mc:Choice Requires="wps">
            <w:drawing>
              <wp:anchor distT="0" distB="0" distL="114300" distR="114300" simplePos="0" relativeHeight="251661312" behindDoc="0" locked="0" layoutInCell="1" allowOverlap="1" wp14:anchorId="5B7281C1" wp14:editId="52E8AC2B">
                <wp:simplePos x="0" y="0"/>
                <wp:positionH relativeFrom="column">
                  <wp:posOffset>3562350</wp:posOffset>
                </wp:positionH>
                <wp:positionV relativeFrom="paragraph">
                  <wp:posOffset>1132840</wp:posOffset>
                </wp:positionV>
                <wp:extent cx="285750" cy="219075"/>
                <wp:effectExtent l="0" t="0" r="0" b="0"/>
                <wp:wrapNone/>
                <wp:docPr id="8" name="Text Box 8"/>
                <wp:cNvGraphicFramePr/>
                <a:graphic xmlns:a="http://schemas.openxmlformats.org/drawingml/2006/main">
                  <a:graphicData uri="http://schemas.microsoft.com/office/word/2010/wordprocessingShape">
                    <wps:wsp>
                      <wps:cNvSpPr txBox="1"/>
                      <wps:spPr>
                        <a:xfrm>
                          <a:off x="0" y="0"/>
                          <a:ext cx="285750" cy="21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Pr="00064088" w:rsidRDefault="009D7D46" w:rsidP="00064088">
                            <w:pPr>
                              <w:rPr>
                                <w:sz w:val="18"/>
                                <w:szCs w:val="20"/>
                              </w:rPr>
                            </w:pPr>
                            <w:r w:rsidRPr="00064088">
                              <w:rPr>
                                <w:rFonts w:hint="cs"/>
                                <w:sz w:val="18"/>
                                <w:szCs w:val="2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B7281C1" id="Text Box 8" o:spid="_x0000_s1028" type="#_x0000_t202" style="position:absolute;left:0;text-align:left;margin-left:280.5pt;margin-top:89.2pt;width:22.5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" filled="f" stroked="f" strokeweight=".5pt">
                <v:textbox>
                  <w:txbxContent>
                    <w:p w:rsidR="009D7D46" w:rsidRPr="00064088" w:rsidRDefault="009D7D46" w:rsidP="00064088">
                      <w:pPr>
                        <w:rPr>
                          <w:sz w:val="18"/>
                          <w:szCs w:val="20"/>
                        </w:rPr>
                      </w:pPr>
                      <w:r w:rsidRPr="00064088">
                        <w:rPr>
                          <w:rFonts w:hint="cs"/>
                          <w:sz w:val="18"/>
                          <w:szCs w:val="20"/>
                          <w:rtl/>
                        </w:rPr>
                        <w:t>**</w:t>
                      </w:r>
                    </w:p>
                  </w:txbxContent>
                </v:textbox>
              </v:shape>
            </w:pict>
          </mc:Fallback>
        </mc:AlternateContent>
      </w:r>
      <w:r>
        <w:rPr>
          <w:noProof/>
          <w:rtl/>
          <w:lang w:eastAsia="en-US"/>
        </w:rPr>
        <mc:AlternateContent>
          <mc:Choice Requires="wps">
            <w:drawing>
              <wp:anchor distT="0" distB="0" distL="114300" distR="114300" simplePos="0" relativeHeight="251663360" behindDoc="0" locked="0" layoutInCell="1" allowOverlap="1" wp14:anchorId="4321CC68" wp14:editId="02AB8302">
                <wp:simplePos x="0" y="0"/>
                <wp:positionH relativeFrom="column">
                  <wp:posOffset>3105150</wp:posOffset>
                </wp:positionH>
                <wp:positionV relativeFrom="paragraph">
                  <wp:posOffset>922655</wp:posOffset>
                </wp:positionV>
                <wp:extent cx="285750" cy="219075"/>
                <wp:effectExtent l="0" t="0" r="0" b="0"/>
                <wp:wrapNone/>
                <wp:docPr id="9" name="Text Box 9"/>
                <wp:cNvGraphicFramePr/>
                <a:graphic xmlns:a="http://schemas.openxmlformats.org/drawingml/2006/main">
                  <a:graphicData uri="http://schemas.microsoft.com/office/word/2010/wordprocessingShape">
                    <wps:wsp>
                      <wps:cNvSpPr txBox="1"/>
                      <wps:spPr>
                        <a:xfrm>
                          <a:off x="0" y="0"/>
                          <a:ext cx="285750" cy="21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Pr="00064088" w:rsidRDefault="009D7D46" w:rsidP="00064088">
                            <w:pPr>
                              <w:rPr>
                                <w:sz w:val="18"/>
                                <w:szCs w:val="20"/>
                              </w:rPr>
                            </w:pPr>
                            <w:r w:rsidRPr="00064088">
                              <w:rPr>
                                <w:rFonts w:hint="cs"/>
                                <w:sz w:val="18"/>
                                <w:szCs w:val="2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21CC68" id="Text Box 9" o:spid="_x0000_s1029" type="#_x0000_t202" style="position:absolute;left:0;text-align:left;margin-left:244.5pt;margin-top:72.65pt;width:22.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" filled="f" stroked="f" strokeweight=".5pt">
                <v:textbox>
                  <w:txbxContent>
                    <w:p w:rsidR="009D7D46" w:rsidRPr="00064088" w:rsidRDefault="009D7D46" w:rsidP="00064088">
                      <w:pPr>
                        <w:rPr>
                          <w:sz w:val="18"/>
                          <w:szCs w:val="20"/>
                        </w:rPr>
                      </w:pPr>
                      <w:r w:rsidRPr="00064088">
                        <w:rPr>
                          <w:rFonts w:hint="cs"/>
                          <w:sz w:val="18"/>
                          <w:szCs w:val="20"/>
                          <w:rtl/>
                        </w:rPr>
                        <w:t>**</w:t>
                      </w:r>
                    </w:p>
                  </w:txbxContent>
                </v:textbox>
              </v:shape>
            </w:pict>
          </mc:Fallback>
        </mc:AlternateContent>
      </w:r>
      <w:r>
        <w:rPr>
          <w:noProof/>
          <w:rtl/>
          <w:lang w:eastAsia="en-US"/>
        </w:rPr>
        <mc:AlternateContent>
          <mc:Choice Requires="wps">
            <w:drawing>
              <wp:anchor distT="0" distB="0" distL="114300" distR="114300" simplePos="0" relativeHeight="251665408" behindDoc="0" locked="0" layoutInCell="1" allowOverlap="1" wp14:anchorId="08CD934F" wp14:editId="5198FE4A">
                <wp:simplePos x="0" y="0"/>
                <wp:positionH relativeFrom="column">
                  <wp:posOffset>1847850</wp:posOffset>
                </wp:positionH>
                <wp:positionV relativeFrom="paragraph">
                  <wp:posOffset>770255</wp:posOffset>
                </wp:positionV>
                <wp:extent cx="285750" cy="2190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85750" cy="21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Pr="00064088" w:rsidRDefault="009D7D46" w:rsidP="00064088">
                            <w:pPr>
                              <w:rPr>
                                <w:sz w:val="18"/>
                                <w:szCs w:val="20"/>
                              </w:rPr>
                            </w:pPr>
                            <w:r w:rsidRPr="00064088">
                              <w:rPr>
                                <w:rFonts w:hint="cs"/>
                                <w:sz w:val="18"/>
                                <w:szCs w:val="2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CD934F" id="Text Box 10" o:spid="_x0000_s1030" type="#_x0000_t202" style="position:absolute;left:0;text-align:left;margin-left:145.5pt;margin-top:60.65pt;width:22.5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" filled="f" stroked="f" strokeweight=".5pt">
                <v:textbox>
                  <w:txbxContent>
                    <w:p w:rsidR="009D7D46" w:rsidRPr="00064088" w:rsidRDefault="009D7D46" w:rsidP="00064088">
                      <w:pPr>
                        <w:rPr>
                          <w:sz w:val="18"/>
                          <w:szCs w:val="20"/>
                        </w:rPr>
                      </w:pPr>
                      <w:r w:rsidRPr="00064088">
                        <w:rPr>
                          <w:rFonts w:hint="cs"/>
                          <w:sz w:val="18"/>
                          <w:szCs w:val="20"/>
                          <w:rtl/>
                        </w:rPr>
                        <w:t>**</w:t>
                      </w:r>
                    </w:p>
                  </w:txbxContent>
                </v:textbox>
              </v:shape>
            </w:pict>
          </mc:Fallback>
        </mc:AlternateContent>
      </w:r>
      <w:r>
        <w:rPr>
          <w:noProof/>
          <w:rtl/>
          <w:lang w:eastAsia="en-US"/>
        </w:rPr>
        <mc:AlternateContent>
          <mc:Choice Requires="wps">
            <w:drawing>
              <wp:anchor distT="0" distB="0" distL="114300" distR="114300" simplePos="0" relativeHeight="251659264" behindDoc="0" locked="0" layoutInCell="1" allowOverlap="1" wp14:anchorId="75603D61" wp14:editId="081FA15C">
                <wp:simplePos x="0" y="0"/>
                <wp:positionH relativeFrom="column">
                  <wp:posOffset>600075</wp:posOffset>
                </wp:positionH>
                <wp:positionV relativeFrom="paragraph">
                  <wp:posOffset>1541780</wp:posOffset>
                </wp:positionV>
                <wp:extent cx="285750" cy="219075"/>
                <wp:effectExtent l="0" t="0" r="0" b="0"/>
                <wp:wrapNone/>
                <wp:docPr id="5" name="Text Box 5"/>
                <wp:cNvGraphicFramePr/>
                <a:graphic xmlns:a="http://schemas.openxmlformats.org/drawingml/2006/main">
                  <a:graphicData uri="http://schemas.microsoft.com/office/word/2010/wordprocessingShape">
                    <wps:wsp>
                      <wps:cNvSpPr txBox="1"/>
                      <wps:spPr>
                        <a:xfrm>
                          <a:off x="0" y="0"/>
                          <a:ext cx="285750" cy="21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7D46" w:rsidRPr="00064088" w:rsidRDefault="009D7D46">
                            <w:pPr>
                              <w:rPr>
                                <w:sz w:val="18"/>
                                <w:szCs w:val="20"/>
                              </w:rPr>
                            </w:pPr>
                            <w:r w:rsidRPr="00064088">
                              <w:rPr>
                                <w:rFonts w:hint="cs"/>
                                <w:sz w:val="18"/>
                                <w:szCs w:val="2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5603D61" id="Text Box 5" o:spid="_x0000_s1031" type="#_x0000_t202" style="position:absolute;left:0;text-align:left;margin-left:47.25pt;margin-top:121.4pt;width:22.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" filled="f" stroked="f" strokeweight=".5pt">
                <v:textbox>
                  <w:txbxContent>
                    <w:p w:rsidR="009D7D46" w:rsidRPr="00064088" w:rsidRDefault="009D7D46">
                      <w:pPr>
                        <w:rPr>
                          <w:sz w:val="18"/>
                          <w:szCs w:val="20"/>
                        </w:rPr>
                      </w:pPr>
                      <w:r w:rsidRPr="00064088">
                        <w:rPr>
                          <w:rFonts w:hint="cs"/>
                          <w:sz w:val="18"/>
                          <w:szCs w:val="20"/>
                          <w:rtl/>
                        </w:rPr>
                        <w:t>**</w:t>
                      </w:r>
                    </w:p>
                  </w:txbxContent>
                </v:textbox>
              </v:shape>
            </w:pict>
          </mc:Fallback>
        </mc:AlternateContent>
      </w:r>
      <w:r w:rsidR="00FE7B99">
        <w:rPr>
          <w:noProof/>
          <w:rtl/>
          <w:lang w:eastAsia="en-US"/>
        </w:rPr>
        <w:drawing>
          <wp:inline distT="0" distB="0" distL="0" distR="0" wp14:anchorId="407E0849" wp14:editId="3E10A565">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95DEC" w:rsidRPr="00595DEC" w:rsidRDefault="00595DEC" w:rsidP="00595DEC">
      <w:pPr>
        <w:spacing w:before="60" w:after="0" w:line="240" w:lineRule="auto"/>
        <w:jc w:val="left"/>
        <w:rPr>
          <w:rFonts w:ascii="Calibri" w:eastAsia="Calibri" w:hAnsi="Calibri"/>
          <w:sz w:val="20"/>
          <w:szCs w:val="20"/>
          <w:rtl/>
          <w:lang w:eastAsia="en-US"/>
        </w:rPr>
      </w:pPr>
      <w:r w:rsidRPr="00595DEC">
        <w:rPr>
          <w:rFonts w:ascii="Calibri" w:eastAsia="Calibri" w:hAnsi="Calibri" w:hint="cs"/>
          <w:sz w:val="20"/>
          <w:szCs w:val="20"/>
          <w:rtl/>
          <w:lang w:eastAsia="en-US"/>
        </w:rPr>
        <w:t xml:space="preserve">* </w:t>
      </w:r>
      <w:r w:rsidRPr="00595DEC">
        <w:rPr>
          <w:rFonts w:ascii="Calibri" w:eastAsia="Calibri" w:hAnsi="Calibri"/>
          <w:sz w:val="20"/>
          <w:szCs w:val="20"/>
          <w:lang w:eastAsia="en-US"/>
        </w:rPr>
        <w:t>P&lt;0.05</w:t>
      </w:r>
      <w:r w:rsidRPr="00595DEC">
        <w:rPr>
          <w:rFonts w:ascii="Calibri" w:eastAsia="Calibri" w:hAnsi="Calibri" w:hint="cs"/>
          <w:sz w:val="20"/>
          <w:szCs w:val="20"/>
          <w:rtl/>
          <w:lang w:eastAsia="en-US"/>
        </w:rPr>
        <w:t xml:space="preserve"> ** </w:t>
      </w:r>
      <w:r w:rsidRPr="00595DEC">
        <w:rPr>
          <w:rFonts w:ascii="Calibri" w:eastAsia="Calibri" w:hAnsi="Calibri"/>
          <w:sz w:val="20"/>
          <w:szCs w:val="20"/>
          <w:lang w:eastAsia="en-US"/>
        </w:rPr>
        <w:t>P&lt;0.01</w:t>
      </w:r>
      <w:r w:rsidRPr="00595DEC">
        <w:rPr>
          <w:rFonts w:ascii="Calibri" w:eastAsia="Calibri" w:hAnsi="Calibri" w:hint="cs"/>
          <w:sz w:val="20"/>
          <w:szCs w:val="20"/>
          <w:rtl/>
          <w:lang w:eastAsia="en-US"/>
        </w:rPr>
        <w:t xml:space="preserve"> </w:t>
      </w:r>
    </w:p>
    <w:p w:rsidR="00595DEC" w:rsidRDefault="00595DEC" w:rsidP="00973965">
      <w:pPr>
        <w:spacing w:after="0" w:line="240" w:lineRule="auto"/>
        <w:jc w:val="left"/>
        <w:rPr>
          <w:rFonts w:ascii="Calibri" w:eastAsia="Calibri" w:hAnsi="Calibri"/>
          <w:sz w:val="20"/>
          <w:szCs w:val="20"/>
          <w:rtl/>
          <w:lang w:eastAsia="en-US"/>
        </w:rPr>
      </w:pPr>
      <w:r w:rsidRPr="00595DEC">
        <w:rPr>
          <w:rFonts w:ascii="Calibri" w:eastAsia="Calibri" w:hAnsi="Calibri" w:hint="cs"/>
          <w:sz w:val="20"/>
          <w:szCs w:val="20"/>
          <w:rtl/>
          <w:lang w:eastAsia="en-US"/>
        </w:rPr>
        <w:t>(כוכביות ב</w:t>
      </w:r>
      <w:r w:rsidR="000C667C">
        <w:rPr>
          <w:rFonts w:ascii="Calibri" w:eastAsia="Calibri" w:hAnsi="Calibri" w:hint="cs"/>
          <w:sz w:val="20"/>
          <w:szCs w:val="20"/>
          <w:rtl/>
          <w:lang w:eastAsia="en-US"/>
        </w:rPr>
        <w:t>עמודת</w:t>
      </w:r>
      <w:r w:rsidRPr="00595DEC">
        <w:rPr>
          <w:rFonts w:ascii="Calibri" w:eastAsia="Calibri" w:hAnsi="Calibri" w:hint="cs"/>
          <w:sz w:val="20"/>
          <w:szCs w:val="20"/>
          <w:rtl/>
          <w:lang w:eastAsia="en-US"/>
        </w:rPr>
        <w:t xml:space="preserve"> "בנים" מסמנות הבדלים </w:t>
      </w:r>
      <w:r w:rsidR="00973965">
        <w:rPr>
          <w:rFonts w:ascii="Calibri" w:eastAsia="Calibri" w:hAnsi="Calibri" w:hint="cs"/>
          <w:sz w:val="20"/>
          <w:szCs w:val="20"/>
          <w:rtl/>
          <w:lang w:eastAsia="en-US"/>
        </w:rPr>
        <w:t xml:space="preserve">מובהקים בין הבנים והבנות </w:t>
      </w:r>
      <w:r w:rsidRPr="00595DEC">
        <w:rPr>
          <w:rFonts w:ascii="Calibri" w:eastAsia="Calibri" w:hAnsi="Calibri" w:hint="cs"/>
          <w:sz w:val="20"/>
          <w:szCs w:val="20"/>
          <w:rtl/>
          <w:lang w:eastAsia="en-US"/>
        </w:rPr>
        <w:t>בתוך כל מגזר</w:t>
      </w:r>
      <w:r w:rsidR="00973965">
        <w:rPr>
          <w:rFonts w:ascii="Calibri" w:eastAsia="Calibri" w:hAnsi="Calibri" w:hint="cs"/>
          <w:sz w:val="20"/>
          <w:szCs w:val="20"/>
          <w:rtl/>
          <w:lang w:eastAsia="en-US"/>
        </w:rPr>
        <w:t>)</w:t>
      </w:r>
    </w:p>
    <w:p w:rsidR="00E0677D" w:rsidRDefault="00E0677D" w:rsidP="00973965">
      <w:pPr>
        <w:spacing w:after="0" w:line="240" w:lineRule="auto"/>
        <w:jc w:val="left"/>
        <w:rPr>
          <w:rFonts w:ascii="Calibri" w:eastAsia="Calibri" w:hAnsi="Calibri"/>
          <w:sz w:val="20"/>
          <w:szCs w:val="20"/>
          <w:rtl/>
          <w:lang w:eastAsia="en-US"/>
        </w:rPr>
      </w:pPr>
    </w:p>
    <w:p w:rsidR="00734E18" w:rsidRDefault="00734E18" w:rsidP="00595DEC">
      <w:pPr>
        <w:spacing w:after="0" w:line="240" w:lineRule="auto"/>
        <w:jc w:val="left"/>
        <w:rPr>
          <w:rFonts w:ascii="Calibri" w:eastAsia="Calibri" w:hAnsi="Calibri"/>
          <w:sz w:val="20"/>
          <w:szCs w:val="20"/>
          <w:rtl/>
          <w:lang w:eastAsia="en-US"/>
        </w:rPr>
      </w:pPr>
    </w:p>
    <w:p w:rsidR="00734E18" w:rsidRDefault="00734E18" w:rsidP="002570C1">
      <w:pPr>
        <w:pStyle w:val="af"/>
        <w:numPr>
          <w:ilvl w:val="0"/>
          <w:numId w:val="9"/>
        </w:numPr>
        <w:spacing w:after="160"/>
      </w:pPr>
      <w:r w:rsidRPr="006457AB">
        <w:rPr>
          <w:rFonts w:hint="eastAsia"/>
          <w:b/>
          <w:bCs/>
          <w:rtl/>
        </w:rPr>
        <w:t>גיל</w:t>
      </w:r>
      <w:r w:rsidRPr="006457AB">
        <w:rPr>
          <w:rtl/>
        </w:rPr>
        <w:t>:</w:t>
      </w:r>
      <w:r>
        <w:rPr>
          <w:rFonts w:hint="cs"/>
          <w:rtl/>
        </w:rPr>
        <w:t xml:space="preserve"> מסקר </w:t>
      </w:r>
      <w:r>
        <w:t>HBSC</w:t>
      </w:r>
      <w:r>
        <w:rPr>
          <w:rFonts w:hint="cs"/>
          <w:rtl/>
        </w:rPr>
        <w:t xml:space="preserve"> ומנתוני התכנית הלאומית לילדים ולנוער בסיכון עולה כי ביטויים שונים של ניתוק קיימים כבר בכיתות בית הספר היסודי</w:t>
      </w:r>
      <w:r w:rsidR="007E1636">
        <w:rPr>
          <w:rFonts w:hint="cs"/>
          <w:rtl/>
        </w:rPr>
        <w:t xml:space="preserve">, וכי </w:t>
      </w:r>
      <w:r>
        <w:rPr>
          <w:rFonts w:hint="cs"/>
          <w:rtl/>
        </w:rPr>
        <w:t xml:space="preserve">יש עלייה בהיקף התופעה </w:t>
      </w:r>
      <w:r w:rsidR="007E1636">
        <w:rPr>
          <w:rFonts w:hint="cs"/>
          <w:rtl/>
        </w:rPr>
        <w:t xml:space="preserve">(בעיקר בהיקף ההיעדרויות) </w:t>
      </w:r>
      <w:r>
        <w:rPr>
          <w:rFonts w:hint="cs"/>
          <w:rtl/>
        </w:rPr>
        <w:t>עם העלייה בגיל</w:t>
      </w:r>
      <w:r w:rsidR="00E0677D">
        <w:rPr>
          <w:rStyle w:val="ad"/>
          <w:rtl/>
        </w:rPr>
        <w:footnoteReference w:id="11"/>
      </w:r>
      <w:r>
        <w:rPr>
          <w:rFonts w:hint="cs"/>
          <w:rtl/>
        </w:rPr>
        <w:t xml:space="preserve">. </w:t>
      </w:r>
    </w:p>
    <w:p w:rsidR="00595DEC" w:rsidRDefault="00595DEC" w:rsidP="00595DEC">
      <w:pPr>
        <w:spacing w:before="60" w:after="0" w:line="240" w:lineRule="auto"/>
        <w:jc w:val="left"/>
        <w:rPr>
          <w:rFonts w:ascii="Calibri" w:eastAsia="Calibri" w:hAnsi="Calibri"/>
          <w:sz w:val="22"/>
          <w:szCs w:val="22"/>
          <w:rtl/>
          <w:lang w:eastAsia="en-US"/>
        </w:rPr>
      </w:pPr>
    </w:p>
    <w:p w:rsidR="006457AB" w:rsidRPr="00BA222A" w:rsidRDefault="00E0677D" w:rsidP="00DF1CBA">
      <w:pPr>
        <w:pStyle w:val="1"/>
        <w:spacing w:after="0"/>
      </w:pPr>
      <w:r>
        <w:rPr>
          <w:rFonts w:hint="cs"/>
          <w:rtl/>
        </w:rPr>
        <w:t>4.</w:t>
      </w:r>
      <w:r w:rsidR="00D843ED">
        <w:rPr>
          <w:rFonts w:hint="cs"/>
          <w:rtl/>
        </w:rPr>
        <w:t xml:space="preserve"> </w:t>
      </w:r>
      <w:r w:rsidR="006457AB" w:rsidRPr="00BA222A">
        <w:rPr>
          <w:rFonts w:hint="cs"/>
          <w:rtl/>
        </w:rPr>
        <w:t>שינוי בהיקף ממדי הניתוק לאורך השנים</w:t>
      </w:r>
      <w:r w:rsidR="00CA26D4">
        <w:rPr>
          <w:rStyle w:val="ad"/>
        </w:rPr>
        <w:footnoteReference w:id="12"/>
      </w:r>
    </w:p>
    <w:p w:rsidR="006457AB" w:rsidRPr="00D843ED" w:rsidRDefault="006457AB" w:rsidP="00255D30">
      <w:pPr>
        <w:pStyle w:val="af"/>
        <w:numPr>
          <w:ilvl w:val="0"/>
          <w:numId w:val="8"/>
        </w:numPr>
        <w:spacing w:line="312" w:lineRule="auto"/>
      </w:pPr>
      <w:r w:rsidRPr="00D843ED">
        <w:rPr>
          <w:rFonts w:hint="cs"/>
          <w:rtl/>
        </w:rPr>
        <w:t>מאז שנת 2002</w:t>
      </w:r>
      <w:r w:rsidRPr="00D843ED">
        <w:rPr>
          <w:rtl/>
        </w:rPr>
        <w:t xml:space="preserve"> </w:t>
      </w:r>
      <w:r w:rsidRPr="00D843ED">
        <w:rPr>
          <w:rFonts w:hint="cs"/>
          <w:rtl/>
        </w:rPr>
        <w:t xml:space="preserve">חלה </w:t>
      </w:r>
      <w:r w:rsidRPr="00D843ED">
        <w:rPr>
          <w:rtl/>
        </w:rPr>
        <w:t>ירידה משמעותית ב</w:t>
      </w:r>
      <w:r w:rsidRPr="00D843ED">
        <w:rPr>
          <w:rFonts w:hint="cs"/>
          <w:rtl/>
        </w:rPr>
        <w:t xml:space="preserve">דיווח על </w:t>
      </w:r>
      <w:r w:rsidRPr="00D843ED">
        <w:rPr>
          <w:rtl/>
        </w:rPr>
        <w:t>ניתוק התנהגותי, הנמדד באמצעות דיווח התלמידים על היעדרויות ואיחורים</w:t>
      </w:r>
      <w:r w:rsidRPr="00D843ED">
        <w:rPr>
          <w:rFonts w:hint="cs"/>
          <w:rtl/>
        </w:rPr>
        <w:t xml:space="preserve">. </w:t>
      </w:r>
      <w:r w:rsidRPr="00D843ED">
        <w:rPr>
          <w:rtl/>
        </w:rPr>
        <w:t>ב</w:t>
      </w:r>
      <w:r w:rsidR="004C1028">
        <w:rPr>
          <w:rFonts w:hint="cs"/>
          <w:rtl/>
        </w:rPr>
        <w:t>מחקר</w:t>
      </w:r>
      <w:r w:rsidRPr="00D843ED">
        <w:rPr>
          <w:rtl/>
        </w:rPr>
        <w:t xml:space="preserve"> פיז"ה </w:t>
      </w:r>
      <w:r w:rsidRPr="00D843ED">
        <w:rPr>
          <w:rFonts w:hint="cs"/>
          <w:rtl/>
        </w:rPr>
        <w:t xml:space="preserve">הירידה היא </w:t>
      </w:r>
      <w:r w:rsidRPr="00D843ED">
        <w:rPr>
          <w:rtl/>
        </w:rPr>
        <w:t>מ-3</w:t>
      </w:r>
      <w:r w:rsidRPr="00D843ED">
        <w:rPr>
          <w:rFonts w:hint="cs"/>
          <w:rtl/>
        </w:rPr>
        <w:t>3</w:t>
      </w:r>
      <w:r w:rsidRPr="00D843ED">
        <w:rPr>
          <w:rtl/>
        </w:rPr>
        <w:t>% בשנת 200</w:t>
      </w:r>
      <w:r w:rsidRPr="00D843ED">
        <w:rPr>
          <w:rFonts w:hint="cs"/>
          <w:rtl/>
        </w:rPr>
        <w:t>2</w:t>
      </w:r>
      <w:r w:rsidRPr="00D843ED">
        <w:rPr>
          <w:rtl/>
        </w:rPr>
        <w:t xml:space="preserve"> ל-15% בשנת 2012</w:t>
      </w:r>
      <w:r w:rsidRPr="00D843ED">
        <w:rPr>
          <w:rFonts w:hint="cs"/>
          <w:rtl/>
        </w:rPr>
        <w:t xml:space="preserve"> (ירידה של 55%).</w:t>
      </w:r>
      <w:r w:rsidRPr="00D843ED">
        <w:rPr>
          <w:rtl/>
        </w:rPr>
        <w:t xml:space="preserve"> </w:t>
      </w:r>
    </w:p>
    <w:p w:rsidR="006457AB" w:rsidRDefault="00291058" w:rsidP="002570C1">
      <w:pPr>
        <w:pStyle w:val="af"/>
        <w:numPr>
          <w:ilvl w:val="0"/>
          <w:numId w:val="8"/>
        </w:numPr>
      </w:pPr>
      <w:r w:rsidRPr="00D843ED">
        <w:rPr>
          <w:rFonts w:hint="cs"/>
          <w:rtl/>
        </w:rPr>
        <w:t>מ</w:t>
      </w:r>
      <w:r w:rsidRPr="00D843ED">
        <w:rPr>
          <w:rtl/>
        </w:rPr>
        <w:t xml:space="preserve">סקר </w:t>
      </w:r>
      <w:r w:rsidRPr="00D843ED">
        <w:t>HBSC</w:t>
      </w:r>
      <w:r w:rsidRPr="00D843ED">
        <w:rPr>
          <w:rtl/>
        </w:rPr>
        <w:t xml:space="preserve"> ׁׁׁ(שמתייחס לשני </w:t>
      </w:r>
      <w:r w:rsidR="007A3DBC">
        <w:rPr>
          <w:rFonts w:hint="cs"/>
          <w:rtl/>
        </w:rPr>
        <w:t>ממד</w:t>
      </w:r>
      <w:r w:rsidR="007A3DBC" w:rsidRPr="00D843ED">
        <w:rPr>
          <w:rtl/>
        </w:rPr>
        <w:t xml:space="preserve">י </w:t>
      </w:r>
      <w:r w:rsidRPr="00D843ED">
        <w:rPr>
          <w:rtl/>
        </w:rPr>
        <w:t xml:space="preserve">ניתוק בלבד, </w:t>
      </w:r>
      <w:r>
        <w:rPr>
          <w:rFonts w:hint="cs"/>
          <w:rtl/>
        </w:rPr>
        <w:t>ה</w:t>
      </w:r>
      <w:r w:rsidRPr="00D843ED">
        <w:rPr>
          <w:rtl/>
        </w:rPr>
        <w:t>התנהגותי ו</w:t>
      </w:r>
      <w:r>
        <w:rPr>
          <w:rFonts w:hint="cs"/>
          <w:rtl/>
        </w:rPr>
        <w:t>ה</w:t>
      </w:r>
      <w:r w:rsidRPr="00D843ED">
        <w:rPr>
          <w:rtl/>
        </w:rPr>
        <w:t xml:space="preserve">רגשי) ניתן </w:t>
      </w:r>
      <w:r>
        <w:rPr>
          <w:rFonts w:hint="cs"/>
          <w:rtl/>
        </w:rPr>
        <w:t>ללמוד על השינויים בהיקפי הניתוק בקרב תלמידים בחינוך היהודי לעומת תלמידים בחינוך הערבי</w:t>
      </w:r>
      <w:r w:rsidRPr="00D843ED">
        <w:rPr>
          <w:rStyle w:val="ad"/>
          <w:rtl/>
        </w:rPr>
        <w:footnoteReference w:id="13"/>
      </w:r>
      <w:r>
        <w:rPr>
          <w:rFonts w:hint="cs"/>
          <w:rtl/>
        </w:rPr>
        <w:t xml:space="preserve">: </w:t>
      </w:r>
      <w:r w:rsidR="00CA26D4">
        <w:rPr>
          <w:rFonts w:hint="cs"/>
          <w:rtl/>
        </w:rPr>
        <w:t>בין</w:t>
      </w:r>
      <w:r w:rsidR="00CA26D4" w:rsidRPr="00D843ED">
        <w:rPr>
          <w:rtl/>
        </w:rPr>
        <w:t xml:space="preserve"> השנים 1998 ל-2010</w:t>
      </w:r>
      <w:r w:rsidR="001B6571">
        <w:rPr>
          <w:rFonts w:hint="cs"/>
          <w:rtl/>
        </w:rPr>
        <w:t>/11</w:t>
      </w:r>
      <w:r w:rsidR="00CA26D4">
        <w:rPr>
          <w:rFonts w:hint="cs"/>
          <w:rtl/>
        </w:rPr>
        <w:t xml:space="preserve"> </w:t>
      </w:r>
      <w:r w:rsidR="00255D30">
        <w:rPr>
          <w:rFonts w:hint="cs"/>
          <w:rtl/>
        </w:rPr>
        <w:t xml:space="preserve">ניתן </w:t>
      </w:r>
      <w:r w:rsidR="006457AB" w:rsidRPr="00D843ED">
        <w:rPr>
          <w:rtl/>
        </w:rPr>
        <w:t xml:space="preserve">לראות </w:t>
      </w:r>
      <w:r w:rsidR="006457AB" w:rsidRPr="006103BC">
        <w:rPr>
          <w:rtl/>
        </w:rPr>
        <w:t>עלייה</w:t>
      </w:r>
      <w:r w:rsidR="006457AB" w:rsidRPr="00D843ED">
        <w:rPr>
          <w:rtl/>
        </w:rPr>
        <w:t xml:space="preserve"> בהיקף </w:t>
      </w:r>
      <w:r w:rsidR="006457AB" w:rsidRPr="00D843ED">
        <w:rPr>
          <w:rFonts w:hint="cs"/>
          <w:rtl/>
        </w:rPr>
        <w:t xml:space="preserve">הדיווח על ניתוק התנהגותי (היעדרויות) </w:t>
      </w:r>
      <w:r w:rsidR="006457AB" w:rsidRPr="00D843ED">
        <w:rPr>
          <w:rtl/>
        </w:rPr>
        <w:t>ב</w:t>
      </w:r>
      <w:r w:rsidR="00CA26D4">
        <w:rPr>
          <w:rFonts w:hint="cs"/>
          <w:rtl/>
        </w:rPr>
        <w:t xml:space="preserve">קרב תלמידים בחינוך הערבי </w:t>
      </w:r>
      <w:r w:rsidR="004C1028">
        <w:rPr>
          <w:rFonts w:hint="cs"/>
          <w:rtl/>
        </w:rPr>
        <w:t>(מ-14% ל-18%</w:t>
      </w:r>
      <w:r w:rsidR="00CA26D4">
        <w:rPr>
          <w:rFonts w:hint="cs"/>
          <w:rtl/>
        </w:rPr>
        <w:t xml:space="preserve"> אצל הבנים, ו</w:t>
      </w:r>
      <w:r w:rsidR="004C1028">
        <w:rPr>
          <w:rFonts w:hint="cs"/>
          <w:rtl/>
        </w:rPr>
        <w:t>מ-4% ל-9%</w:t>
      </w:r>
      <w:r w:rsidR="00CA26D4">
        <w:rPr>
          <w:rFonts w:hint="cs"/>
          <w:rtl/>
        </w:rPr>
        <w:t xml:space="preserve"> אצל הבנות</w:t>
      </w:r>
      <w:r w:rsidR="004C1028">
        <w:rPr>
          <w:rFonts w:hint="cs"/>
          <w:rtl/>
        </w:rPr>
        <w:t>)</w:t>
      </w:r>
      <w:r w:rsidR="002570C1">
        <w:rPr>
          <w:rFonts w:hint="cs"/>
          <w:rtl/>
        </w:rPr>
        <w:t>,</w:t>
      </w:r>
      <w:r w:rsidR="004C1028">
        <w:rPr>
          <w:rFonts w:hint="cs"/>
          <w:rtl/>
        </w:rPr>
        <w:t xml:space="preserve"> </w:t>
      </w:r>
      <w:r w:rsidR="006457AB" w:rsidRPr="00D843ED">
        <w:rPr>
          <w:rtl/>
        </w:rPr>
        <w:t xml:space="preserve">לעומת ירידה בקרב </w:t>
      </w:r>
      <w:r w:rsidR="00CA26D4">
        <w:rPr>
          <w:rFonts w:hint="cs"/>
          <w:rtl/>
        </w:rPr>
        <w:t>תלמידים בחינוך העברי</w:t>
      </w:r>
      <w:r w:rsidR="00255D30">
        <w:rPr>
          <w:rFonts w:hint="cs"/>
          <w:rtl/>
        </w:rPr>
        <w:t xml:space="preserve"> (מ-28% ל-20%</w:t>
      </w:r>
      <w:r w:rsidR="00CA26D4">
        <w:rPr>
          <w:rFonts w:hint="cs"/>
          <w:rtl/>
        </w:rPr>
        <w:t xml:space="preserve"> אצל הבנים ו</w:t>
      </w:r>
      <w:r w:rsidR="00255D30">
        <w:rPr>
          <w:rFonts w:hint="cs"/>
          <w:rtl/>
        </w:rPr>
        <w:t>מ-26% ל-18%</w:t>
      </w:r>
      <w:r w:rsidR="00CA26D4">
        <w:rPr>
          <w:rFonts w:hint="cs"/>
          <w:rtl/>
        </w:rPr>
        <w:t xml:space="preserve"> אצל הבנות</w:t>
      </w:r>
      <w:r w:rsidR="00255D30">
        <w:rPr>
          <w:rFonts w:hint="cs"/>
          <w:rtl/>
        </w:rPr>
        <w:t>)</w:t>
      </w:r>
      <w:r w:rsidR="006457AB" w:rsidRPr="00D843ED">
        <w:rPr>
          <w:rFonts w:hint="cs"/>
          <w:rtl/>
        </w:rPr>
        <w:t>.</w:t>
      </w:r>
      <w:r w:rsidR="006457AB" w:rsidRPr="00291058">
        <w:rPr>
          <w:b/>
          <w:bCs/>
          <w:rtl/>
        </w:rPr>
        <w:t xml:space="preserve"> </w:t>
      </w:r>
      <w:r>
        <w:rPr>
          <w:rtl/>
        </w:rPr>
        <w:t>ב</w:t>
      </w:r>
      <w:r>
        <w:rPr>
          <w:rFonts w:hint="cs"/>
          <w:rtl/>
        </w:rPr>
        <w:t>חינוך</w:t>
      </w:r>
      <w:r w:rsidRPr="00D843ED">
        <w:rPr>
          <w:rtl/>
        </w:rPr>
        <w:t xml:space="preserve"> הערבי ה</w:t>
      </w:r>
      <w:r>
        <w:rPr>
          <w:rFonts w:hint="cs"/>
          <w:rtl/>
        </w:rPr>
        <w:t>התייחסות לנשירה הסמויה מעניינת במיוחד,</w:t>
      </w:r>
      <w:r w:rsidRPr="00D843ED">
        <w:rPr>
          <w:rtl/>
        </w:rPr>
        <w:t xml:space="preserve"> על רקע צמצום הנשירה הגלויה, אשר העמיד אתגר נוסף בפני בתי הספר, </w:t>
      </w:r>
      <w:r w:rsidRPr="00D843ED">
        <w:rPr>
          <w:rFonts w:hint="cs"/>
          <w:rtl/>
        </w:rPr>
        <w:t>כ</w:t>
      </w:r>
      <w:r w:rsidRPr="00D843ED">
        <w:rPr>
          <w:rtl/>
        </w:rPr>
        <w:t>ש</w:t>
      </w:r>
      <w:r w:rsidRPr="00D843ED">
        <w:rPr>
          <w:rFonts w:hint="cs"/>
          <w:rtl/>
        </w:rPr>
        <w:t>משמעות הדבר היא הישארות ב</w:t>
      </w:r>
      <w:r w:rsidRPr="00D843ED">
        <w:rPr>
          <w:rtl/>
        </w:rPr>
        <w:t xml:space="preserve">בתי הספר </w:t>
      </w:r>
      <w:r w:rsidRPr="00D843ED">
        <w:rPr>
          <w:rFonts w:hint="cs"/>
          <w:rtl/>
        </w:rPr>
        <w:t xml:space="preserve">של </w:t>
      </w:r>
      <w:r w:rsidRPr="00D843ED">
        <w:rPr>
          <w:rtl/>
        </w:rPr>
        <w:t xml:space="preserve">תלמידים </w:t>
      </w:r>
      <w:r>
        <w:rPr>
          <w:rFonts w:hint="cs"/>
          <w:rtl/>
        </w:rPr>
        <w:t xml:space="preserve">רבים יותר </w:t>
      </w:r>
      <w:r w:rsidRPr="00D843ED">
        <w:rPr>
          <w:rtl/>
        </w:rPr>
        <w:t>עם קשיי למידה והסתגלות.</w:t>
      </w:r>
    </w:p>
    <w:p w:rsidR="003B4C32" w:rsidRDefault="003B4C32" w:rsidP="00B00ADA">
      <w:pPr>
        <w:pStyle w:val="af"/>
        <w:spacing w:after="0"/>
        <w:ind w:left="360"/>
      </w:pPr>
    </w:p>
    <w:p w:rsidR="00C03B0B" w:rsidRPr="00BA222A" w:rsidRDefault="002570C1" w:rsidP="00D843ED">
      <w:pPr>
        <w:pStyle w:val="1"/>
        <w:spacing w:after="0"/>
      </w:pPr>
      <w:r>
        <w:rPr>
          <w:rFonts w:hint="cs"/>
          <w:rtl/>
        </w:rPr>
        <w:t>5</w:t>
      </w:r>
      <w:r w:rsidR="00BA222A" w:rsidRPr="00BA222A">
        <w:rPr>
          <w:rFonts w:hint="cs"/>
          <w:rtl/>
        </w:rPr>
        <w:t xml:space="preserve">. </w:t>
      </w:r>
      <w:r w:rsidR="00BA222A">
        <w:rPr>
          <w:rFonts w:hint="cs"/>
          <w:rtl/>
        </w:rPr>
        <w:t xml:space="preserve">ממדי </w:t>
      </w:r>
      <w:r w:rsidR="00C03B0B" w:rsidRPr="00BA222A">
        <w:rPr>
          <w:rFonts w:hint="cs"/>
          <w:rtl/>
        </w:rPr>
        <w:t>ניתוק ו</w:t>
      </w:r>
      <w:r w:rsidR="0024163B" w:rsidRPr="00BA222A">
        <w:rPr>
          <w:rFonts w:hint="cs"/>
          <w:rtl/>
        </w:rPr>
        <w:t>הישגים לימודיים</w:t>
      </w:r>
    </w:p>
    <w:p w:rsidR="0024163B" w:rsidRDefault="00C03B0B" w:rsidP="003B4C32">
      <w:pPr>
        <w:keepNext/>
        <w:spacing w:after="0"/>
        <w:outlineLvl w:val="2"/>
        <w:rPr>
          <w:rtl/>
        </w:rPr>
      </w:pPr>
      <w:r>
        <w:rPr>
          <w:rFonts w:hint="cs"/>
          <w:rtl/>
        </w:rPr>
        <w:t xml:space="preserve">תלמידים </w:t>
      </w:r>
      <w:r w:rsidR="005830D1">
        <w:rPr>
          <w:rFonts w:hint="cs"/>
          <w:rtl/>
        </w:rPr>
        <w:t>שדיווחו</w:t>
      </w:r>
      <w:r>
        <w:rPr>
          <w:rFonts w:hint="cs"/>
          <w:rtl/>
        </w:rPr>
        <w:t xml:space="preserve"> על יותר ממדי ניתוק, </w:t>
      </w:r>
      <w:r w:rsidR="005830D1">
        <w:rPr>
          <w:rFonts w:hint="cs"/>
          <w:rtl/>
        </w:rPr>
        <w:t>הפגינו</w:t>
      </w:r>
      <w:r>
        <w:rPr>
          <w:rFonts w:hint="cs"/>
          <w:rtl/>
        </w:rPr>
        <w:t xml:space="preserve"> הישגים נמוכים יותר ב</w:t>
      </w:r>
      <w:r w:rsidR="00503F23">
        <w:rPr>
          <w:rFonts w:hint="cs"/>
          <w:rtl/>
        </w:rPr>
        <w:t xml:space="preserve">שלושת </w:t>
      </w:r>
      <w:r>
        <w:rPr>
          <w:rFonts w:hint="cs"/>
          <w:rtl/>
        </w:rPr>
        <w:t>מבחני ה</w:t>
      </w:r>
      <w:r w:rsidR="00AD77E6">
        <w:rPr>
          <w:rFonts w:hint="cs"/>
          <w:rtl/>
        </w:rPr>
        <w:t>אוריינות</w:t>
      </w:r>
      <w:r>
        <w:rPr>
          <w:rFonts w:hint="cs"/>
          <w:rtl/>
        </w:rPr>
        <w:t xml:space="preserve"> של פיז"ה (תרשים 3). </w:t>
      </w:r>
    </w:p>
    <w:p w:rsidR="00AD77E6" w:rsidRDefault="00AD77E6" w:rsidP="0009670E">
      <w:pPr>
        <w:pStyle w:val="chart"/>
        <w:spacing w:line="312" w:lineRule="auto"/>
        <w:rPr>
          <w:rtl/>
        </w:rPr>
      </w:pPr>
    </w:p>
    <w:p w:rsidR="0009670E" w:rsidRDefault="0009670E" w:rsidP="008628D7">
      <w:pPr>
        <w:pStyle w:val="chart"/>
        <w:spacing w:line="312" w:lineRule="auto"/>
        <w:rPr>
          <w:rtl/>
        </w:rPr>
      </w:pPr>
      <w:r w:rsidRPr="00794707">
        <w:rPr>
          <w:rFonts w:hint="eastAsia"/>
          <w:rtl/>
        </w:rPr>
        <w:t>תרשים</w:t>
      </w:r>
      <w:r w:rsidRPr="00794707">
        <w:rPr>
          <w:rtl/>
        </w:rPr>
        <w:t xml:space="preserve"> </w:t>
      </w:r>
      <w:r>
        <w:rPr>
          <w:rFonts w:hint="cs"/>
          <w:rtl/>
        </w:rPr>
        <w:t>3</w:t>
      </w:r>
      <w:r w:rsidRPr="00794707">
        <w:rPr>
          <w:rtl/>
        </w:rPr>
        <w:t xml:space="preserve">: </w:t>
      </w:r>
      <w:r w:rsidR="008628D7">
        <w:rPr>
          <w:rFonts w:hint="cs"/>
          <w:rtl/>
        </w:rPr>
        <w:t xml:space="preserve">אחוז התלמידים </w:t>
      </w:r>
      <w:r w:rsidR="00B00ADA">
        <w:rPr>
          <w:rFonts w:hint="cs"/>
          <w:rtl/>
        </w:rPr>
        <w:t xml:space="preserve">בישראל שהם </w:t>
      </w:r>
      <w:r w:rsidR="008628D7">
        <w:rPr>
          <w:rFonts w:hint="cs"/>
          <w:rtl/>
        </w:rPr>
        <w:t>בעלי הישגים נמוכים במיוחד</w:t>
      </w:r>
      <w:r w:rsidR="008628D7" w:rsidRPr="008628D7">
        <w:rPr>
          <w:rFonts w:hint="cs"/>
          <w:vertAlign w:val="superscript"/>
          <w:rtl/>
        </w:rPr>
        <w:t>1</w:t>
      </w:r>
      <w:r w:rsidR="008628D7">
        <w:rPr>
          <w:rFonts w:hint="cs"/>
          <w:rtl/>
        </w:rPr>
        <w:t xml:space="preserve"> </w:t>
      </w:r>
      <w:r>
        <w:rPr>
          <w:rFonts w:hint="cs"/>
          <w:rtl/>
        </w:rPr>
        <w:t>במבחני פיז"ה 2012</w:t>
      </w:r>
      <w:r w:rsidR="00B00ADA">
        <w:rPr>
          <w:rFonts w:hint="cs"/>
          <w:rtl/>
        </w:rPr>
        <w:t>,</w:t>
      </w:r>
      <w:r>
        <w:rPr>
          <w:rFonts w:hint="cs"/>
          <w:rtl/>
        </w:rPr>
        <w:t xml:space="preserve"> לפי מספר ממדי הניתוק (גיל 15), ב</w:t>
      </w:r>
      <w:r w:rsidRPr="00794707">
        <w:rPr>
          <w:rFonts w:hint="eastAsia"/>
          <w:rtl/>
        </w:rPr>
        <w:t>אחוזים</w:t>
      </w:r>
    </w:p>
    <w:p w:rsidR="00064088" w:rsidRPr="00794707" w:rsidRDefault="00064088" w:rsidP="0009670E">
      <w:pPr>
        <w:pStyle w:val="chart"/>
        <w:spacing w:line="312" w:lineRule="auto"/>
        <w:rPr>
          <w:rtl/>
        </w:rPr>
      </w:pPr>
      <w:r>
        <w:rPr>
          <w:noProof/>
          <w:rtl/>
          <w:lang w:eastAsia="en-US"/>
        </w:rPr>
        <w:drawing>
          <wp:inline distT="0" distB="0" distL="0" distR="0" wp14:anchorId="1FA5FB78" wp14:editId="3DACF406">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03B0B" w:rsidRDefault="00C03B0B" w:rsidP="006103BC">
      <w:pPr>
        <w:spacing w:before="60" w:after="0" w:line="240" w:lineRule="auto"/>
        <w:rPr>
          <w:sz w:val="20"/>
          <w:szCs w:val="20"/>
          <w:rtl/>
        </w:rPr>
      </w:pPr>
      <w:r w:rsidRPr="009929A6">
        <w:rPr>
          <w:rFonts w:hint="cs"/>
          <w:sz w:val="20"/>
          <w:szCs w:val="20"/>
          <w:rtl/>
        </w:rPr>
        <w:t xml:space="preserve">** </w:t>
      </w:r>
      <w:r w:rsidRPr="009929A6">
        <w:rPr>
          <w:sz w:val="20"/>
          <w:szCs w:val="20"/>
        </w:rPr>
        <w:t>P&lt;0.01</w:t>
      </w:r>
      <w:r w:rsidR="005830D1">
        <w:rPr>
          <w:rFonts w:hint="cs"/>
          <w:sz w:val="20"/>
          <w:szCs w:val="20"/>
          <w:rtl/>
        </w:rPr>
        <w:t xml:space="preserve">   </w:t>
      </w:r>
    </w:p>
    <w:p w:rsidR="008628D7" w:rsidRDefault="008628D7" w:rsidP="006103BC">
      <w:pPr>
        <w:spacing w:before="60" w:after="0" w:line="240" w:lineRule="auto"/>
        <w:rPr>
          <w:sz w:val="20"/>
          <w:szCs w:val="20"/>
          <w:rtl/>
        </w:rPr>
      </w:pPr>
      <w:r w:rsidRPr="00503F23">
        <w:rPr>
          <w:rFonts w:hint="cs"/>
          <w:sz w:val="20"/>
          <w:szCs w:val="20"/>
          <w:vertAlign w:val="superscript"/>
          <w:rtl/>
        </w:rPr>
        <w:t>1</w:t>
      </w:r>
      <w:r>
        <w:rPr>
          <w:rFonts w:hint="cs"/>
          <w:sz w:val="20"/>
          <w:szCs w:val="20"/>
          <w:rtl/>
        </w:rPr>
        <w:t xml:space="preserve"> תלמידים בעלי הישגים נמוכים במיוחד: תלמידים שהגיעו עד רמה 2 (לא כולל) מתוך 6 רמות קיימות, לפי הגדרת ראמ"ה (ראמ"ה, 2013)</w:t>
      </w:r>
    </w:p>
    <w:p w:rsidR="003C411E" w:rsidRPr="009929A6" w:rsidRDefault="003C411E" w:rsidP="006103BC">
      <w:pPr>
        <w:spacing w:before="60" w:after="0" w:line="240" w:lineRule="auto"/>
        <w:rPr>
          <w:sz w:val="20"/>
          <w:szCs w:val="20"/>
          <w:rtl/>
        </w:rPr>
      </w:pPr>
    </w:p>
    <w:p w:rsidR="000D7A5A" w:rsidRDefault="000D7A5A" w:rsidP="000D7A5A">
      <w:pPr>
        <w:spacing w:before="60" w:after="0" w:line="240" w:lineRule="auto"/>
        <w:rPr>
          <w:color w:val="FF0000"/>
          <w:sz w:val="20"/>
          <w:szCs w:val="20"/>
          <w:rtl/>
        </w:rPr>
      </w:pPr>
    </w:p>
    <w:p w:rsidR="000D7A5A" w:rsidRDefault="002570C1" w:rsidP="007658CB">
      <w:pPr>
        <w:pStyle w:val="1"/>
        <w:spacing w:after="0"/>
        <w:rPr>
          <w:rtl/>
        </w:rPr>
      </w:pPr>
      <w:r>
        <w:rPr>
          <w:rFonts w:hint="cs"/>
          <w:rtl/>
        </w:rPr>
        <w:t>6</w:t>
      </w:r>
      <w:r w:rsidR="00D843ED">
        <w:rPr>
          <w:rFonts w:hint="cs"/>
          <w:rtl/>
        </w:rPr>
        <w:t xml:space="preserve">. </w:t>
      </w:r>
      <w:r w:rsidR="0079299B">
        <w:rPr>
          <w:rFonts w:hint="cs"/>
          <w:rtl/>
        </w:rPr>
        <w:t xml:space="preserve">ממדי </w:t>
      </w:r>
      <w:r w:rsidR="000D7A5A" w:rsidRPr="0079299B">
        <w:rPr>
          <w:rFonts w:hint="cs"/>
          <w:rtl/>
        </w:rPr>
        <w:t>ניתוק וה</w:t>
      </w:r>
      <w:r w:rsidR="007658CB">
        <w:rPr>
          <w:rFonts w:hint="cs"/>
          <w:rtl/>
        </w:rPr>
        <w:t>חוויה הבית ספרית</w:t>
      </w:r>
    </w:p>
    <w:p w:rsidR="003B4C32" w:rsidRPr="003B4C32" w:rsidRDefault="003B4C32" w:rsidP="002570C1">
      <w:pPr>
        <w:rPr>
          <w:rtl/>
        </w:rPr>
      </w:pPr>
      <w:r w:rsidRPr="003B4C32">
        <w:rPr>
          <w:rtl/>
        </w:rPr>
        <w:t xml:space="preserve">איכות הקשר עם המורים </w:t>
      </w:r>
      <w:r>
        <w:rPr>
          <w:rFonts w:hint="cs"/>
          <w:rtl/>
        </w:rPr>
        <w:t>וה</w:t>
      </w:r>
      <w:r w:rsidRPr="003B4C32">
        <w:rPr>
          <w:rtl/>
        </w:rPr>
        <w:t>מדיניות ו</w:t>
      </w:r>
      <w:r>
        <w:rPr>
          <w:rFonts w:hint="cs"/>
          <w:rtl/>
        </w:rPr>
        <w:t>ה</w:t>
      </w:r>
      <w:r w:rsidRPr="003B4C32">
        <w:rPr>
          <w:rtl/>
        </w:rPr>
        <w:t>א</w:t>
      </w:r>
      <w:r w:rsidR="002570C1">
        <w:rPr>
          <w:rFonts w:hint="cs"/>
          <w:rtl/>
        </w:rPr>
        <w:t>ו</w:t>
      </w:r>
      <w:r w:rsidRPr="003B4C32">
        <w:rPr>
          <w:rtl/>
        </w:rPr>
        <w:t xml:space="preserve">וירה בבית הספר </w:t>
      </w:r>
      <w:r>
        <w:rPr>
          <w:rFonts w:hint="cs"/>
          <w:rtl/>
        </w:rPr>
        <w:t xml:space="preserve">נמצאו כמשפיעים על התנתקות התלמידים </w:t>
      </w:r>
      <w:r w:rsidRPr="003B4C32">
        <w:rPr>
          <w:rtl/>
        </w:rPr>
        <w:t>(</w:t>
      </w:r>
      <w:r w:rsidRPr="003B4C32">
        <w:t>Skinner et al, 2008; Ross, 2009; Fall et al., 2012 ;Makarova et al., 2013, Wang et al, 2010; Roorda et al, 2011</w:t>
      </w:r>
      <w:r>
        <w:rPr>
          <w:rFonts w:hint="cs"/>
          <w:rtl/>
        </w:rPr>
        <w:t xml:space="preserve">    </w:t>
      </w:r>
      <w:r w:rsidRPr="003B4C32">
        <w:t>Willms, 2003; Foliano, 2010</w:t>
      </w:r>
      <w:r w:rsidRPr="003B4C32">
        <w:rPr>
          <w:rtl/>
        </w:rPr>
        <w:t>).</w:t>
      </w:r>
    </w:p>
    <w:p w:rsidR="004D0A1B" w:rsidRPr="004D0A1B" w:rsidRDefault="003B4C32" w:rsidP="00B00ADA">
      <w:pPr>
        <w:rPr>
          <w:rtl/>
        </w:rPr>
      </w:pPr>
      <w:r>
        <w:rPr>
          <w:rFonts w:hint="cs"/>
          <w:rtl/>
        </w:rPr>
        <w:t>נמצא ש</w:t>
      </w:r>
      <w:r w:rsidR="004D0A1B" w:rsidRPr="004D0A1B">
        <w:rPr>
          <w:rtl/>
        </w:rPr>
        <w:t xml:space="preserve">תלמידים </w:t>
      </w:r>
      <w:r w:rsidR="005830D1">
        <w:rPr>
          <w:rFonts w:hint="cs"/>
          <w:rtl/>
        </w:rPr>
        <w:t>ש</w:t>
      </w:r>
      <w:r w:rsidR="004D0A1B" w:rsidRPr="004D0A1B">
        <w:rPr>
          <w:rtl/>
        </w:rPr>
        <w:t xml:space="preserve">דיווחו על </w:t>
      </w:r>
      <w:r w:rsidR="00860D81">
        <w:rPr>
          <w:rFonts w:hint="cs"/>
          <w:rtl/>
        </w:rPr>
        <w:t>מספר רב של תחוש</w:t>
      </w:r>
      <w:r w:rsidR="002570C1">
        <w:rPr>
          <w:rFonts w:hint="cs"/>
          <w:rtl/>
        </w:rPr>
        <w:t>ו</w:t>
      </w:r>
      <w:r w:rsidR="00860D81">
        <w:rPr>
          <w:rFonts w:hint="cs"/>
          <w:rtl/>
        </w:rPr>
        <w:t>ת שליליות לגבי היחסים עם המורים</w:t>
      </w:r>
      <w:r w:rsidR="004D0A1B" w:rsidRPr="004D0A1B">
        <w:rPr>
          <w:rtl/>
        </w:rPr>
        <w:t xml:space="preserve">, דיווחו </w:t>
      </w:r>
      <w:r w:rsidR="00860D81">
        <w:rPr>
          <w:rFonts w:hint="cs"/>
          <w:rtl/>
        </w:rPr>
        <w:t xml:space="preserve">גם </w:t>
      </w:r>
      <w:r w:rsidR="004D0A1B" w:rsidRPr="004D0A1B">
        <w:rPr>
          <w:rtl/>
        </w:rPr>
        <w:t xml:space="preserve">על </w:t>
      </w:r>
      <w:r w:rsidR="00860D81">
        <w:rPr>
          <w:rFonts w:hint="cs"/>
          <w:rtl/>
        </w:rPr>
        <w:t xml:space="preserve">מספר רב יותר של ממדי ניתוק </w:t>
      </w:r>
      <w:r w:rsidR="004D0A1B" w:rsidRPr="004D0A1B">
        <w:rPr>
          <w:rtl/>
        </w:rPr>
        <w:t xml:space="preserve"> (תרשים </w:t>
      </w:r>
      <w:r w:rsidR="002570C1">
        <w:rPr>
          <w:rFonts w:hint="cs"/>
          <w:rtl/>
        </w:rPr>
        <w:t>4</w:t>
      </w:r>
      <w:r w:rsidR="004D0A1B" w:rsidRPr="004D0A1B">
        <w:rPr>
          <w:rtl/>
        </w:rPr>
        <w:t xml:space="preserve">). </w:t>
      </w:r>
    </w:p>
    <w:p w:rsidR="003E37CF" w:rsidRDefault="00372163" w:rsidP="00B00ADA">
      <w:pPr>
        <w:pStyle w:val="chart"/>
        <w:spacing w:line="312" w:lineRule="auto"/>
        <w:ind w:left="0" w:firstLine="0"/>
        <w:rPr>
          <w:rtl/>
        </w:rPr>
      </w:pPr>
      <w:r w:rsidRPr="00794707">
        <w:rPr>
          <w:rFonts w:hint="eastAsia"/>
          <w:rtl/>
        </w:rPr>
        <w:t>תרשים</w:t>
      </w:r>
      <w:r w:rsidRPr="00794707">
        <w:rPr>
          <w:rtl/>
        </w:rPr>
        <w:t xml:space="preserve"> </w:t>
      </w:r>
      <w:r w:rsidR="002570C1">
        <w:rPr>
          <w:rFonts w:hint="cs"/>
          <w:rtl/>
        </w:rPr>
        <w:t>4</w:t>
      </w:r>
      <w:r w:rsidRPr="00794707">
        <w:rPr>
          <w:rtl/>
        </w:rPr>
        <w:t xml:space="preserve">: </w:t>
      </w:r>
      <w:r w:rsidR="003C411E">
        <w:rPr>
          <w:rFonts w:hint="cs"/>
          <w:rtl/>
        </w:rPr>
        <w:t xml:space="preserve">אחוז התלמידים </w:t>
      </w:r>
      <w:r w:rsidR="00B00ADA">
        <w:rPr>
          <w:rFonts w:hint="cs"/>
          <w:rtl/>
        </w:rPr>
        <w:t xml:space="preserve">בישראל </w:t>
      </w:r>
      <w:r w:rsidR="003C411E">
        <w:rPr>
          <w:rFonts w:hint="cs"/>
          <w:rtl/>
        </w:rPr>
        <w:t xml:space="preserve">שדיווחו על ממדי ניתוק, לפי תפיסת היחסים עם המורים </w:t>
      </w:r>
      <w:r>
        <w:rPr>
          <w:rFonts w:hint="cs"/>
          <w:rtl/>
        </w:rPr>
        <w:t xml:space="preserve"> ב</w:t>
      </w:r>
      <w:r w:rsidR="005830D1">
        <w:rPr>
          <w:rFonts w:hint="cs"/>
          <w:rtl/>
        </w:rPr>
        <w:t>שאלוני</w:t>
      </w:r>
      <w:r>
        <w:rPr>
          <w:rFonts w:hint="cs"/>
          <w:rtl/>
        </w:rPr>
        <w:t xml:space="preserve"> פיז"ה 2012 (גיל 15), ב</w:t>
      </w:r>
      <w:r w:rsidRPr="00794707">
        <w:rPr>
          <w:rFonts w:hint="eastAsia"/>
          <w:rtl/>
        </w:rPr>
        <w:t>אחוזים</w:t>
      </w:r>
    </w:p>
    <w:p w:rsidR="003E37CF" w:rsidRDefault="003E37CF" w:rsidP="002570C1">
      <w:pPr>
        <w:pStyle w:val="chart"/>
        <w:spacing w:after="240" w:line="240" w:lineRule="auto"/>
        <w:ind w:left="0" w:firstLine="0"/>
        <w:rPr>
          <w:rtl/>
        </w:rPr>
      </w:pPr>
      <w:r>
        <w:rPr>
          <w:rFonts w:hint="cs"/>
          <w:noProof/>
          <w:rtl/>
          <w:lang w:eastAsia="en-US"/>
        </w:rPr>
        <w:drawing>
          <wp:inline distT="0" distB="0" distL="0" distR="0" wp14:anchorId="2F1A6452" wp14:editId="228764F9">
            <wp:extent cx="2619375" cy="320040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rFonts w:hint="cs"/>
          <w:noProof/>
          <w:rtl/>
          <w:lang w:eastAsia="en-US"/>
        </w:rPr>
        <w:drawing>
          <wp:inline distT="0" distB="0" distL="0" distR="0" wp14:anchorId="3F396D5D" wp14:editId="19255883">
            <wp:extent cx="276225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E37CF" w:rsidRPr="00B00ADA" w:rsidRDefault="003E37CF" w:rsidP="00B00ADA">
      <w:pPr>
        <w:rPr>
          <w:sz w:val="18"/>
          <w:szCs w:val="20"/>
          <w:rtl/>
        </w:rPr>
      </w:pPr>
      <w:r w:rsidRPr="00B00ADA">
        <w:rPr>
          <w:sz w:val="18"/>
          <w:szCs w:val="20"/>
          <w:vertAlign w:val="superscript"/>
          <w:rtl/>
        </w:rPr>
        <w:t>1</w:t>
      </w:r>
      <w:r w:rsidRPr="00B00ADA">
        <w:rPr>
          <w:sz w:val="18"/>
          <w:szCs w:val="20"/>
          <w:rtl/>
        </w:rPr>
        <w:t xml:space="preserve"> תלמידים שציינו כי הם לא מסכימים או בהחלט לא מסכימים </w:t>
      </w:r>
      <w:r w:rsidR="00B00ADA" w:rsidRPr="00B00ADA">
        <w:rPr>
          <w:sz w:val="18"/>
          <w:szCs w:val="20"/>
          <w:rtl/>
        </w:rPr>
        <w:t>ע</w:t>
      </w:r>
      <w:r w:rsidR="00B00ADA">
        <w:rPr>
          <w:rFonts w:hint="cs"/>
          <w:sz w:val="18"/>
          <w:szCs w:val="20"/>
          <w:rtl/>
        </w:rPr>
        <w:t>ם</w:t>
      </w:r>
      <w:r w:rsidR="00B00ADA" w:rsidRPr="00B00ADA">
        <w:rPr>
          <w:sz w:val="18"/>
          <w:szCs w:val="20"/>
          <w:rtl/>
        </w:rPr>
        <w:t xml:space="preserve"> </w:t>
      </w:r>
      <w:r w:rsidRPr="00B00ADA">
        <w:rPr>
          <w:sz w:val="18"/>
          <w:szCs w:val="20"/>
          <w:rtl/>
        </w:rPr>
        <w:t>לפחות 2 מההיגדים ה</w:t>
      </w:r>
      <w:r w:rsidR="002570C1" w:rsidRPr="00B00ADA">
        <w:rPr>
          <w:rFonts w:hint="eastAsia"/>
          <w:sz w:val="18"/>
          <w:szCs w:val="20"/>
          <w:rtl/>
        </w:rPr>
        <w:t>אלה</w:t>
      </w:r>
      <w:r w:rsidRPr="00B00ADA">
        <w:rPr>
          <w:sz w:val="18"/>
          <w:szCs w:val="20"/>
          <w:rtl/>
        </w:rPr>
        <w:t xml:space="preserve">: </w:t>
      </w:r>
      <w:r w:rsidRPr="00B00ADA">
        <w:rPr>
          <w:rFonts w:hint="eastAsia"/>
          <w:sz w:val="18"/>
          <w:szCs w:val="20"/>
          <w:rtl/>
        </w:rPr>
        <w:t>התלמידים</w:t>
      </w:r>
      <w:r w:rsidRPr="00B00ADA">
        <w:rPr>
          <w:sz w:val="18"/>
          <w:szCs w:val="20"/>
          <w:rtl/>
        </w:rPr>
        <w:t xml:space="preserve"> </w:t>
      </w:r>
      <w:r w:rsidRPr="00B00ADA">
        <w:rPr>
          <w:rFonts w:hint="eastAsia"/>
          <w:sz w:val="18"/>
          <w:szCs w:val="20"/>
          <w:rtl/>
        </w:rPr>
        <w:t>מסתדרים</w:t>
      </w:r>
      <w:r w:rsidRPr="00B00ADA">
        <w:rPr>
          <w:sz w:val="18"/>
          <w:szCs w:val="20"/>
          <w:rtl/>
        </w:rPr>
        <w:t xml:space="preserve"> </w:t>
      </w:r>
      <w:r w:rsidRPr="00B00ADA">
        <w:rPr>
          <w:rFonts w:hint="eastAsia"/>
          <w:sz w:val="18"/>
          <w:szCs w:val="20"/>
          <w:rtl/>
        </w:rPr>
        <w:t>עם</w:t>
      </w:r>
      <w:r w:rsidRPr="00B00ADA">
        <w:rPr>
          <w:sz w:val="18"/>
          <w:szCs w:val="20"/>
          <w:rtl/>
        </w:rPr>
        <w:t xml:space="preserve"> </w:t>
      </w:r>
      <w:r w:rsidRPr="00B00ADA">
        <w:rPr>
          <w:rFonts w:hint="eastAsia"/>
          <w:sz w:val="18"/>
          <w:szCs w:val="20"/>
          <w:rtl/>
        </w:rPr>
        <w:t>רוב</w:t>
      </w:r>
      <w:r w:rsidRPr="00B00ADA">
        <w:rPr>
          <w:sz w:val="18"/>
          <w:szCs w:val="20"/>
          <w:rtl/>
        </w:rPr>
        <w:t xml:space="preserve"> </w:t>
      </w:r>
      <w:r w:rsidRPr="00B00ADA">
        <w:rPr>
          <w:rFonts w:hint="eastAsia"/>
          <w:sz w:val="18"/>
          <w:szCs w:val="20"/>
          <w:rtl/>
        </w:rPr>
        <w:t>המורים</w:t>
      </w:r>
      <w:r w:rsidRPr="00B00ADA">
        <w:rPr>
          <w:sz w:val="18"/>
          <w:szCs w:val="20"/>
          <w:rtl/>
        </w:rPr>
        <w:t xml:space="preserve">, </w:t>
      </w:r>
      <w:r w:rsidRPr="00B00ADA">
        <w:rPr>
          <w:rFonts w:hint="eastAsia"/>
          <w:sz w:val="18"/>
          <w:szCs w:val="20"/>
          <w:rtl/>
        </w:rPr>
        <w:t>רוב</w:t>
      </w:r>
      <w:r w:rsidRPr="00B00ADA">
        <w:rPr>
          <w:sz w:val="18"/>
          <w:szCs w:val="20"/>
          <w:rtl/>
        </w:rPr>
        <w:t xml:space="preserve"> </w:t>
      </w:r>
      <w:r w:rsidRPr="00B00ADA">
        <w:rPr>
          <w:rFonts w:hint="eastAsia"/>
          <w:sz w:val="18"/>
          <w:szCs w:val="20"/>
          <w:rtl/>
        </w:rPr>
        <w:t>המורים</w:t>
      </w:r>
      <w:r w:rsidRPr="00B00ADA">
        <w:rPr>
          <w:sz w:val="18"/>
          <w:szCs w:val="20"/>
          <w:rtl/>
        </w:rPr>
        <w:t xml:space="preserve"> </w:t>
      </w:r>
      <w:r w:rsidRPr="00B00ADA">
        <w:rPr>
          <w:rFonts w:hint="eastAsia"/>
          <w:sz w:val="18"/>
          <w:szCs w:val="20"/>
          <w:rtl/>
        </w:rPr>
        <w:t>מתעניינים</w:t>
      </w:r>
      <w:r w:rsidRPr="00B00ADA">
        <w:rPr>
          <w:sz w:val="18"/>
          <w:szCs w:val="20"/>
          <w:rtl/>
        </w:rPr>
        <w:t xml:space="preserve"> </w:t>
      </w:r>
      <w:r w:rsidRPr="00B00ADA">
        <w:rPr>
          <w:rFonts w:hint="eastAsia"/>
          <w:sz w:val="18"/>
          <w:szCs w:val="20"/>
          <w:rtl/>
        </w:rPr>
        <w:t>בחיי</w:t>
      </w:r>
      <w:r w:rsidRPr="00B00ADA">
        <w:rPr>
          <w:sz w:val="18"/>
          <w:szCs w:val="20"/>
          <w:rtl/>
        </w:rPr>
        <w:t xml:space="preserve"> </w:t>
      </w:r>
      <w:r w:rsidRPr="00B00ADA">
        <w:rPr>
          <w:rFonts w:hint="eastAsia"/>
          <w:sz w:val="18"/>
          <w:szCs w:val="20"/>
          <w:rtl/>
        </w:rPr>
        <w:t>התלמידים</w:t>
      </w:r>
      <w:r w:rsidRPr="00B00ADA">
        <w:rPr>
          <w:sz w:val="18"/>
          <w:szCs w:val="20"/>
          <w:rtl/>
        </w:rPr>
        <w:t xml:space="preserve">, </w:t>
      </w:r>
      <w:r w:rsidRPr="00B00ADA">
        <w:rPr>
          <w:rFonts w:hint="eastAsia"/>
          <w:sz w:val="18"/>
          <w:szCs w:val="20"/>
          <w:rtl/>
        </w:rPr>
        <w:t>רוב</w:t>
      </w:r>
      <w:r w:rsidRPr="00B00ADA">
        <w:rPr>
          <w:sz w:val="18"/>
          <w:szCs w:val="20"/>
          <w:rtl/>
        </w:rPr>
        <w:t xml:space="preserve"> </w:t>
      </w:r>
      <w:r w:rsidRPr="00B00ADA">
        <w:rPr>
          <w:rFonts w:hint="eastAsia"/>
          <w:sz w:val="18"/>
          <w:szCs w:val="20"/>
          <w:rtl/>
        </w:rPr>
        <w:t>המורים</w:t>
      </w:r>
      <w:r w:rsidRPr="00B00ADA">
        <w:rPr>
          <w:sz w:val="18"/>
          <w:szCs w:val="20"/>
          <w:rtl/>
        </w:rPr>
        <w:t xml:space="preserve"> </w:t>
      </w:r>
      <w:r w:rsidRPr="00B00ADA">
        <w:rPr>
          <w:rFonts w:hint="eastAsia"/>
          <w:sz w:val="18"/>
          <w:szCs w:val="20"/>
          <w:rtl/>
        </w:rPr>
        <w:t>מקשיבים</w:t>
      </w:r>
      <w:r w:rsidRPr="00B00ADA">
        <w:rPr>
          <w:sz w:val="18"/>
          <w:szCs w:val="20"/>
          <w:rtl/>
        </w:rPr>
        <w:t xml:space="preserve"> </w:t>
      </w:r>
      <w:r w:rsidRPr="00B00ADA">
        <w:rPr>
          <w:rFonts w:hint="eastAsia"/>
          <w:sz w:val="18"/>
          <w:szCs w:val="20"/>
          <w:rtl/>
        </w:rPr>
        <w:t>למה</w:t>
      </w:r>
      <w:r w:rsidRPr="00B00ADA">
        <w:rPr>
          <w:sz w:val="18"/>
          <w:szCs w:val="20"/>
          <w:rtl/>
        </w:rPr>
        <w:t xml:space="preserve"> </w:t>
      </w:r>
      <w:r w:rsidRPr="00B00ADA">
        <w:rPr>
          <w:rFonts w:hint="eastAsia"/>
          <w:sz w:val="18"/>
          <w:szCs w:val="20"/>
          <w:rtl/>
        </w:rPr>
        <w:t>שאני</w:t>
      </w:r>
      <w:r w:rsidRPr="00B00ADA">
        <w:rPr>
          <w:sz w:val="18"/>
          <w:szCs w:val="20"/>
          <w:rtl/>
        </w:rPr>
        <w:t xml:space="preserve"> </w:t>
      </w:r>
      <w:r w:rsidRPr="00B00ADA">
        <w:rPr>
          <w:rFonts w:hint="eastAsia"/>
          <w:sz w:val="18"/>
          <w:szCs w:val="20"/>
          <w:rtl/>
        </w:rPr>
        <w:t>אומר</w:t>
      </w:r>
      <w:r w:rsidRPr="00B00ADA">
        <w:rPr>
          <w:sz w:val="18"/>
          <w:szCs w:val="20"/>
          <w:rtl/>
        </w:rPr>
        <w:t xml:space="preserve">, </w:t>
      </w:r>
      <w:r w:rsidRPr="00B00ADA">
        <w:rPr>
          <w:rFonts w:hint="eastAsia"/>
          <w:sz w:val="18"/>
          <w:szCs w:val="20"/>
          <w:rtl/>
        </w:rPr>
        <w:t>כאשר</w:t>
      </w:r>
      <w:r w:rsidRPr="00B00ADA">
        <w:rPr>
          <w:sz w:val="18"/>
          <w:szCs w:val="20"/>
          <w:rtl/>
        </w:rPr>
        <w:t xml:space="preserve"> </w:t>
      </w:r>
      <w:r w:rsidRPr="00B00ADA">
        <w:rPr>
          <w:rFonts w:hint="eastAsia"/>
          <w:sz w:val="18"/>
          <w:szCs w:val="20"/>
          <w:rtl/>
        </w:rPr>
        <w:t>אני</w:t>
      </w:r>
      <w:r w:rsidRPr="00B00ADA">
        <w:rPr>
          <w:sz w:val="18"/>
          <w:szCs w:val="20"/>
          <w:rtl/>
        </w:rPr>
        <w:t xml:space="preserve"> </w:t>
      </w:r>
      <w:r w:rsidRPr="00B00ADA">
        <w:rPr>
          <w:rFonts w:hint="eastAsia"/>
          <w:sz w:val="18"/>
          <w:szCs w:val="20"/>
          <w:rtl/>
        </w:rPr>
        <w:t>זקוק</w:t>
      </w:r>
      <w:r w:rsidRPr="00B00ADA">
        <w:rPr>
          <w:sz w:val="18"/>
          <w:szCs w:val="20"/>
          <w:rtl/>
        </w:rPr>
        <w:t xml:space="preserve"> </w:t>
      </w:r>
      <w:r w:rsidRPr="00B00ADA">
        <w:rPr>
          <w:rFonts w:hint="eastAsia"/>
          <w:sz w:val="18"/>
          <w:szCs w:val="20"/>
          <w:rtl/>
        </w:rPr>
        <w:t>לעזרה</w:t>
      </w:r>
      <w:r w:rsidRPr="00B00ADA">
        <w:rPr>
          <w:sz w:val="18"/>
          <w:szCs w:val="20"/>
          <w:rtl/>
        </w:rPr>
        <w:t xml:space="preserve"> </w:t>
      </w:r>
      <w:r w:rsidRPr="00B00ADA">
        <w:rPr>
          <w:rFonts w:hint="eastAsia"/>
          <w:sz w:val="18"/>
          <w:szCs w:val="20"/>
          <w:rtl/>
        </w:rPr>
        <w:t>נוספת</w:t>
      </w:r>
      <w:r w:rsidRPr="00B00ADA">
        <w:rPr>
          <w:sz w:val="18"/>
          <w:szCs w:val="20"/>
          <w:rtl/>
        </w:rPr>
        <w:t xml:space="preserve"> </w:t>
      </w:r>
      <w:r w:rsidRPr="00B00ADA">
        <w:rPr>
          <w:rFonts w:hint="eastAsia"/>
          <w:sz w:val="18"/>
          <w:szCs w:val="20"/>
          <w:rtl/>
        </w:rPr>
        <w:t>אני</w:t>
      </w:r>
      <w:r w:rsidRPr="00B00ADA">
        <w:rPr>
          <w:sz w:val="18"/>
          <w:szCs w:val="20"/>
          <w:rtl/>
        </w:rPr>
        <w:t xml:space="preserve"> </w:t>
      </w:r>
      <w:r w:rsidRPr="00B00ADA">
        <w:rPr>
          <w:rFonts w:hint="eastAsia"/>
          <w:sz w:val="18"/>
          <w:szCs w:val="20"/>
          <w:rtl/>
        </w:rPr>
        <w:t>יכול</w:t>
      </w:r>
      <w:r w:rsidRPr="00B00ADA">
        <w:rPr>
          <w:sz w:val="18"/>
          <w:szCs w:val="20"/>
          <w:rtl/>
        </w:rPr>
        <w:t xml:space="preserve"> </w:t>
      </w:r>
      <w:r w:rsidRPr="00B00ADA">
        <w:rPr>
          <w:rFonts w:hint="eastAsia"/>
          <w:sz w:val="18"/>
          <w:szCs w:val="20"/>
          <w:rtl/>
        </w:rPr>
        <w:t>לקבל</w:t>
      </w:r>
      <w:r w:rsidRPr="00B00ADA">
        <w:rPr>
          <w:sz w:val="18"/>
          <w:szCs w:val="20"/>
          <w:rtl/>
        </w:rPr>
        <w:t xml:space="preserve"> </w:t>
      </w:r>
      <w:r w:rsidRPr="00B00ADA">
        <w:rPr>
          <w:rFonts w:hint="eastAsia"/>
          <w:sz w:val="18"/>
          <w:szCs w:val="20"/>
          <w:rtl/>
        </w:rPr>
        <w:t>אותה</w:t>
      </w:r>
      <w:r w:rsidRPr="00B00ADA">
        <w:rPr>
          <w:sz w:val="18"/>
          <w:szCs w:val="20"/>
          <w:rtl/>
        </w:rPr>
        <w:t xml:space="preserve"> </w:t>
      </w:r>
      <w:r w:rsidRPr="00B00ADA">
        <w:rPr>
          <w:rFonts w:hint="eastAsia"/>
          <w:sz w:val="18"/>
          <w:szCs w:val="20"/>
          <w:rtl/>
        </w:rPr>
        <w:t>מהמורים</w:t>
      </w:r>
      <w:r w:rsidRPr="00B00ADA">
        <w:rPr>
          <w:sz w:val="18"/>
          <w:szCs w:val="20"/>
          <w:rtl/>
        </w:rPr>
        <w:t xml:space="preserve">, </w:t>
      </w:r>
      <w:r w:rsidRPr="00B00ADA">
        <w:rPr>
          <w:rFonts w:hint="eastAsia"/>
          <w:sz w:val="18"/>
          <w:szCs w:val="20"/>
          <w:rtl/>
        </w:rPr>
        <w:t>רוב</w:t>
      </w:r>
      <w:r w:rsidRPr="00B00ADA">
        <w:rPr>
          <w:sz w:val="18"/>
          <w:szCs w:val="20"/>
          <w:rtl/>
        </w:rPr>
        <w:t xml:space="preserve"> </w:t>
      </w:r>
      <w:r w:rsidRPr="00B00ADA">
        <w:rPr>
          <w:rFonts w:hint="eastAsia"/>
          <w:sz w:val="18"/>
          <w:szCs w:val="20"/>
          <w:rtl/>
        </w:rPr>
        <w:t>המורים</w:t>
      </w:r>
      <w:r w:rsidRPr="00B00ADA">
        <w:rPr>
          <w:sz w:val="18"/>
          <w:szCs w:val="20"/>
          <w:rtl/>
        </w:rPr>
        <w:t xml:space="preserve"> </w:t>
      </w:r>
      <w:r w:rsidRPr="00B00ADA">
        <w:rPr>
          <w:rFonts w:hint="eastAsia"/>
          <w:sz w:val="18"/>
          <w:szCs w:val="20"/>
          <w:rtl/>
        </w:rPr>
        <w:t>מטפלים</w:t>
      </w:r>
      <w:r w:rsidRPr="00B00ADA">
        <w:rPr>
          <w:sz w:val="18"/>
          <w:szCs w:val="20"/>
          <w:rtl/>
        </w:rPr>
        <w:t xml:space="preserve"> </w:t>
      </w:r>
      <w:r w:rsidRPr="00B00ADA">
        <w:rPr>
          <w:rFonts w:hint="eastAsia"/>
          <w:sz w:val="18"/>
          <w:szCs w:val="20"/>
          <w:rtl/>
        </w:rPr>
        <w:t>בי</w:t>
      </w:r>
      <w:r w:rsidRPr="00B00ADA">
        <w:rPr>
          <w:sz w:val="18"/>
          <w:szCs w:val="20"/>
          <w:rtl/>
        </w:rPr>
        <w:t xml:space="preserve"> </w:t>
      </w:r>
      <w:r w:rsidRPr="00B00ADA">
        <w:rPr>
          <w:rFonts w:hint="eastAsia"/>
          <w:sz w:val="18"/>
          <w:szCs w:val="20"/>
          <w:rtl/>
        </w:rPr>
        <w:t>בצורה</w:t>
      </w:r>
      <w:r w:rsidRPr="00B00ADA">
        <w:rPr>
          <w:sz w:val="18"/>
          <w:szCs w:val="20"/>
          <w:rtl/>
        </w:rPr>
        <w:t xml:space="preserve"> </w:t>
      </w:r>
      <w:r w:rsidRPr="00B00ADA">
        <w:rPr>
          <w:rFonts w:hint="eastAsia"/>
          <w:sz w:val="18"/>
          <w:szCs w:val="20"/>
          <w:rtl/>
        </w:rPr>
        <w:t>הוגנת</w:t>
      </w:r>
      <w:r w:rsidRPr="00B00ADA">
        <w:rPr>
          <w:sz w:val="18"/>
          <w:szCs w:val="20"/>
          <w:rtl/>
        </w:rPr>
        <w:t xml:space="preserve">. </w:t>
      </w:r>
      <w:r w:rsidRPr="00B00ADA">
        <w:rPr>
          <w:rFonts w:hint="eastAsia"/>
          <w:sz w:val="18"/>
          <w:szCs w:val="20"/>
          <w:rtl/>
        </w:rPr>
        <w:t>קטגוריות</w:t>
      </w:r>
      <w:r w:rsidRPr="00B00ADA">
        <w:rPr>
          <w:sz w:val="18"/>
          <w:szCs w:val="20"/>
          <w:rtl/>
        </w:rPr>
        <w:t xml:space="preserve"> </w:t>
      </w:r>
      <w:r w:rsidRPr="00B00ADA">
        <w:rPr>
          <w:rFonts w:hint="eastAsia"/>
          <w:sz w:val="18"/>
          <w:szCs w:val="20"/>
          <w:rtl/>
        </w:rPr>
        <w:t>משלימות</w:t>
      </w:r>
      <w:r w:rsidRPr="00B00ADA">
        <w:rPr>
          <w:sz w:val="18"/>
          <w:szCs w:val="20"/>
          <w:rtl/>
        </w:rPr>
        <w:t xml:space="preserve">: </w:t>
      </w:r>
      <w:r w:rsidRPr="00B00ADA">
        <w:rPr>
          <w:rFonts w:hint="eastAsia"/>
          <w:sz w:val="18"/>
          <w:szCs w:val="20"/>
          <w:rtl/>
        </w:rPr>
        <w:t>מסכים</w:t>
      </w:r>
      <w:r w:rsidRPr="00B00ADA">
        <w:rPr>
          <w:sz w:val="18"/>
          <w:szCs w:val="20"/>
          <w:rtl/>
        </w:rPr>
        <w:t xml:space="preserve">, </w:t>
      </w:r>
      <w:r w:rsidRPr="00B00ADA">
        <w:rPr>
          <w:rFonts w:hint="eastAsia"/>
          <w:sz w:val="18"/>
          <w:szCs w:val="20"/>
          <w:rtl/>
        </w:rPr>
        <w:t>מסכים</w:t>
      </w:r>
      <w:r w:rsidRPr="00B00ADA">
        <w:rPr>
          <w:sz w:val="18"/>
          <w:szCs w:val="20"/>
          <w:rtl/>
        </w:rPr>
        <w:t xml:space="preserve"> </w:t>
      </w:r>
      <w:r w:rsidRPr="00B00ADA">
        <w:rPr>
          <w:rFonts w:hint="eastAsia"/>
          <w:sz w:val="18"/>
          <w:szCs w:val="20"/>
          <w:rtl/>
        </w:rPr>
        <w:t>בהחלט</w:t>
      </w:r>
    </w:p>
    <w:p w:rsidR="0079299B" w:rsidRPr="004D0A1B" w:rsidRDefault="00365873" w:rsidP="002570C1">
      <w:pPr>
        <w:pStyle w:val="chart"/>
        <w:spacing w:line="312" w:lineRule="auto"/>
        <w:ind w:left="0" w:firstLine="0"/>
        <w:rPr>
          <w:sz w:val="20"/>
          <w:szCs w:val="20"/>
          <w:rtl/>
        </w:rPr>
      </w:pPr>
      <w:r>
        <w:rPr>
          <w:rFonts w:hint="cs"/>
          <w:rtl/>
        </w:rPr>
        <w:t xml:space="preserve"> </w:t>
      </w:r>
    </w:p>
    <w:p w:rsidR="00C03B0B" w:rsidRPr="0079299B" w:rsidRDefault="002570C1" w:rsidP="00D843ED">
      <w:pPr>
        <w:pStyle w:val="1"/>
        <w:spacing w:after="0"/>
      </w:pPr>
      <w:r>
        <w:rPr>
          <w:rFonts w:hint="cs"/>
          <w:rtl/>
        </w:rPr>
        <w:t>7</w:t>
      </w:r>
      <w:r w:rsidR="00D843ED">
        <w:rPr>
          <w:rFonts w:hint="cs"/>
          <w:rtl/>
        </w:rPr>
        <w:t xml:space="preserve">. </w:t>
      </w:r>
      <w:r w:rsidR="0079299B">
        <w:rPr>
          <w:rFonts w:hint="cs"/>
          <w:rtl/>
        </w:rPr>
        <w:t xml:space="preserve">ממדי </w:t>
      </w:r>
      <w:r w:rsidR="000D7A5A" w:rsidRPr="0079299B">
        <w:rPr>
          <w:rFonts w:hint="cs"/>
          <w:rtl/>
        </w:rPr>
        <w:t>ניתוק וקשיים נוספים</w:t>
      </w:r>
      <w:r w:rsidR="0079299B">
        <w:rPr>
          <w:rFonts w:hint="cs"/>
          <w:rtl/>
        </w:rPr>
        <w:t xml:space="preserve"> של התלמידים</w:t>
      </w:r>
    </w:p>
    <w:p w:rsidR="0079299B" w:rsidRDefault="00C03B0B" w:rsidP="00B00ADA">
      <w:pPr>
        <w:contextualSpacing/>
      </w:pPr>
      <w:r w:rsidRPr="00C03B0B">
        <w:rPr>
          <w:rFonts w:hint="cs"/>
          <w:rtl/>
        </w:rPr>
        <w:t xml:space="preserve">סקר </w:t>
      </w:r>
      <w:r w:rsidRPr="00C03B0B">
        <w:rPr>
          <w:rFonts w:hint="cs"/>
        </w:rPr>
        <w:t>HBSC</w:t>
      </w:r>
      <w:r w:rsidRPr="00C03B0B">
        <w:rPr>
          <w:rFonts w:hint="cs"/>
          <w:rtl/>
        </w:rPr>
        <w:t xml:space="preserve"> כולל גם מידע על קשיים נוספים של התלמידים. על פי סקר זה, </w:t>
      </w:r>
      <w:r w:rsidRPr="00C03B0B">
        <w:rPr>
          <w:rFonts w:hint="eastAsia"/>
          <w:rtl/>
        </w:rPr>
        <w:t>תלמידים</w:t>
      </w:r>
      <w:r w:rsidRPr="00C03B0B">
        <w:rPr>
          <w:rtl/>
        </w:rPr>
        <w:t xml:space="preserve"> </w:t>
      </w:r>
      <w:r w:rsidR="004D0A1B">
        <w:rPr>
          <w:rFonts w:hint="cs"/>
          <w:rtl/>
        </w:rPr>
        <w:t>שדיווחו</w:t>
      </w:r>
      <w:r w:rsidRPr="00A95B03">
        <w:rPr>
          <w:b/>
          <w:bCs/>
          <w:rtl/>
        </w:rPr>
        <w:t xml:space="preserve"> </w:t>
      </w:r>
      <w:r w:rsidR="00621751" w:rsidRPr="00621751">
        <w:rPr>
          <w:rFonts w:hint="cs"/>
          <w:rtl/>
        </w:rPr>
        <w:t>על ממדי ניתוק רבים יותר,</w:t>
      </w:r>
      <w:r w:rsidR="00621751">
        <w:rPr>
          <w:rFonts w:hint="cs"/>
          <w:b/>
          <w:bCs/>
          <w:rtl/>
        </w:rPr>
        <w:t xml:space="preserve"> </w:t>
      </w:r>
      <w:r w:rsidRPr="00C03B0B">
        <w:rPr>
          <w:rFonts w:hint="eastAsia"/>
          <w:rtl/>
        </w:rPr>
        <w:t>מאופיינים</w:t>
      </w:r>
      <w:r w:rsidRPr="00C03B0B">
        <w:rPr>
          <w:rtl/>
        </w:rPr>
        <w:t xml:space="preserve"> </w:t>
      </w:r>
      <w:r w:rsidRPr="00C03B0B">
        <w:rPr>
          <w:rFonts w:hint="eastAsia"/>
          <w:rtl/>
        </w:rPr>
        <w:t>גם</w:t>
      </w:r>
      <w:r w:rsidRPr="00C03B0B">
        <w:rPr>
          <w:rtl/>
        </w:rPr>
        <w:t xml:space="preserve"> </w:t>
      </w:r>
      <w:r w:rsidRPr="00C03B0B">
        <w:rPr>
          <w:rFonts w:hint="eastAsia"/>
          <w:rtl/>
        </w:rPr>
        <w:t>ב</w:t>
      </w:r>
      <w:r w:rsidR="00621751">
        <w:rPr>
          <w:rFonts w:hint="cs"/>
          <w:rtl/>
        </w:rPr>
        <w:t xml:space="preserve">יותר </w:t>
      </w:r>
      <w:r w:rsidRPr="00C03B0B">
        <w:rPr>
          <w:rFonts w:hint="eastAsia"/>
          <w:rtl/>
        </w:rPr>
        <w:t>בעיות</w:t>
      </w:r>
      <w:r w:rsidRPr="00C03B0B">
        <w:rPr>
          <w:rtl/>
        </w:rPr>
        <w:t xml:space="preserve"> </w:t>
      </w:r>
      <w:r w:rsidRPr="00C03B0B">
        <w:rPr>
          <w:rFonts w:hint="eastAsia"/>
          <w:rtl/>
        </w:rPr>
        <w:t>נוספות</w:t>
      </w:r>
      <w:r w:rsidRPr="00C03B0B">
        <w:rPr>
          <w:rtl/>
        </w:rPr>
        <w:t xml:space="preserve"> </w:t>
      </w:r>
      <w:r w:rsidRPr="00C03B0B">
        <w:rPr>
          <w:rFonts w:hint="eastAsia"/>
          <w:rtl/>
        </w:rPr>
        <w:t>בתפקודם</w:t>
      </w:r>
      <w:r w:rsidR="0079299B">
        <w:rPr>
          <w:rFonts w:hint="cs"/>
          <w:rtl/>
        </w:rPr>
        <w:t xml:space="preserve"> (התנהגויות סיכון, מעורבות באלימות</w:t>
      </w:r>
      <w:r w:rsidRPr="00C03B0B">
        <w:rPr>
          <w:rFonts w:hint="cs"/>
          <w:rtl/>
        </w:rPr>
        <w:t xml:space="preserve">, </w:t>
      </w:r>
      <w:r w:rsidR="0079299B">
        <w:rPr>
          <w:rFonts w:hint="cs"/>
          <w:rtl/>
        </w:rPr>
        <w:t>קורבנות לאלימות, קשיים רגשיים, קשיים בתקשורת עם הוריהם</w:t>
      </w:r>
      <w:r w:rsidR="00621751">
        <w:rPr>
          <w:rFonts w:hint="cs"/>
          <w:rtl/>
        </w:rPr>
        <w:t xml:space="preserve"> </w:t>
      </w:r>
      <w:r w:rsidR="00621751">
        <w:rPr>
          <w:rtl/>
        </w:rPr>
        <w:t>–</w:t>
      </w:r>
      <w:r w:rsidR="00621751">
        <w:rPr>
          <w:rFonts w:hint="cs"/>
          <w:rtl/>
        </w:rPr>
        <w:t xml:space="preserve"> תרשימים</w:t>
      </w:r>
      <w:r w:rsidR="002570C1">
        <w:t xml:space="preserve"> </w:t>
      </w:r>
      <w:r w:rsidR="002570C1">
        <w:rPr>
          <w:rFonts w:hint="cs"/>
          <w:rtl/>
        </w:rPr>
        <w:t xml:space="preserve"> 5, 6</w:t>
      </w:r>
      <w:r w:rsidR="0079299B">
        <w:rPr>
          <w:rFonts w:hint="cs"/>
          <w:rtl/>
        </w:rPr>
        <w:t>).</w:t>
      </w:r>
    </w:p>
    <w:p w:rsidR="00C03B0B" w:rsidRPr="004D0A1B" w:rsidRDefault="00C03B0B" w:rsidP="00B00ADA">
      <w:pPr>
        <w:pStyle w:val="chart"/>
        <w:rPr>
          <w:rtl/>
        </w:rPr>
      </w:pPr>
      <w:r w:rsidRPr="004D0A1B">
        <w:rPr>
          <w:rFonts w:hint="eastAsia"/>
          <w:rtl/>
        </w:rPr>
        <w:t>תרשים</w:t>
      </w:r>
      <w:r w:rsidR="004D0A1B">
        <w:rPr>
          <w:rFonts w:hint="cs"/>
          <w:rtl/>
        </w:rPr>
        <w:t xml:space="preserve"> </w:t>
      </w:r>
      <w:r w:rsidR="002570C1">
        <w:rPr>
          <w:rFonts w:hint="cs"/>
          <w:rtl/>
        </w:rPr>
        <w:t>5</w:t>
      </w:r>
      <w:r w:rsidRPr="004D0A1B">
        <w:rPr>
          <w:rtl/>
        </w:rPr>
        <w:t xml:space="preserve">: </w:t>
      </w:r>
      <w:r w:rsidRPr="004D0A1B">
        <w:rPr>
          <w:rFonts w:hint="eastAsia"/>
          <w:rtl/>
        </w:rPr>
        <w:t>התנהגויות</w:t>
      </w:r>
      <w:r w:rsidRPr="004D0A1B">
        <w:rPr>
          <w:rtl/>
        </w:rPr>
        <w:t xml:space="preserve"> </w:t>
      </w:r>
      <w:r w:rsidRPr="004D0A1B">
        <w:rPr>
          <w:rFonts w:hint="eastAsia"/>
          <w:rtl/>
        </w:rPr>
        <w:t>סיכון</w:t>
      </w:r>
      <w:r w:rsidRPr="004D0A1B">
        <w:rPr>
          <w:rtl/>
        </w:rPr>
        <w:t xml:space="preserve"> </w:t>
      </w:r>
      <w:r w:rsidRPr="004D0A1B">
        <w:rPr>
          <w:rFonts w:hint="eastAsia"/>
          <w:rtl/>
        </w:rPr>
        <w:t>בקרב</w:t>
      </w:r>
      <w:r w:rsidRPr="004D0A1B">
        <w:rPr>
          <w:rtl/>
        </w:rPr>
        <w:t xml:space="preserve"> </w:t>
      </w:r>
      <w:r w:rsidRPr="004D0A1B">
        <w:rPr>
          <w:rFonts w:hint="eastAsia"/>
          <w:rtl/>
        </w:rPr>
        <w:t>בני</w:t>
      </w:r>
      <w:r w:rsidRPr="004D0A1B">
        <w:rPr>
          <w:rtl/>
        </w:rPr>
        <w:t xml:space="preserve"> </w:t>
      </w:r>
      <w:r w:rsidRPr="004D0A1B">
        <w:rPr>
          <w:rFonts w:hint="eastAsia"/>
          <w:rtl/>
        </w:rPr>
        <w:t>נוער</w:t>
      </w:r>
      <w:r w:rsidRPr="004D0A1B">
        <w:rPr>
          <w:rtl/>
        </w:rPr>
        <w:t xml:space="preserve"> </w:t>
      </w:r>
      <w:r w:rsidR="00B00ADA">
        <w:rPr>
          <w:rFonts w:hint="cs"/>
          <w:rtl/>
        </w:rPr>
        <w:t xml:space="preserve">בישראל </w:t>
      </w:r>
      <w:r w:rsidRPr="004D0A1B">
        <w:rPr>
          <w:rFonts w:hint="eastAsia"/>
          <w:rtl/>
        </w:rPr>
        <w:t>לפי</w:t>
      </w:r>
      <w:r w:rsidRPr="004D0A1B">
        <w:rPr>
          <w:rtl/>
        </w:rPr>
        <w:t xml:space="preserve"> </w:t>
      </w:r>
      <w:r w:rsidR="00905DC2">
        <w:rPr>
          <w:rFonts w:hint="cs"/>
          <w:rtl/>
        </w:rPr>
        <w:t>מספר ממדי הניתוק</w:t>
      </w:r>
      <w:r w:rsidRPr="004D0A1B">
        <w:rPr>
          <w:rtl/>
        </w:rPr>
        <w:t xml:space="preserve">, </w:t>
      </w:r>
      <w:r w:rsidR="00905DC2">
        <w:rPr>
          <w:rFonts w:hint="cs"/>
          <w:rtl/>
        </w:rPr>
        <w:t xml:space="preserve">על פי </w:t>
      </w:r>
      <w:r w:rsidRPr="004D0A1B">
        <w:rPr>
          <w:rFonts w:hint="eastAsia"/>
          <w:rtl/>
        </w:rPr>
        <w:t>סקר</w:t>
      </w:r>
      <w:r w:rsidRPr="004D0A1B">
        <w:rPr>
          <w:rtl/>
        </w:rPr>
        <w:t xml:space="preserve"> </w:t>
      </w:r>
      <w:r w:rsidRPr="004D0A1B">
        <w:t xml:space="preserve">HBSC </w:t>
      </w:r>
      <w:r w:rsidRPr="004D0A1B">
        <w:rPr>
          <w:rtl/>
        </w:rPr>
        <w:t xml:space="preserve"> 2010</w:t>
      </w:r>
      <w:r w:rsidR="00D77D71">
        <w:rPr>
          <w:rFonts w:hint="cs"/>
          <w:rtl/>
        </w:rPr>
        <w:t>/11</w:t>
      </w:r>
      <w:r w:rsidRPr="004D0A1B">
        <w:rPr>
          <w:rtl/>
        </w:rPr>
        <w:t xml:space="preserve">, </w:t>
      </w:r>
      <w:r w:rsidRPr="004D0A1B">
        <w:rPr>
          <w:rFonts w:hint="eastAsia"/>
          <w:rtl/>
        </w:rPr>
        <w:t>באחוזים</w:t>
      </w:r>
      <w:r w:rsidR="001A5EF8">
        <w:rPr>
          <w:rFonts w:hint="cs"/>
          <w:rtl/>
        </w:rPr>
        <w:t xml:space="preserve"> </w:t>
      </w:r>
    </w:p>
    <w:p w:rsidR="00C03B0B" w:rsidRPr="00C03B0B" w:rsidRDefault="00C03B0B" w:rsidP="00416E11">
      <w:pPr>
        <w:spacing w:after="0"/>
        <w:rPr>
          <w:rtl/>
        </w:rPr>
      </w:pPr>
      <w:r w:rsidRPr="00C03B0B">
        <w:rPr>
          <w:noProof/>
          <w:rtl/>
          <w:lang w:eastAsia="en-US"/>
        </w:rPr>
        <w:drawing>
          <wp:inline distT="0" distB="0" distL="0" distR="0" wp14:anchorId="48C15741" wp14:editId="3C3D4543">
            <wp:extent cx="5486400" cy="2466975"/>
            <wp:effectExtent l="0" t="0" r="0" b="9525"/>
            <wp:docPr id="2" name="תרשים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03B0B" w:rsidRPr="00B00ADA" w:rsidRDefault="00C03B0B" w:rsidP="00134788">
      <w:pPr>
        <w:spacing w:after="0" w:line="240" w:lineRule="auto"/>
        <w:rPr>
          <w:sz w:val="20"/>
          <w:szCs w:val="20"/>
          <w:rtl/>
        </w:rPr>
      </w:pPr>
      <w:r w:rsidRPr="00B00ADA">
        <w:rPr>
          <w:sz w:val="20"/>
          <w:szCs w:val="20"/>
          <w:vertAlign w:val="superscript"/>
          <w:rtl/>
        </w:rPr>
        <w:t>1</w:t>
      </w:r>
      <w:r w:rsidRPr="00B00ADA">
        <w:rPr>
          <w:sz w:val="20"/>
          <w:szCs w:val="20"/>
          <w:rtl/>
        </w:rPr>
        <w:t xml:space="preserve"> </w:t>
      </w:r>
      <w:r w:rsidRPr="00B00ADA">
        <w:rPr>
          <w:rFonts w:hint="eastAsia"/>
          <w:sz w:val="20"/>
          <w:szCs w:val="20"/>
          <w:rtl/>
        </w:rPr>
        <w:t>לפחות</w:t>
      </w:r>
      <w:r w:rsidRPr="00B00ADA">
        <w:rPr>
          <w:sz w:val="20"/>
          <w:szCs w:val="20"/>
          <w:rtl/>
        </w:rPr>
        <w:t xml:space="preserve"> </w:t>
      </w:r>
      <w:r w:rsidRPr="00B00ADA">
        <w:rPr>
          <w:rFonts w:hint="eastAsia"/>
          <w:sz w:val="20"/>
          <w:szCs w:val="20"/>
          <w:rtl/>
        </w:rPr>
        <w:t>פעם</w:t>
      </w:r>
      <w:r w:rsidRPr="00B00ADA">
        <w:rPr>
          <w:sz w:val="20"/>
          <w:szCs w:val="20"/>
          <w:rtl/>
        </w:rPr>
        <w:t xml:space="preserve"> </w:t>
      </w:r>
      <w:r w:rsidRPr="00B00ADA">
        <w:rPr>
          <w:rFonts w:hint="eastAsia"/>
          <w:sz w:val="20"/>
          <w:szCs w:val="20"/>
          <w:rtl/>
        </w:rPr>
        <w:t>בשבוע</w:t>
      </w:r>
    </w:p>
    <w:p w:rsidR="00C03B0B" w:rsidRPr="00B00ADA" w:rsidRDefault="00C03B0B" w:rsidP="00134788">
      <w:pPr>
        <w:spacing w:after="0" w:line="240" w:lineRule="auto"/>
        <w:rPr>
          <w:sz w:val="20"/>
          <w:szCs w:val="20"/>
          <w:rtl/>
        </w:rPr>
      </w:pPr>
      <w:r w:rsidRPr="00B00ADA">
        <w:rPr>
          <w:sz w:val="20"/>
          <w:szCs w:val="20"/>
          <w:vertAlign w:val="superscript"/>
          <w:rtl/>
        </w:rPr>
        <w:t>2</w:t>
      </w:r>
      <w:r w:rsidRPr="00B00ADA">
        <w:rPr>
          <w:sz w:val="20"/>
          <w:szCs w:val="20"/>
          <w:rtl/>
        </w:rPr>
        <w:t xml:space="preserve"> </w:t>
      </w:r>
      <w:r w:rsidRPr="00B00ADA">
        <w:rPr>
          <w:rFonts w:hint="eastAsia"/>
          <w:sz w:val="20"/>
          <w:szCs w:val="20"/>
          <w:rtl/>
        </w:rPr>
        <w:t>לפחות</w:t>
      </w:r>
      <w:r w:rsidRPr="00B00ADA">
        <w:rPr>
          <w:sz w:val="20"/>
          <w:szCs w:val="20"/>
          <w:rtl/>
        </w:rPr>
        <w:t xml:space="preserve"> </w:t>
      </w:r>
      <w:r w:rsidRPr="00B00ADA">
        <w:rPr>
          <w:rFonts w:hint="eastAsia"/>
          <w:sz w:val="20"/>
          <w:szCs w:val="20"/>
          <w:rtl/>
        </w:rPr>
        <w:t>פעם</w:t>
      </w:r>
      <w:r w:rsidRPr="00B00ADA">
        <w:rPr>
          <w:sz w:val="20"/>
          <w:szCs w:val="20"/>
          <w:rtl/>
        </w:rPr>
        <w:t xml:space="preserve"> </w:t>
      </w:r>
      <w:r w:rsidRPr="00B00ADA">
        <w:rPr>
          <w:rFonts w:hint="eastAsia"/>
          <w:sz w:val="20"/>
          <w:szCs w:val="20"/>
          <w:rtl/>
        </w:rPr>
        <w:t>אחת</w:t>
      </w:r>
      <w:r w:rsidRPr="00B00ADA">
        <w:rPr>
          <w:sz w:val="20"/>
          <w:szCs w:val="20"/>
          <w:rtl/>
        </w:rPr>
        <w:t xml:space="preserve"> </w:t>
      </w:r>
      <w:r w:rsidRPr="00B00ADA">
        <w:rPr>
          <w:rFonts w:hint="eastAsia"/>
          <w:sz w:val="20"/>
          <w:szCs w:val="20"/>
          <w:rtl/>
        </w:rPr>
        <w:t>בשנה</w:t>
      </w:r>
      <w:r w:rsidRPr="00B00ADA">
        <w:rPr>
          <w:sz w:val="20"/>
          <w:szCs w:val="20"/>
          <w:rtl/>
        </w:rPr>
        <w:t xml:space="preserve"> </w:t>
      </w:r>
      <w:r w:rsidRPr="00B00ADA">
        <w:rPr>
          <w:rFonts w:hint="eastAsia"/>
          <w:sz w:val="20"/>
          <w:szCs w:val="20"/>
          <w:rtl/>
        </w:rPr>
        <w:t>האחרונה</w:t>
      </w:r>
      <w:r w:rsidR="0079299B" w:rsidRPr="00B00ADA">
        <w:rPr>
          <w:sz w:val="20"/>
          <w:szCs w:val="20"/>
          <w:rtl/>
        </w:rPr>
        <w:t>,</w:t>
      </w:r>
      <w:r w:rsidRPr="00B00ADA">
        <w:rPr>
          <w:sz w:val="20"/>
          <w:szCs w:val="20"/>
          <w:rtl/>
        </w:rPr>
        <w:t xml:space="preserve"> </w:t>
      </w:r>
      <w:r w:rsidRPr="00B00ADA">
        <w:rPr>
          <w:rFonts w:hint="eastAsia"/>
          <w:sz w:val="20"/>
          <w:szCs w:val="20"/>
          <w:rtl/>
        </w:rPr>
        <w:t>רק</w:t>
      </w:r>
      <w:r w:rsidRPr="00B00ADA">
        <w:rPr>
          <w:sz w:val="20"/>
          <w:szCs w:val="20"/>
          <w:rtl/>
        </w:rPr>
        <w:t xml:space="preserve"> </w:t>
      </w:r>
      <w:r w:rsidRPr="00B00ADA">
        <w:rPr>
          <w:rFonts w:hint="eastAsia"/>
          <w:sz w:val="20"/>
          <w:szCs w:val="20"/>
          <w:rtl/>
        </w:rPr>
        <w:t>כיתות</w:t>
      </w:r>
      <w:r w:rsidRPr="00B00ADA">
        <w:rPr>
          <w:sz w:val="20"/>
          <w:szCs w:val="20"/>
          <w:rtl/>
        </w:rPr>
        <w:t xml:space="preserve"> </w:t>
      </w:r>
      <w:r w:rsidRPr="00B00ADA">
        <w:rPr>
          <w:rFonts w:hint="eastAsia"/>
          <w:sz w:val="20"/>
          <w:szCs w:val="20"/>
          <w:rtl/>
        </w:rPr>
        <w:t>י</w:t>
      </w:r>
      <w:r w:rsidRPr="00B00ADA">
        <w:rPr>
          <w:sz w:val="20"/>
          <w:szCs w:val="20"/>
          <w:rtl/>
        </w:rPr>
        <w:t>-</w:t>
      </w:r>
      <w:r w:rsidRPr="00B00ADA">
        <w:rPr>
          <w:rFonts w:hint="eastAsia"/>
          <w:sz w:val="20"/>
          <w:szCs w:val="20"/>
          <w:rtl/>
        </w:rPr>
        <w:t>יב</w:t>
      </w:r>
    </w:p>
    <w:p w:rsidR="00C03B0B" w:rsidRPr="00B00ADA" w:rsidRDefault="00CA5E6A" w:rsidP="00B00ADA">
      <w:pPr>
        <w:spacing w:after="0" w:line="240" w:lineRule="auto"/>
        <w:rPr>
          <w:sz w:val="20"/>
          <w:szCs w:val="20"/>
          <w:rtl/>
        </w:rPr>
      </w:pPr>
      <w:r w:rsidRPr="00B00ADA">
        <w:rPr>
          <w:sz w:val="20"/>
          <w:szCs w:val="20"/>
          <w:vertAlign w:val="superscript"/>
          <w:rtl/>
        </w:rPr>
        <w:t>3</w:t>
      </w:r>
      <w:r w:rsidR="00C03B0B" w:rsidRPr="00B00ADA">
        <w:rPr>
          <w:rFonts w:hint="eastAsia"/>
          <w:sz w:val="20"/>
          <w:szCs w:val="20"/>
          <w:rtl/>
        </w:rPr>
        <w:t>לפחות</w:t>
      </w:r>
      <w:r w:rsidR="00C03B0B" w:rsidRPr="00B00ADA">
        <w:rPr>
          <w:sz w:val="20"/>
          <w:szCs w:val="20"/>
          <w:rtl/>
        </w:rPr>
        <w:t xml:space="preserve"> </w:t>
      </w:r>
      <w:r w:rsidR="00C03B0B" w:rsidRPr="00B00ADA">
        <w:rPr>
          <w:rFonts w:hint="eastAsia"/>
          <w:sz w:val="20"/>
          <w:szCs w:val="20"/>
          <w:rtl/>
        </w:rPr>
        <w:t>אחד</w:t>
      </w:r>
      <w:r w:rsidR="00C03B0B" w:rsidRPr="00B00ADA">
        <w:rPr>
          <w:sz w:val="20"/>
          <w:szCs w:val="20"/>
          <w:rtl/>
        </w:rPr>
        <w:t xml:space="preserve"> </w:t>
      </w:r>
      <w:r w:rsidR="00C03B0B" w:rsidRPr="00B00ADA">
        <w:rPr>
          <w:rFonts w:hint="eastAsia"/>
          <w:sz w:val="20"/>
          <w:szCs w:val="20"/>
          <w:rtl/>
        </w:rPr>
        <w:t>מ</w:t>
      </w:r>
      <w:r w:rsidR="00C03B0B" w:rsidRPr="00B00ADA">
        <w:rPr>
          <w:sz w:val="20"/>
          <w:szCs w:val="20"/>
          <w:rtl/>
        </w:rPr>
        <w:t xml:space="preserve">-3 </w:t>
      </w:r>
      <w:r w:rsidR="00D77D71" w:rsidRPr="00B00ADA">
        <w:rPr>
          <w:rFonts w:hint="eastAsia"/>
          <w:sz w:val="20"/>
          <w:szCs w:val="20"/>
          <w:rtl/>
        </w:rPr>
        <w:t>ה</w:t>
      </w:r>
      <w:r w:rsidR="00C03B0B" w:rsidRPr="00B00ADA">
        <w:rPr>
          <w:rFonts w:hint="eastAsia"/>
          <w:sz w:val="20"/>
          <w:szCs w:val="20"/>
          <w:rtl/>
        </w:rPr>
        <w:t>פריטים</w:t>
      </w:r>
      <w:r w:rsidR="00C03B0B" w:rsidRPr="00B00ADA">
        <w:rPr>
          <w:sz w:val="20"/>
          <w:szCs w:val="20"/>
          <w:rtl/>
        </w:rPr>
        <w:t xml:space="preserve"> </w:t>
      </w:r>
      <w:r w:rsidR="002570C1" w:rsidRPr="00B00ADA">
        <w:rPr>
          <w:rFonts w:hint="eastAsia"/>
          <w:sz w:val="20"/>
          <w:szCs w:val="20"/>
          <w:rtl/>
        </w:rPr>
        <w:t>האלה</w:t>
      </w:r>
      <w:r w:rsidR="00C03B0B" w:rsidRPr="00B00ADA">
        <w:rPr>
          <w:sz w:val="20"/>
          <w:szCs w:val="20"/>
          <w:rtl/>
        </w:rPr>
        <w:t xml:space="preserve">: </w:t>
      </w:r>
      <w:r w:rsidR="00C03B0B" w:rsidRPr="00B00ADA">
        <w:rPr>
          <w:rFonts w:hint="eastAsia"/>
          <w:sz w:val="20"/>
          <w:szCs w:val="20"/>
          <w:rtl/>
        </w:rPr>
        <w:t>השתתפות</w:t>
      </w:r>
      <w:r w:rsidR="00C03B0B" w:rsidRPr="00B00ADA">
        <w:rPr>
          <w:sz w:val="20"/>
          <w:szCs w:val="20"/>
          <w:rtl/>
        </w:rPr>
        <w:t xml:space="preserve"> </w:t>
      </w:r>
      <w:r w:rsidR="00C03B0B" w:rsidRPr="00B00ADA">
        <w:rPr>
          <w:rFonts w:hint="eastAsia"/>
          <w:sz w:val="20"/>
          <w:szCs w:val="20"/>
          <w:rtl/>
        </w:rPr>
        <w:t>בקטטות</w:t>
      </w:r>
      <w:r w:rsidR="00C03B0B" w:rsidRPr="00B00ADA">
        <w:rPr>
          <w:sz w:val="20"/>
          <w:szCs w:val="20"/>
          <w:rtl/>
        </w:rPr>
        <w:t xml:space="preserve"> </w:t>
      </w:r>
      <w:r w:rsidR="00C03B0B" w:rsidRPr="00B00ADA">
        <w:rPr>
          <w:rFonts w:hint="eastAsia"/>
          <w:sz w:val="20"/>
          <w:szCs w:val="20"/>
          <w:rtl/>
        </w:rPr>
        <w:t>לפחות</w:t>
      </w:r>
      <w:r w:rsidR="00C03B0B" w:rsidRPr="00B00ADA">
        <w:rPr>
          <w:sz w:val="20"/>
          <w:szCs w:val="20"/>
          <w:rtl/>
        </w:rPr>
        <w:t xml:space="preserve"> 3 </w:t>
      </w:r>
      <w:r w:rsidR="00C03B0B" w:rsidRPr="00B00ADA">
        <w:rPr>
          <w:rFonts w:hint="eastAsia"/>
          <w:sz w:val="20"/>
          <w:szCs w:val="20"/>
          <w:rtl/>
        </w:rPr>
        <w:t>פעמים</w:t>
      </w:r>
      <w:r w:rsidR="00C03B0B" w:rsidRPr="00B00ADA">
        <w:rPr>
          <w:sz w:val="20"/>
          <w:szCs w:val="20"/>
          <w:rtl/>
        </w:rPr>
        <w:t xml:space="preserve"> </w:t>
      </w:r>
      <w:r w:rsidR="00C03B0B" w:rsidRPr="00B00ADA">
        <w:rPr>
          <w:rFonts w:hint="eastAsia"/>
          <w:sz w:val="20"/>
          <w:szCs w:val="20"/>
          <w:rtl/>
        </w:rPr>
        <w:t>בשנה</w:t>
      </w:r>
      <w:r w:rsidR="00C03B0B" w:rsidRPr="00B00ADA">
        <w:rPr>
          <w:sz w:val="20"/>
          <w:szCs w:val="20"/>
          <w:rtl/>
        </w:rPr>
        <w:t xml:space="preserve"> </w:t>
      </w:r>
      <w:r w:rsidR="00C03B0B" w:rsidRPr="00B00ADA">
        <w:rPr>
          <w:rFonts w:hint="eastAsia"/>
          <w:sz w:val="20"/>
          <w:szCs w:val="20"/>
          <w:rtl/>
        </w:rPr>
        <w:t>האחרונה</w:t>
      </w:r>
      <w:r w:rsidR="00C03B0B" w:rsidRPr="00B00ADA">
        <w:rPr>
          <w:sz w:val="20"/>
          <w:szCs w:val="20"/>
          <w:rtl/>
        </w:rPr>
        <w:t xml:space="preserve">, </w:t>
      </w:r>
      <w:r w:rsidR="00C03B0B" w:rsidRPr="00B00ADA">
        <w:rPr>
          <w:rFonts w:hint="eastAsia"/>
          <w:sz w:val="20"/>
          <w:szCs w:val="20"/>
          <w:rtl/>
        </w:rPr>
        <w:t>השתתפות</w:t>
      </w:r>
      <w:r w:rsidR="00C03B0B" w:rsidRPr="00B00ADA">
        <w:rPr>
          <w:sz w:val="20"/>
          <w:szCs w:val="20"/>
          <w:rtl/>
        </w:rPr>
        <w:t xml:space="preserve"> </w:t>
      </w:r>
      <w:r w:rsidR="00C03B0B" w:rsidRPr="00B00ADA">
        <w:rPr>
          <w:rFonts w:hint="eastAsia"/>
          <w:sz w:val="20"/>
          <w:szCs w:val="20"/>
          <w:rtl/>
        </w:rPr>
        <w:t>בהצקות</w:t>
      </w:r>
      <w:r w:rsidR="00C03B0B" w:rsidRPr="00B00ADA">
        <w:rPr>
          <w:sz w:val="20"/>
          <w:szCs w:val="20"/>
          <w:rtl/>
        </w:rPr>
        <w:t>/</w:t>
      </w:r>
      <w:r w:rsidR="00C03B0B" w:rsidRPr="00B00ADA">
        <w:rPr>
          <w:rFonts w:hint="eastAsia"/>
          <w:sz w:val="20"/>
          <w:szCs w:val="20"/>
          <w:rtl/>
        </w:rPr>
        <w:t>הטרדות</w:t>
      </w:r>
      <w:r w:rsidR="00C03B0B" w:rsidRPr="00B00ADA">
        <w:rPr>
          <w:sz w:val="20"/>
          <w:szCs w:val="20"/>
          <w:rtl/>
        </w:rPr>
        <w:t xml:space="preserve"> </w:t>
      </w:r>
      <w:r w:rsidR="00C03B0B" w:rsidRPr="00B00ADA">
        <w:rPr>
          <w:rFonts w:hint="eastAsia"/>
          <w:sz w:val="20"/>
          <w:szCs w:val="20"/>
          <w:rtl/>
        </w:rPr>
        <w:t>של</w:t>
      </w:r>
      <w:r w:rsidR="00C03B0B" w:rsidRPr="00B00ADA">
        <w:rPr>
          <w:sz w:val="20"/>
          <w:szCs w:val="20"/>
          <w:rtl/>
        </w:rPr>
        <w:t xml:space="preserve"> </w:t>
      </w:r>
      <w:r w:rsidR="00C03B0B" w:rsidRPr="00B00ADA">
        <w:rPr>
          <w:rFonts w:hint="eastAsia"/>
          <w:sz w:val="20"/>
          <w:szCs w:val="20"/>
          <w:rtl/>
        </w:rPr>
        <w:t>תלמידים</w:t>
      </w:r>
      <w:r w:rsidR="00C03B0B" w:rsidRPr="00B00ADA">
        <w:rPr>
          <w:sz w:val="20"/>
          <w:szCs w:val="20"/>
          <w:rtl/>
        </w:rPr>
        <w:t xml:space="preserve"> </w:t>
      </w:r>
      <w:r w:rsidR="00C03B0B" w:rsidRPr="00B00ADA">
        <w:rPr>
          <w:rFonts w:hint="eastAsia"/>
          <w:sz w:val="20"/>
          <w:szCs w:val="20"/>
          <w:rtl/>
        </w:rPr>
        <w:t>אחרים</w:t>
      </w:r>
      <w:r w:rsidR="00C03B0B" w:rsidRPr="00B00ADA">
        <w:rPr>
          <w:sz w:val="20"/>
          <w:szCs w:val="20"/>
          <w:rtl/>
        </w:rPr>
        <w:t xml:space="preserve"> </w:t>
      </w:r>
      <w:r w:rsidR="00C03B0B" w:rsidRPr="00B00ADA">
        <w:rPr>
          <w:rFonts w:hint="eastAsia"/>
          <w:sz w:val="20"/>
          <w:szCs w:val="20"/>
          <w:rtl/>
        </w:rPr>
        <w:t>בשטח</w:t>
      </w:r>
      <w:r w:rsidR="00C03B0B" w:rsidRPr="00B00ADA">
        <w:rPr>
          <w:sz w:val="20"/>
          <w:szCs w:val="20"/>
          <w:rtl/>
        </w:rPr>
        <w:t xml:space="preserve"> </w:t>
      </w:r>
      <w:r w:rsidR="00C03B0B" w:rsidRPr="00B00ADA">
        <w:rPr>
          <w:rFonts w:hint="eastAsia"/>
          <w:sz w:val="20"/>
          <w:szCs w:val="20"/>
          <w:rtl/>
        </w:rPr>
        <w:t>ביה</w:t>
      </w:r>
      <w:r w:rsidR="00C03B0B" w:rsidRPr="00B00ADA">
        <w:rPr>
          <w:sz w:val="20"/>
          <w:szCs w:val="20"/>
          <w:rtl/>
        </w:rPr>
        <w:t>"</w:t>
      </w:r>
      <w:r w:rsidR="00C03B0B" w:rsidRPr="00B00ADA">
        <w:rPr>
          <w:rFonts w:hint="eastAsia"/>
          <w:sz w:val="20"/>
          <w:szCs w:val="20"/>
          <w:rtl/>
        </w:rPr>
        <w:t>ס</w:t>
      </w:r>
      <w:r w:rsidR="00C03B0B" w:rsidRPr="00B00ADA">
        <w:rPr>
          <w:sz w:val="20"/>
          <w:szCs w:val="20"/>
          <w:rtl/>
        </w:rPr>
        <w:t xml:space="preserve"> </w:t>
      </w:r>
      <w:r w:rsidR="00C03B0B" w:rsidRPr="00B00ADA">
        <w:rPr>
          <w:rFonts w:hint="eastAsia"/>
          <w:sz w:val="20"/>
          <w:szCs w:val="20"/>
          <w:rtl/>
        </w:rPr>
        <w:t>לפחות</w:t>
      </w:r>
      <w:r w:rsidR="00C03B0B" w:rsidRPr="00B00ADA">
        <w:rPr>
          <w:sz w:val="20"/>
          <w:szCs w:val="20"/>
          <w:rtl/>
        </w:rPr>
        <w:t xml:space="preserve"> 3 </w:t>
      </w:r>
      <w:r w:rsidR="00C03B0B" w:rsidRPr="00B00ADA">
        <w:rPr>
          <w:rFonts w:hint="eastAsia"/>
          <w:sz w:val="20"/>
          <w:szCs w:val="20"/>
          <w:rtl/>
        </w:rPr>
        <w:t>פעמים</w:t>
      </w:r>
      <w:r w:rsidR="00C03B0B" w:rsidRPr="00B00ADA">
        <w:rPr>
          <w:sz w:val="20"/>
          <w:szCs w:val="20"/>
          <w:rtl/>
        </w:rPr>
        <w:t xml:space="preserve"> </w:t>
      </w:r>
      <w:r w:rsidR="00C03B0B" w:rsidRPr="00B00ADA">
        <w:rPr>
          <w:rFonts w:hint="eastAsia"/>
          <w:sz w:val="20"/>
          <w:szCs w:val="20"/>
          <w:rtl/>
        </w:rPr>
        <w:t>בחודשיים</w:t>
      </w:r>
      <w:r w:rsidR="00C03B0B" w:rsidRPr="00B00ADA">
        <w:rPr>
          <w:sz w:val="20"/>
          <w:szCs w:val="20"/>
          <w:rtl/>
        </w:rPr>
        <w:t xml:space="preserve"> </w:t>
      </w:r>
      <w:r w:rsidR="00C03B0B" w:rsidRPr="00B00ADA">
        <w:rPr>
          <w:rFonts w:hint="eastAsia"/>
          <w:sz w:val="20"/>
          <w:szCs w:val="20"/>
          <w:rtl/>
        </w:rPr>
        <w:t>האחרונים</w:t>
      </w:r>
      <w:r w:rsidR="00C03B0B" w:rsidRPr="00B00ADA">
        <w:rPr>
          <w:sz w:val="20"/>
          <w:szCs w:val="20"/>
          <w:rtl/>
        </w:rPr>
        <w:t xml:space="preserve">, </w:t>
      </w:r>
      <w:r w:rsidR="00C03B0B" w:rsidRPr="00B00ADA">
        <w:rPr>
          <w:rFonts w:hint="eastAsia"/>
          <w:sz w:val="20"/>
          <w:szCs w:val="20"/>
          <w:rtl/>
        </w:rPr>
        <w:t>נשיאת</w:t>
      </w:r>
      <w:r w:rsidR="00C03B0B" w:rsidRPr="00B00ADA">
        <w:rPr>
          <w:sz w:val="20"/>
          <w:szCs w:val="20"/>
          <w:rtl/>
        </w:rPr>
        <w:t xml:space="preserve"> </w:t>
      </w:r>
      <w:r w:rsidR="00C03B0B" w:rsidRPr="00B00ADA">
        <w:rPr>
          <w:rFonts w:hint="eastAsia"/>
          <w:sz w:val="20"/>
          <w:szCs w:val="20"/>
          <w:rtl/>
        </w:rPr>
        <w:t>נשק</w:t>
      </w:r>
      <w:r w:rsidR="00C03B0B" w:rsidRPr="00B00ADA">
        <w:rPr>
          <w:sz w:val="20"/>
          <w:szCs w:val="20"/>
          <w:rtl/>
        </w:rPr>
        <w:t xml:space="preserve"> </w:t>
      </w:r>
      <w:r w:rsidR="00C03B0B" w:rsidRPr="00B00ADA">
        <w:rPr>
          <w:rFonts w:hint="eastAsia"/>
          <w:sz w:val="20"/>
          <w:szCs w:val="20"/>
          <w:rtl/>
        </w:rPr>
        <w:t>כלשהו</w:t>
      </w:r>
      <w:r w:rsidR="00C03B0B" w:rsidRPr="00B00ADA">
        <w:rPr>
          <w:sz w:val="20"/>
          <w:szCs w:val="20"/>
          <w:rtl/>
        </w:rPr>
        <w:t xml:space="preserve"> </w:t>
      </w:r>
      <w:r w:rsidR="00C03B0B" w:rsidRPr="00B00ADA">
        <w:rPr>
          <w:rFonts w:hint="eastAsia"/>
          <w:sz w:val="20"/>
          <w:szCs w:val="20"/>
          <w:rtl/>
        </w:rPr>
        <w:t>לפחות</w:t>
      </w:r>
      <w:r w:rsidR="00C03B0B" w:rsidRPr="00B00ADA">
        <w:rPr>
          <w:sz w:val="20"/>
          <w:szCs w:val="20"/>
          <w:rtl/>
        </w:rPr>
        <w:t xml:space="preserve"> </w:t>
      </w:r>
      <w:r w:rsidR="00C03B0B" w:rsidRPr="00B00ADA">
        <w:rPr>
          <w:rFonts w:hint="eastAsia"/>
          <w:sz w:val="20"/>
          <w:szCs w:val="20"/>
          <w:rtl/>
        </w:rPr>
        <w:t>פעם</w:t>
      </w:r>
      <w:r w:rsidR="00C03B0B" w:rsidRPr="00B00ADA">
        <w:rPr>
          <w:sz w:val="20"/>
          <w:szCs w:val="20"/>
          <w:rtl/>
        </w:rPr>
        <w:t xml:space="preserve"> </w:t>
      </w:r>
      <w:r w:rsidR="00C03B0B" w:rsidRPr="00B00ADA">
        <w:rPr>
          <w:rFonts w:hint="eastAsia"/>
          <w:sz w:val="20"/>
          <w:szCs w:val="20"/>
          <w:rtl/>
        </w:rPr>
        <w:t>בחודש</w:t>
      </w:r>
      <w:r w:rsidR="00C03B0B" w:rsidRPr="00B00ADA">
        <w:rPr>
          <w:sz w:val="20"/>
          <w:szCs w:val="20"/>
          <w:rtl/>
        </w:rPr>
        <w:t xml:space="preserve"> </w:t>
      </w:r>
      <w:r w:rsidR="00C03B0B" w:rsidRPr="00B00ADA">
        <w:rPr>
          <w:rFonts w:hint="eastAsia"/>
          <w:sz w:val="20"/>
          <w:szCs w:val="20"/>
          <w:rtl/>
        </w:rPr>
        <w:t>האחרון</w:t>
      </w:r>
      <w:r w:rsidR="002570C1" w:rsidRPr="00B00ADA">
        <w:rPr>
          <w:sz w:val="20"/>
          <w:szCs w:val="20"/>
          <w:rtl/>
        </w:rPr>
        <w:t>.</w:t>
      </w:r>
    </w:p>
    <w:p w:rsidR="002570C1" w:rsidRDefault="00C03B0B" w:rsidP="003B4C32">
      <w:pPr>
        <w:spacing w:after="0" w:line="240" w:lineRule="auto"/>
        <w:rPr>
          <w:sz w:val="22"/>
          <w:szCs w:val="22"/>
          <w:rtl/>
        </w:rPr>
      </w:pPr>
      <w:r w:rsidRPr="00B00ADA">
        <w:rPr>
          <w:sz w:val="20"/>
          <w:szCs w:val="20"/>
          <w:rtl/>
        </w:rPr>
        <w:t xml:space="preserve">** </w:t>
      </w:r>
      <w:r w:rsidRPr="00B00ADA">
        <w:rPr>
          <w:sz w:val="20"/>
          <w:szCs w:val="20"/>
        </w:rPr>
        <w:t>p&lt;0.01</w:t>
      </w:r>
    </w:p>
    <w:p w:rsidR="002570C1" w:rsidRDefault="002570C1" w:rsidP="003B4C32">
      <w:pPr>
        <w:spacing w:after="0" w:line="240" w:lineRule="auto"/>
        <w:rPr>
          <w:sz w:val="22"/>
          <w:szCs w:val="22"/>
          <w:rtl/>
        </w:rPr>
      </w:pPr>
    </w:p>
    <w:p w:rsidR="00D77D71" w:rsidRDefault="00D77D71" w:rsidP="00B00ADA">
      <w:pPr>
        <w:pStyle w:val="chart"/>
      </w:pPr>
      <w:r w:rsidRPr="004D0A1B">
        <w:rPr>
          <w:rFonts w:hint="eastAsia"/>
          <w:rtl/>
        </w:rPr>
        <w:t>תרשים</w:t>
      </w:r>
      <w:r>
        <w:rPr>
          <w:rFonts w:hint="cs"/>
          <w:rtl/>
        </w:rPr>
        <w:t xml:space="preserve"> </w:t>
      </w:r>
      <w:r w:rsidR="002570C1">
        <w:rPr>
          <w:rFonts w:hint="cs"/>
          <w:rtl/>
        </w:rPr>
        <w:t>6</w:t>
      </w:r>
      <w:r w:rsidRPr="004D0A1B">
        <w:rPr>
          <w:rtl/>
        </w:rPr>
        <w:t xml:space="preserve">: </w:t>
      </w:r>
      <w:r>
        <w:rPr>
          <w:rFonts w:hint="cs"/>
          <w:rtl/>
        </w:rPr>
        <w:t>קשיים רגשיים</w:t>
      </w:r>
      <w:r w:rsidRPr="004D0A1B">
        <w:rPr>
          <w:rtl/>
        </w:rPr>
        <w:t xml:space="preserve"> </w:t>
      </w:r>
      <w:r w:rsidRPr="004D0A1B">
        <w:rPr>
          <w:rFonts w:hint="eastAsia"/>
          <w:rtl/>
        </w:rPr>
        <w:t>בקרב</w:t>
      </w:r>
      <w:r w:rsidRPr="004D0A1B">
        <w:rPr>
          <w:rtl/>
        </w:rPr>
        <w:t xml:space="preserve"> </w:t>
      </w:r>
      <w:r w:rsidRPr="004D0A1B">
        <w:rPr>
          <w:rFonts w:hint="eastAsia"/>
          <w:rtl/>
        </w:rPr>
        <w:t>בני</w:t>
      </w:r>
      <w:r w:rsidRPr="004D0A1B">
        <w:rPr>
          <w:rtl/>
        </w:rPr>
        <w:t xml:space="preserve"> </w:t>
      </w:r>
      <w:r w:rsidRPr="004D0A1B">
        <w:rPr>
          <w:rFonts w:hint="eastAsia"/>
          <w:rtl/>
        </w:rPr>
        <w:t>נוער</w:t>
      </w:r>
      <w:r w:rsidRPr="004D0A1B">
        <w:rPr>
          <w:rtl/>
        </w:rPr>
        <w:t xml:space="preserve"> </w:t>
      </w:r>
      <w:r w:rsidR="00B00ADA">
        <w:rPr>
          <w:rFonts w:hint="cs"/>
          <w:rtl/>
        </w:rPr>
        <w:t xml:space="preserve">בישראל </w:t>
      </w:r>
      <w:r w:rsidRPr="004D0A1B">
        <w:rPr>
          <w:rFonts w:hint="eastAsia"/>
          <w:rtl/>
        </w:rPr>
        <w:t>לפי</w:t>
      </w:r>
      <w:r w:rsidRPr="004D0A1B">
        <w:rPr>
          <w:rtl/>
        </w:rPr>
        <w:t xml:space="preserve"> </w:t>
      </w:r>
      <w:r>
        <w:rPr>
          <w:rFonts w:hint="cs"/>
          <w:rtl/>
        </w:rPr>
        <w:t>מספר ממדי הניתוק</w:t>
      </w:r>
      <w:r w:rsidRPr="004D0A1B">
        <w:rPr>
          <w:rtl/>
        </w:rPr>
        <w:t xml:space="preserve">, </w:t>
      </w:r>
      <w:r>
        <w:rPr>
          <w:rFonts w:hint="cs"/>
          <w:rtl/>
        </w:rPr>
        <w:t xml:space="preserve">על פי </w:t>
      </w:r>
      <w:r w:rsidRPr="004D0A1B">
        <w:rPr>
          <w:rFonts w:hint="eastAsia"/>
          <w:rtl/>
        </w:rPr>
        <w:t>סקר</w:t>
      </w:r>
      <w:r w:rsidRPr="004D0A1B">
        <w:rPr>
          <w:rtl/>
        </w:rPr>
        <w:t xml:space="preserve"> </w:t>
      </w:r>
      <w:r w:rsidRPr="004D0A1B">
        <w:t xml:space="preserve">HBSC </w:t>
      </w:r>
      <w:r w:rsidRPr="004D0A1B">
        <w:rPr>
          <w:rtl/>
        </w:rPr>
        <w:t xml:space="preserve"> 2010</w:t>
      </w:r>
      <w:r>
        <w:rPr>
          <w:rFonts w:hint="cs"/>
          <w:rtl/>
        </w:rPr>
        <w:t>/11</w:t>
      </w:r>
      <w:r w:rsidRPr="004D0A1B">
        <w:rPr>
          <w:rtl/>
        </w:rPr>
        <w:t xml:space="preserve">, </w:t>
      </w:r>
      <w:r w:rsidRPr="004D0A1B">
        <w:rPr>
          <w:rFonts w:hint="eastAsia"/>
          <w:rtl/>
        </w:rPr>
        <w:t>באחוזים</w:t>
      </w:r>
    </w:p>
    <w:p w:rsidR="00A14911" w:rsidRDefault="00A14911" w:rsidP="00D843ED">
      <w:pPr>
        <w:pStyle w:val="chart"/>
        <w:rPr>
          <w:sz w:val="20"/>
          <w:rtl/>
        </w:rPr>
      </w:pPr>
      <w:r>
        <w:rPr>
          <w:noProof/>
          <w:sz w:val="20"/>
          <w:rtl/>
          <w:lang w:eastAsia="en-US"/>
        </w:rPr>
        <w:drawing>
          <wp:inline distT="0" distB="0" distL="0" distR="0" wp14:anchorId="1596DD5B" wp14:editId="57B6A082">
            <wp:extent cx="5486400" cy="28765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77D71" w:rsidRPr="00B00ADA" w:rsidRDefault="00D77D71" w:rsidP="00D77D71">
      <w:pPr>
        <w:spacing w:before="60" w:after="0" w:line="240" w:lineRule="auto"/>
        <w:jc w:val="left"/>
        <w:rPr>
          <w:rFonts w:ascii="Calibri" w:eastAsia="Calibri" w:hAnsi="Calibri"/>
          <w:sz w:val="20"/>
          <w:szCs w:val="20"/>
          <w:rtl/>
          <w:lang w:eastAsia="en-US"/>
        </w:rPr>
      </w:pPr>
      <w:r w:rsidRPr="00B00ADA">
        <w:rPr>
          <w:rFonts w:ascii="Calibri" w:eastAsia="Calibri" w:hAnsi="Calibri"/>
          <w:sz w:val="20"/>
          <w:szCs w:val="20"/>
          <w:rtl/>
          <w:lang w:eastAsia="en-US"/>
        </w:rPr>
        <w:t xml:space="preserve">** </w:t>
      </w:r>
      <w:r w:rsidRPr="00B00ADA">
        <w:rPr>
          <w:rFonts w:ascii="Calibri" w:eastAsia="Calibri" w:hAnsi="Calibri"/>
          <w:sz w:val="20"/>
          <w:szCs w:val="20"/>
          <w:lang w:eastAsia="en-US"/>
        </w:rPr>
        <w:t>P&lt;0.01</w:t>
      </w:r>
    </w:p>
    <w:p w:rsidR="003B4C32" w:rsidRPr="00B00ADA" w:rsidRDefault="003B4C32" w:rsidP="00D77D71">
      <w:pPr>
        <w:spacing w:before="60" w:after="0" w:line="240" w:lineRule="auto"/>
        <w:jc w:val="left"/>
        <w:rPr>
          <w:rFonts w:ascii="Calibri" w:eastAsia="Calibri" w:hAnsi="Calibri"/>
          <w:sz w:val="20"/>
          <w:szCs w:val="20"/>
          <w:rtl/>
          <w:lang w:eastAsia="en-US"/>
        </w:rPr>
      </w:pPr>
      <w:r w:rsidRPr="00B00ADA">
        <w:rPr>
          <w:rFonts w:ascii="Calibri" w:eastAsia="Calibri" w:hAnsi="Calibri"/>
          <w:sz w:val="20"/>
          <w:szCs w:val="20"/>
          <w:vertAlign w:val="superscript"/>
          <w:rtl/>
          <w:lang w:eastAsia="en-US"/>
        </w:rPr>
        <w:t>1</w:t>
      </w:r>
      <w:r w:rsidRPr="00B00ADA">
        <w:rPr>
          <w:rFonts w:ascii="Calibri" w:eastAsia="Calibri" w:hAnsi="Calibri"/>
          <w:sz w:val="20"/>
          <w:szCs w:val="20"/>
          <w:rtl/>
          <w:lang w:eastAsia="en-US"/>
        </w:rPr>
        <w:t xml:space="preserve"> </w:t>
      </w:r>
      <w:r w:rsidRPr="00B00ADA">
        <w:rPr>
          <w:rFonts w:ascii="Calibri" w:eastAsia="Calibri" w:hAnsi="Calibri" w:hint="cs"/>
          <w:sz w:val="20"/>
          <w:szCs w:val="20"/>
          <w:rtl/>
          <w:lang w:eastAsia="en-US"/>
        </w:rPr>
        <w:t>לעתים</w:t>
      </w:r>
      <w:r w:rsidRPr="00B00ADA">
        <w:rPr>
          <w:rFonts w:ascii="Calibri" w:eastAsia="Calibri" w:hAnsi="Calibri"/>
          <w:sz w:val="20"/>
          <w:szCs w:val="20"/>
          <w:rtl/>
          <w:lang w:eastAsia="en-US"/>
        </w:rPr>
        <w:t xml:space="preserve"> </w:t>
      </w:r>
      <w:r w:rsidRPr="00B00ADA">
        <w:rPr>
          <w:rFonts w:ascii="Calibri" w:eastAsia="Calibri" w:hAnsi="Calibri" w:hint="cs"/>
          <w:sz w:val="20"/>
          <w:szCs w:val="20"/>
          <w:rtl/>
          <w:lang w:eastAsia="en-US"/>
        </w:rPr>
        <w:t>קרובות</w:t>
      </w:r>
      <w:r w:rsidRPr="00B00ADA">
        <w:rPr>
          <w:rFonts w:ascii="Calibri" w:eastAsia="Calibri" w:hAnsi="Calibri"/>
          <w:sz w:val="20"/>
          <w:szCs w:val="20"/>
          <w:rtl/>
          <w:lang w:eastAsia="en-US"/>
        </w:rPr>
        <w:t>/</w:t>
      </w:r>
      <w:r w:rsidRPr="00B00ADA">
        <w:rPr>
          <w:rFonts w:ascii="Calibri" w:eastAsia="Calibri" w:hAnsi="Calibri" w:hint="cs"/>
          <w:sz w:val="20"/>
          <w:szCs w:val="20"/>
          <w:rtl/>
          <w:lang w:eastAsia="en-US"/>
        </w:rPr>
        <w:t>קרובות</w:t>
      </w:r>
      <w:r w:rsidRPr="00B00ADA">
        <w:rPr>
          <w:rFonts w:ascii="Calibri" w:eastAsia="Calibri" w:hAnsi="Calibri"/>
          <w:sz w:val="20"/>
          <w:szCs w:val="20"/>
          <w:rtl/>
          <w:lang w:eastAsia="en-US"/>
        </w:rPr>
        <w:t xml:space="preserve"> </w:t>
      </w:r>
      <w:r w:rsidRPr="00B00ADA">
        <w:rPr>
          <w:rFonts w:ascii="Calibri" w:eastAsia="Calibri" w:hAnsi="Calibri" w:hint="cs"/>
          <w:sz w:val="20"/>
          <w:szCs w:val="20"/>
          <w:rtl/>
          <w:lang w:eastAsia="en-US"/>
        </w:rPr>
        <w:t>מאד</w:t>
      </w:r>
    </w:p>
    <w:p w:rsidR="00D77D71" w:rsidRPr="00B00ADA" w:rsidRDefault="003B4C32" w:rsidP="00B00ADA">
      <w:pPr>
        <w:spacing w:before="20" w:after="0" w:line="240" w:lineRule="auto"/>
        <w:jc w:val="left"/>
        <w:rPr>
          <w:rFonts w:ascii="Calibri" w:eastAsia="Calibri" w:hAnsi="Calibri"/>
          <w:sz w:val="20"/>
          <w:szCs w:val="20"/>
          <w:rtl/>
          <w:lang w:eastAsia="en-US"/>
        </w:rPr>
      </w:pPr>
      <w:r w:rsidRPr="00B00ADA">
        <w:rPr>
          <w:rFonts w:ascii="Calibri" w:eastAsia="Calibri" w:hAnsi="Calibri"/>
          <w:sz w:val="20"/>
          <w:szCs w:val="20"/>
          <w:vertAlign w:val="superscript"/>
          <w:rtl/>
          <w:lang w:eastAsia="en-US"/>
        </w:rPr>
        <w:t>2</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חשים</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לפחות</w:t>
      </w:r>
      <w:r w:rsidR="00D77D71" w:rsidRPr="00B00ADA">
        <w:rPr>
          <w:rFonts w:ascii="Calibri" w:eastAsia="Calibri" w:hAnsi="Calibri"/>
          <w:sz w:val="20"/>
          <w:szCs w:val="20"/>
          <w:rtl/>
          <w:lang w:eastAsia="en-US"/>
        </w:rPr>
        <w:t xml:space="preserve"> 1 </w:t>
      </w:r>
      <w:r w:rsidR="00D77D71" w:rsidRPr="00B00ADA">
        <w:rPr>
          <w:rFonts w:ascii="Calibri" w:eastAsia="Calibri" w:hAnsi="Calibri" w:hint="cs"/>
          <w:sz w:val="20"/>
          <w:szCs w:val="20"/>
          <w:rtl/>
          <w:lang w:eastAsia="en-US"/>
        </w:rPr>
        <w:t>מ</w:t>
      </w:r>
      <w:r w:rsidR="00D77D71" w:rsidRPr="00B00ADA">
        <w:rPr>
          <w:rFonts w:ascii="Calibri" w:eastAsia="Calibri" w:hAnsi="Calibri"/>
          <w:sz w:val="20"/>
          <w:szCs w:val="20"/>
          <w:rtl/>
          <w:lang w:eastAsia="en-US"/>
        </w:rPr>
        <w:t xml:space="preserve">-4 </w:t>
      </w:r>
      <w:r w:rsidR="00D77D71" w:rsidRPr="00B00ADA">
        <w:rPr>
          <w:rFonts w:ascii="Calibri" w:eastAsia="Calibri" w:hAnsi="Calibri" w:hint="cs"/>
          <w:sz w:val="20"/>
          <w:szCs w:val="20"/>
          <w:rtl/>
          <w:lang w:eastAsia="en-US"/>
        </w:rPr>
        <w:t>סימפטומים</w:t>
      </w:r>
      <w:r w:rsidR="00D77D71" w:rsidRPr="00B00ADA">
        <w:rPr>
          <w:rFonts w:ascii="Calibri" w:eastAsia="Calibri" w:hAnsi="Calibri"/>
          <w:sz w:val="20"/>
          <w:szCs w:val="20"/>
          <w:rtl/>
          <w:lang w:eastAsia="en-US"/>
        </w:rPr>
        <w:t xml:space="preserve"> </w:t>
      </w:r>
      <w:r w:rsidR="002570C1" w:rsidRPr="00B00ADA">
        <w:rPr>
          <w:rFonts w:ascii="Calibri" w:eastAsia="Calibri" w:hAnsi="Calibri" w:hint="cs"/>
          <w:sz w:val="20"/>
          <w:szCs w:val="20"/>
          <w:rtl/>
          <w:lang w:eastAsia="en-US"/>
        </w:rPr>
        <w:t>האלה</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כאב</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ראש</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כאב</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בטן</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כאב</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גב</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וסחרחורת</w:t>
      </w:r>
      <w:r w:rsidR="00D77D71" w:rsidRPr="00B00ADA">
        <w:rPr>
          <w:rFonts w:ascii="Calibri" w:eastAsia="Calibri" w:hAnsi="Calibri"/>
          <w:sz w:val="20"/>
          <w:szCs w:val="20"/>
          <w:rtl/>
          <w:lang w:eastAsia="en-US"/>
        </w:rPr>
        <w:t xml:space="preserve"> – </w:t>
      </w:r>
      <w:r w:rsidR="00D77D71" w:rsidRPr="00B00ADA">
        <w:rPr>
          <w:rFonts w:ascii="Calibri" w:eastAsia="Calibri" w:hAnsi="Calibri" w:hint="cs"/>
          <w:sz w:val="20"/>
          <w:szCs w:val="20"/>
          <w:rtl/>
          <w:lang w:eastAsia="en-US"/>
        </w:rPr>
        <w:t>כל</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יום</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או</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כמעט</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כל</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יום</w:t>
      </w:r>
      <w:r w:rsidR="00D77D71" w:rsidRPr="00B00ADA">
        <w:rPr>
          <w:rFonts w:ascii="Calibri" w:eastAsia="Calibri" w:hAnsi="Calibri"/>
          <w:sz w:val="20"/>
          <w:szCs w:val="20"/>
          <w:rtl/>
          <w:lang w:eastAsia="en-US"/>
        </w:rPr>
        <w:t xml:space="preserve">. </w:t>
      </w:r>
    </w:p>
    <w:p w:rsidR="00D77D71" w:rsidRPr="00B00ADA" w:rsidRDefault="003B4C32" w:rsidP="00B00ADA">
      <w:pPr>
        <w:spacing w:before="20" w:after="0" w:line="240" w:lineRule="auto"/>
        <w:jc w:val="left"/>
        <w:rPr>
          <w:rFonts w:ascii="Calibri" w:eastAsia="Calibri" w:hAnsi="Calibri"/>
          <w:sz w:val="20"/>
          <w:szCs w:val="20"/>
          <w:rtl/>
          <w:lang w:eastAsia="en-US"/>
        </w:rPr>
      </w:pPr>
      <w:r w:rsidRPr="00B00ADA">
        <w:rPr>
          <w:rFonts w:ascii="Calibri" w:eastAsia="Calibri" w:hAnsi="Calibri"/>
          <w:sz w:val="20"/>
          <w:szCs w:val="20"/>
          <w:vertAlign w:val="superscript"/>
          <w:rtl/>
          <w:lang w:eastAsia="en-US"/>
        </w:rPr>
        <w:t>3</w:t>
      </w:r>
      <w:r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חשים</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לפחות</w:t>
      </w:r>
      <w:r w:rsidR="00D77D71" w:rsidRPr="00B00ADA">
        <w:rPr>
          <w:rFonts w:ascii="Calibri" w:eastAsia="Calibri" w:hAnsi="Calibri"/>
          <w:sz w:val="20"/>
          <w:szCs w:val="20"/>
          <w:rtl/>
          <w:lang w:eastAsia="en-US"/>
        </w:rPr>
        <w:t xml:space="preserve"> 1 </w:t>
      </w:r>
      <w:r w:rsidR="00D77D71" w:rsidRPr="00B00ADA">
        <w:rPr>
          <w:rFonts w:ascii="Calibri" w:eastAsia="Calibri" w:hAnsi="Calibri" w:hint="cs"/>
          <w:sz w:val="20"/>
          <w:szCs w:val="20"/>
          <w:rtl/>
          <w:lang w:eastAsia="en-US"/>
        </w:rPr>
        <w:t>מ</w:t>
      </w:r>
      <w:r w:rsidR="00D77D71" w:rsidRPr="00B00ADA">
        <w:rPr>
          <w:rFonts w:ascii="Calibri" w:eastAsia="Calibri" w:hAnsi="Calibri"/>
          <w:sz w:val="20"/>
          <w:szCs w:val="20"/>
          <w:rtl/>
          <w:lang w:eastAsia="en-US"/>
        </w:rPr>
        <w:t xml:space="preserve">-4 </w:t>
      </w:r>
      <w:r w:rsidR="00D77D71" w:rsidRPr="00B00ADA">
        <w:rPr>
          <w:rFonts w:ascii="Calibri" w:eastAsia="Calibri" w:hAnsi="Calibri" w:hint="cs"/>
          <w:sz w:val="20"/>
          <w:szCs w:val="20"/>
          <w:rtl/>
          <w:lang w:eastAsia="en-US"/>
        </w:rPr>
        <w:t>סימפטומים</w:t>
      </w:r>
      <w:r w:rsidR="00D77D71" w:rsidRPr="00B00ADA">
        <w:rPr>
          <w:rFonts w:ascii="Calibri" w:eastAsia="Calibri" w:hAnsi="Calibri"/>
          <w:sz w:val="20"/>
          <w:szCs w:val="20"/>
          <w:rtl/>
          <w:lang w:eastAsia="en-US"/>
        </w:rPr>
        <w:t xml:space="preserve"> </w:t>
      </w:r>
      <w:r w:rsidR="002570C1" w:rsidRPr="00B00ADA">
        <w:rPr>
          <w:rFonts w:ascii="Calibri" w:eastAsia="Calibri" w:hAnsi="Calibri" w:hint="cs"/>
          <w:sz w:val="20"/>
          <w:szCs w:val="20"/>
          <w:rtl/>
          <w:lang w:eastAsia="en-US"/>
        </w:rPr>
        <w:t>האלה</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מצב</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רוח</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רע</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כעס</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עצבנות</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קושי</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להירדם</w:t>
      </w:r>
      <w:r w:rsidR="00D77D71" w:rsidRPr="00B00ADA">
        <w:rPr>
          <w:rFonts w:ascii="Calibri" w:eastAsia="Calibri" w:hAnsi="Calibri"/>
          <w:sz w:val="20"/>
          <w:szCs w:val="20"/>
          <w:rtl/>
          <w:lang w:eastAsia="en-US"/>
        </w:rPr>
        <w:t xml:space="preserve"> – </w:t>
      </w:r>
      <w:r w:rsidR="00D77D71" w:rsidRPr="00B00ADA">
        <w:rPr>
          <w:rFonts w:ascii="Calibri" w:eastAsia="Calibri" w:hAnsi="Calibri" w:hint="cs"/>
          <w:sz w:val="20"/>
          <w:szCs w:val="20"/>
          <w:rtl/>
          <w:lang w:eastAsia="en-US"/>
        </w:rPr>
        <w:t>כל</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יום</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או</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כמעט</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כל</w:t>
      </w:r>
      <w:r w:rsidR="00D77D71" w:rsidRPr="00B00ADA">
        <w:rPr>
          <w:rFonts w:ascii="Calibri" w:eastAsia="Calibri" w:hAnsi="Calibri"/>
          <w:sz w:val="20"/>
          <w:szCs w:val="20"/>
          <w:rtl/>
          <w:lang w:eastAsia="en-US"/>
        </w:rPr>
        <w:t xml:space="preserve"> </w:t>
      </w:r>
      <w:r w:rsidR="00D77D71" w:rsidRPr="00B00ADA">
        <w:rPr>
          <w:rFonts w:ascii="Calibri" w:eastAsia="Calibri" w:hAnsi="Calibri" w:hint="cs"/>
          <w:sz w:val="20"/>
          <w:szCs w:val="20"/>
          <w:rtl/>
          <w:lang w:eastAsia="en-US"/>
        </w:rPr>
        <w:t>יום</w:t>
      </w:r>
      <w:r w:rsidR="00D77D71" w:rsidRPr="00B00ADA">
        <w:rPr>
          <w:rFonts w:ascii="Calibri" w:eastAsia="Calibri" w:hAnsi="Calibri"/>
          <w:sz w:val="20"/>
          <w:szCs w:val="20"/>
          <w:rtl/>
          <w:lang w:eastAsia="en-US"/>
        </w:rPr>
        <w:t>.</w:t>
      </w:r>
    </w:p>
    <w:p w:rsidR="00A206FB" w:rsidRDefault="002570C1" w:rsidP="006103BC">
      <w:pPr>
        <w:pStyle w:val="1"/>
        <w:spacing w:after="0"/>
      </w:pPr>
      <w:r>
        <w:rPr>
          <w:rFonts w:hint="cs"/>
          <w:rtl/>
        </w:rPr>
        <w:t>8</w:t>
      </w:r>
      <w:r w:rsidR="00D843ED">
        <w:rPr>
          <w:rFonts w:hint="cs"/>
          <w:rtl/>
        </w:rPr>
        <w:t xml:space="preserve">. </w:t>
      </w:r>
      <w:r w:rsidR="0000458E" w:rsidRPr="00D77D71">
        <w:rPr>
          <w:rFonts w:hint="cs"/>
          <w:rtl/>
        </w:rPr>
        <w:t>ממצאי מחקר על פעילות בתי</w:t>
      </w:r>
      <w:r w:rsidR="00D11856">
        <w:rPr>
          <w:rFonts w:hint="cs"/>
          <w:rtl/>
        </w:rPr>
        <w:t xml:space="preserve"> הספר</w:t>
      </w:r>
      <w:r w:rsidR="0000458E" w:rsidRPr="00D77D71">
        <w:rPr>
          <w:rFonts w:hint="cs"/>
          <w:rtl/>
        </w:rPr>
        <w:t xml:space="preserve"> היסודיים וחטיבות הביניים לקידום תלמידים עם קשיי למידה והסתגלות</w:t>
      </w:r>
    </w:p>
    <w:p w:rsidR="00531679" w:rsidRDefault="008D02B8" w:rsidP="00531679">
      <w:pPr>
        <w:rPr>
          <w:rtl/>
        </w:rPr>
      </w:pPr>
      <w:r>
        <w:rPr>
          <w:rFonts w:hint="cs"/>
          <w:rtl/>
        </w:rPr>
        <w:t xml:space="preserve">כפי שהוזכר, בספרות המחקרית נמצא קשר בין האווירה הבית ספרית וניתוק של תלמידים. </w:t>
      </w:r>
      <w:r w:rsidR="00CC4A81">
        <w:rPr>
          <w:rFonts w:hint="cs"/>
          <w:rtl/>
        </w:rPr>
        <w:t xml:space="preserve">דוח ועדת הכנסת בעניין הנשירה </w:t>
      </w:r>
      <w:r>
        <w:rPr>
          <w:rFonts w:hint="cs"/>
          <w:rtl/>
        </w:rPr>
        <w:t>משנת 2002</w:t>
      </w:r>
      <w:r w:rsidR="00CC4A81">
        <w:rPr>
          <w:rFonts w:hint="cs"/>
          <w:rtl/>
        </w:rPr>
        <w:t xml:space="preserve"> </w:t>
      </w:r>
      <w:r>
        <w:rPr>
          <w:rFonts w:hint="cs"/>
          <w:rtl/>
        </w:rPr>
        <w:t>הדגיש שה</w:t>
      </w:r>
      <w:r w:rsidR="00CC4A81">
        <w:rPr>
          <w:rFonts w:hint="cs"/>
          <w:rtl/>
        </w:rPr>
        <w:t xml:space="preserve">נשירה הסמויה </w:t>
      </w:r>
      <w:r>
        <w:rPr>
          <w:rFonts w:hint="cs"/>
          <w:rtl/>
        </w:rPr>
        <w:t xml:space="preserve">היא תוצאה </w:t>
      </w:r>
      <w:r w:rsidR="00CC4A81">
        <w:rPr>
          <w:rFonts w:hint="cs"/>
          <w:rtl/>
        </w:rPr>
        <w:t xml:space="preserve"> של יחסי הגומלין שבין תלמידים בעלי מאפייני</w:t>
      </w:r>
      <w:r w:rsidR="00F22EA5">
        <w:rPr>
          <w:rFonts w:hint="cs"/>
          <w:rtl/>
        </w:rPr>
        <w:t>ם</w:t>
      </w:r>
      <w:r w:rsidR="00CC4A81">
        <w:rPr>
          <w:rFonts w:hint="cs"/>
          <w:rtl/>
        </w:rPr>
        <w:t xml:space="preserve"> וצרכים מסויימים, לבין </w:t>
      </w:r>
      <w:r w:rsidR="00531679">
        <w:rPr>
          <w:rFonts w:hint="cs"/>
          <w:rtl/>
        </w:rPr>
        <w:t xml:space="preserve">יכולתו של בית הספר לענות על צורכיהם. </w:t>
      </w:r>
    </w:p>
    <w:p w:rsidR="00D85923" w:rsidRDefault="00D85923" w:rsidP="00531679">
      <w:pPr>
        <w:rPr>
          <w:rtl/>
        </w:rPr>
      </w:pPr>
      <w:r>
        <w:rPr>
          <w:rFonts w:hint="cs"/>
          <w:rtl/>
        </w:rPr>
        <w:t xml:space="preserve">בעשור האחרון, ננקטו צעדים שונים במטרה לתגבר את היקף הסיוע לתלמידים ולהטמיע דרכי פעולה מיטביות, כדי לחזק את יכולתם של </w:t>
      </w:r>
      <w:r w:rsidRPr="00F22523">
        <w:rPr>
          <w:rFonts w:hint="cs"/>
          <w:rtl/>
        </w:rPr>
        <w:t xml:space="preserve">בתי הספר </w:t>
      </w:r>
      <w:r>
        <w:rPr>
          <w:rFonts w:hint="cs"/>
          <w:rtl/>
        </w:rPr>
        <w:t xml:space="preserve">להתמודד עם קשייהם של תלמידים במצבי </w:t>
      </w:r>
      <w:r w:rsidRPr="00F22523">
        <w:rPr>
          <w:rFonts w:hint="cs"/>
          <w:rtl/>
        </w:rPr>
        <w:t xml:space="preserve">ניתוק שונים. </w:t>
      </w:r>
      <w:r>
        <w:rPr>
          <w:rFonts w:hint="cs"/>
          <w:rtl/>
        </w:rPr>
        <w:t>צעדים</w:t>
      </w:r>
      <w:r w:rsidRPr="00F22523">
        <w:rPr>
          <w:rFonts w:hint="cs"/>
          <w:rtl/>
        </w:rPr>
        <w:t xml:space="preserve"> אלה כוללים</w:t>
      </w:r>
      <w:r>
        <w:rPr>
          <w:rFonts w:hint="cs"/>
          <w:rtl/>
        </w:rPr>
        <w:t>, בין היתר,</w:t>
      </w:r>
      <w:r w:rsidRPr="00F22523">
        <w:rPr>
          <w:rFonts w:hint="cs"/>
          <w:rtl/>
        </w:rPr>
        <w:t xml:space="preserve"> מהלכי מדיניות כמו "אופק חדש" ו"עוז לתמורה" </w:t>
      </w:r>
      <w:r>
        <w:rPr>
          <w:rFonts w:hint="cs"/>
          <w:rtl/>
        </w:rPr>
        <w:t>(</w:t>
      </w:r>
      <w:r w:rsidRPr="00F22523">
        <w:rPr>
          <w:rFonts w:hint="cs"/>
          <w:rtl/>
        </w:rPr>
        <w:t>שהחל מאוחר יותר</w:t>
      </w:r>
      <w:r>
        <w:rPr>
          <w:rFonts w:hint="cs"/>
          <w:rtl/>
        </w:rPr>
        <w:t>)</w:t>
      </w:r>
      <w:r w:rsidRPr="00F22523">
        <w:rPr>
          <w:rFonts w:hint="cs"/>
          <w:rtl/>
        </w:rPr>
        <w:t>, תכניות לשיפור אקלים בית ספרי, ובתקופה האחרונה - הטמעת "תרבות ההכלה" וקידום למידה משמעותית</w:t>
      </w:r>
      <w:r w:rsidRPr="00F22523">
        <w:rPr>
          <w:rtl/>
        </w:rPr>
        <w:t xml:space="preserve">. </w:t>
      </w:r>
    </w:p>
    <w:p w:rsidR="00D85923" w:rsidRDefault="00D85923" w:rsidP="00531679">
      <w:pPr>
        <w:rPr>
          <w:rtl/>
        </w:rPr>
      </w:pPr>
      <w:r w:rsidRPr="00F22523">
        <w:rPr>
          <w:rFonts w:hint="cs"/>
          <w:rtl/>
        </w:rPr>
        <w:t xml:space="preserve">בשנים 2006 ו-2012 נערכו מחקרים על דרכי הפעולה של בתי הספר היסודיים וחטיבות הביניים לקידום התלמידים המתקשים </w:t>
      </w:r>
      <w:r w:rsidRPr="00F22523">
        <w:rPr>
          <w:rtl/>
        </w:rPr>
        <w:t>–</w:t>
      </w:r>
      <w:r w:rsidRPr="00F22523">
        <w:rPr>
          <w:rFonts w:hint="cs"/>
          <w:rtl/>
        </w:rPr>
        <w:t xml:space="preserve"> גם בהיבט הלימודי </w:t>
      </w:r>
      <w:r w:rsidRPr="000C63F6">
        <w:rPr>
          <w:rFonts w:hint="cs"/>
          <w:rtl/>
        </w:rPr>
        <w:t>וגם בהיבט של קשיי הסתגלות</w:t>
      </w:r>
      <w:r w:rsidR="00904B16">
        <w:rPr>
          <w:rFonts w:hint="cs"/>
          <w:rtl/>
        </w:rPr>
        <w:t xml:space="preserve"> (בן רבי ואחרים, 2013; כהן-נבות ואחרים, 2009)</w:t>
      </w:r>
      <w:r w:rsidRPr="000C63F6">
        <w:rPr>
          <w:rFonts w:hint="cs"/>
          <w:rtl/>
        </w:rPr>
        <w:t xml:space="preserve">. במחקרים אלה נמצא כי סוגי סיוע </w:t>
      </w:r>
      <w:r>
        <w:rPr>
          <w:rFonts w:hint="cs"/>
          <w:rtl/>
        </w:rPr>
        <w:t xml:space="preserve">לתלמידים </w:t>
      </w:r>
      <w:r w:rsidRPr="000C63F6">
        <w:rPr>
          <w:rFonts w:hint="cs"/>
          <w:rtl/>
        </w:rPr>
        <w:t>ודרכי פעולה שונ</w:t>
      </w:r>
      <w:r>
        <w:rPr>
          <w:rFonts w:hint="cs"/>
          <w:rtl/>
        </w:rPr>
        <w:t>ות</w:t>
      </w:r>
      <w:r w:rsidRPr="000C63F6">
        <w:rPr>
          <w:rFonts w:hint="cs"/>
          <w:rtl/>
        </w:rPr>
        <w:t xml:space="preserve"> </w:t>
      </w:r>
      <w:r>
        <w:rPr>
          <w:rFonts w:hint="cs"/>
          <w:rtl/>
        </w:rPr>
        <w:t xml:space="preserve">לקידומם </w:t>
      </w:r>
      <w:r w:rsidRPr="000C63F6">
        <w:rPr>
          <w:rFonts w:hint="cs"/>
          <w:rtl/>
        </w:rPr>
        <w:t>קיימים ברבים מבתי הספר, אולם ההטמעה היא חלקית. כך, למשל, ב-2012 רק 55% מהמחנכים בבתי הספר היסודיים ו-36% מהמחנכים בחטיבות הביניים חשו שהכלים והמשאבים העומדים לרשותם מאפשרים להם במידה רבה להתמודד ביעילות עם צורכי התלמידים המתקשים.</w:t>
      </w:r>
      <w:r w:rsidR="00531679">
        <w:rPr>
          <w:rFonts w:hint="cs"/>
          <w:rtl/>
        </w:rPr>
        <w:t xml:space="preserve"> </w:t>
      </w:r>
      <w:r>
        <w:rPr>
          <w:rFonts w:hint="cs"/>
          <w:rtl/>
        </w:rPr>
        <w:t xml:space="preserve">המחקרים הצביעו על אתגרים משמעותיים העומדים </w:t>
      </w:r>
      <w:r w:rsidRPr="000C63F6">
        <w:rPr>
          <w:rFonts w:hint="cs"/>
          <w:rtl/>
        </w:rPr>
        <w:t xml:space="preserve">בפני מערכת החינוך במתן מענה הולם למכלול הצרכים, מבחינת הבטחת הנגישות לכל סוגי הסיוע, שיפור האפקטיביות במתן </w:t>
      </w:r>
      <w:r>
        <w:rPr>
          <w:rFonts w:hint="cs"/>
          <w:rtl/>
        </w:rPr>
        <w:t>ה</w:t>
      </w:r>
      <w:r w:rsidRPr="000C63F6">
        <w:rPr>
          <w:rFonts w:hint="cs"/>
          <w:rtl/>
        </w:rPr>
        <w:t>סי</w:t>
      </w:r>
      <w:r>
        <w:rPr>
          <w:rFonts w:hint="cs"/>
          <w:rtl/>
        </w:rPr>
        <w:t xml:space="preserve">וע, הרחבת ההכשרה, חיזוק מנגנוני התמיכה בצוותים החינוכיים ועוד. </w:t>
      </w:r>
    </w:p>
    <w:p w:rsidR="00D85923" w:rsidRDefault="00D85923" w:rsidP="00B00ADA">
      <w:pPr>
        <w:rPr>
          <w:rtl/>
        </w:rPr>
      </w:pPr>
      <w:r w:rsidRPr="00F22523">
        <w:rPr>
          <w:rFonts w:hint="cs"/>
          <w:rtl/>
        </w:rPr>
        <w:t xml:space="preserve">לצד זאת, נמצאה </w:t>
      </w:r>
      <w:r>
        <w:rPr>
          <w:rFonts w:hint="cs"/>
          <w:rtl/>
        </w:rPr>
        <w:t>עלי</w:t>
      </w:r>
      <w:r w:rsidR="00F22EA5">
        <w:rPr>
          <w:rFonts w:hint="cs"/>
          <w:rtl/>
        </w:rPr>
        <w:t>י</w:t>
      </w:r>
      <w:r>
        <w:rPr>
          <w:rFonts w:hint="cs"/>
          <w:rtl/>
        </w:rPr>
        <w:t>ה בין השנים בהערכת המחנכים כי ניתן מענה הולם לרוב התלמידים, בהיקף ובנגישות לסיוע לימודי ורגשי לתלמידים, ובחלק מדרכי פעולה הנחשבות רצויות בעבודה עם תלמידים מתקשים. למשל, נמצאה על</w:t>
      </w:r>
      <w:r w:rsidR="00F22EA5">
        <w:rPr>
          <w:rFonts w:hint="cs"/>
          <w:rtl/>
        </w:rPr>
        <w:t>י</w:t>
      </w:r>
      <w:r>
        <w:rPr>
          <w:rFonts w:hint="cs"/>
          <w:rtl/>
        </w:rPr>
        <w:t>יה ב</w:t>
      </w:r>
      <w:r w:rsidRPr="00F22523">
        <w:rPr>
          <w:rFonts w:hint="cs"/>
          <w:rtl/>
        </w:rPr>
        <w:t>אחוז המחנכים הנוקטים בפעולות שונות</w:t>
      </w:r>
      <w:r>
        <w:rPr>
          <w:rFonts w:hint="cs"/>
          <w:rtl/>
        </w:rPr>
        <w:t xml:space="preserve"> כדי להתייחס </w:t>
      </w:r>
      <w:r w:rsidRPr="00F22523">
        <w:rPr>
          <w:rFonts w:hint="cs"/>
          <w:rtl/>
        </w:rPr>
        <w:t>לצרכים הרגשיים והחברתיים של התלמידים וב</w:t>
      </w:r>
      <w:r>
        <w:rPr>
          <w:rFonts w:hint="cs"/>
          <w:rtl/>
        </w:rPr>
        <w:t>היקף עבודת הצוות</w:t>
      </w:r>
      <w:r w:rsidRPr="00F22523">
        <w:rPr>
          <w:rFonts w:hint="cs"/>
          <w:rtl/>
        </w:rPr>
        <w:t xml:space="preserve">.  </w:t>
      </w:r>
      <w:r>
        <w:rPr>
          <w:rFonts w:hint="cs"/>
          <w:rtl/>
        </w:rPr>
        <w:t xml:space="preserve">חיזוק הפעילות בתחומים אלה חל בעיקר בחינוך היסודי, גם בבתי ספר </w:t>
      </w:r>
      <w:r w:rsidR="00F22EA5">
        <w:rPr>
          <w:rFonts w:hint="cs"/>
          <w:rtl/>
        </w:rPr>
        <w:t>בחינוך העברי</w:t>
      </w:r>
      <w:r>
        <w:rPr>
          <w:rFonts w:hint="cs"/>
          <w:rtl/>
        </w:rPr>
        <w:t xml:space="preserve"> וגם בבתי ספר </w:t>
      </w:r>
      <w:r w:rsidR="00F22EA5">
        <w:rPr>
          <w:rFonts w:hint="cs"/>
          <w:rtl/>
        </w:rPr>
        <w:t>בחינוך הערבי</w:t>
      </w:r>
      <w:r>
        <w:rPr>
          <w:rFonts w:hint="cs"/>
          <w:rtl/>
        </w:rPr>
        <w:t xml:space="preserve">, ובחטיבות ביניים </w:t>
      </w:r>
      <w:r w:rsidR="00F22EA5">
        <w:rPr>
          <w:rFonts w:hint="cs"/>
          <w:rtl/>
        </w:rPr>
        <w:t>בחינוך הערבי</w:t>
      </w:r>
      <w:r>
        <w:rPr>
          <w:rFonts w:hint="cs"/>
          <w:rtl/>
        </w:rPr>
        <w:t xml:space="preserve">. </w:t>
      </w:r>
    </w:p>
    <w:p w:rsidR="00CC4A81" w:rsidRPr="00531679" w:rsidRDefault="00CC4A81" w:rsidP="00D85923">
      <w:pPr>
        <w:rPr>
          <w:b/>
          <w:bCs/>
        </w:rPr>
      </w:pPr>
    </w:p>
    <w:p w:rsidR="00C2162F" w:rsidRDefault="0064465B" w:rsidP="00B00ADA">
      <w:pPr>
        <w:pStyle w:val="1"/>
        <w:rPr>
          <w:rtl/>
        </w:rPr>
      </w:pPr>
      <w:r>
        <w:rPr>
          <w:rFonts w:hint="cs"/>
          <w:rtl/>
        </w:rPr>
        <w:t>נספח</w:t>
      </w:r>
      <w:r w:rsidR="00134788">
        <w:rPr>
          <w:rFonts w:hint="cs"/>
          <w:rtl/>
        </w:rPr>
        <w:t xml:space="preserve"> </w:t>
      </w:r>
      <w:r w:rsidR="00C24CD6">
        <w:rPr>
          <w:rFonts w:hint="cs"/>
          <w:rtl/>
        </w:rPr>
        <w:t>א</w:t>
      </w:r>
      <w:r w:rsidR="00C2162F">
        <w:rPr>
          <w:rFonts w:hint="cs"/>
          <w:rtl/>
        </w:rPr>
        <w:t xml:space="preserve">: בניית </w:t>
      </w:r>
      <w:r w:rsidR="00B35B51">
        <w:rPr>
          <w:rFonts w:hint="cs"/>
          <w:rtl/>
        </w:rPr>
        <w:t xml:space="preserve">מדדי </w:t>
      </w:r>
      <w:r w:rsidR="00C2162F">
        <w:rPr>
          <w:rFonts w:hint="cs"/>
          <w:rtl/>
        </w:rPr>
        <w:t>הניתוק</w:t>
      </w:r>
      <w:r w:rsidR="008E7D21">
        <w:rPr>
          <w:rFonts w:hint="cs"/>
          <w:rtl/>
        </w:rPr>
        <w:t xml:space="preserve"> </w:t>
      </w:r>
    </w:p>
    <w:p w:rsidR="002A7622" w:rsidRDefault="008E7D21" w:rsidP="00C2162F">
      <w:pPr>
        <w:pStyle w:val="2"/>
        <w:numPr>
          <w:ilvl w:val="0"/>
          <w:numId w:val="46"/>
        </w:numPr>
        <w:rPr>
          <w:rtl/>
        </w:rPr>
      </w:pPr>
      <w:r>
        <w:rPr>
          <w:rFonts w:hint="cs"/>
          <w:rtl/>
        </w:rPr>
        <w:t>על פי מחקר פיז"ה 2012</w:t>
      </w:r>
    </w:p>
    <w:p w:rsidR="008E7D21" w:rsidRDefault="0064465B" w:rsidP="0064465B">
      <w:pPr>
        <w:pStyle w:val="af"/>
        <w:ind w:left="0"/>
        <w:rPr>
          <w:rtl/>
        </w:rPr>
      </w:pPr>
      <w:r w:rsidRPr="008E7D21">
        <w:rPr>
          <w:b/>
          <w:bCs/>
          <w:rtl/>
        </w:rPr>
        <w:t>ניתוק התנהגותי</w:t>
      </w:r>
      <w:r>
        <w:rPr>
          <w:rtl/>
        </w:rPr>
        <w:t xml:space="preserve">: </w:t>
      </w:r>
    </w:p>
    <w:p w:rsidR="008E7D21" w:rsidRDefault="0064465B" w:rsidP="00B00ADA">
      <w:pPr>
        <w:pStyle w:val="af"/>
        <w:ind w:left="0"/>
        <w:rPr>
          <w:rtl/>
        </w:rPr>
      </w:pPr>
      <w:r>
        <w:rPr>
          <w:rtl/>
        </w:rPr>
        <w:t xml:space="preserve">כל תלמיד שדיווח על </w:t>
      </w:r>
      <w:r w:rsidR="00D434FF">
        <w:rPr>
          <w:rFonts w:hint="cs"/>
          <w:rtl/>
        </w:rPr>
        <w:t xml:space="preserve">לפחות </w:t>
      </w:r>
      <w:r>
        <w:rPr>
          <w:rtl/>
        </w:rPr>
        <w:t xml:space="preserve">אחד מהתנאים </w:t>
      </w:r>
      <w:r w:rsidR="00F22EA5">
        <w:rPr>
          <w:rFonts w:hint="cs"/>
          <w:rtl/>
        </w:rPr>
        <w:t>שלהלן:</w:t>
      </w:r>
      <w:r>
        <w:rPr>
          <w:rtl/>
        </w:rPr>
        <w:t xml:space="preserve"> </w:t>
      </w:r>
    </w:p>
    <w:p w:rsidR="008E7D21" w:rsidRDefault="0064465B" w:rsidP="008E7D21">
      <w:pPr>
        <w:pStyle w:val="af"/>
        <w:numPr>
          <w:ilvl w:val="0"/>
          <w:numId w:val="41"/>
        </w:numPr>
      </w:pPr>
      <w:r>
        <w:rPr>
          <w:rtl/>
        </w:rPr>
        <w:t xml:space="preserve">נעדר מבית הספר 3 פעמים ויותר בשבועיים האחרונים </w:t>
      </w:r>
    </w:p>
    <w:p w:rsidR="008E7D21" w:rsidRDefault="0064465B" w:rsidP="008E7D21">
      <w:pPr>
        <w:pStyle w:val="af"/>
        <w:numPr>
          <w:ilvl w:val="0"/>
          <w:numId w:val="41"/>
        </w:numPr>
      </w:pPr>
      <w:r>
        <w:rPr>
          <w:rtl/>
        </w:rPr>
        <w:t xml:space="preserve">או גם איחר 3 פעמים ויותר לבית הספר בשבועיים האחרונים וגם </w:t>
      </w:r>
      <w:r w:rsidR="008E7D21">
        <w:rPr>
          <w:rFonts w:hint="cs"/>
          <w:rtl/>
        </w:rPr>
        <w:t>"</w:t>
      </w:r>
      <w:r>
        <w:rPr>
          <w:rtl/>
        </w:rPr>
        <w:t>הבריז</w:t>
      </w:r>
      <w:r w:rsidR="008E7D21">
        <w:rPr>
          <w:rFonts w:hint="cs"/>
          <w:rtl/>
        </w:rPr>
        <w:t>"</w:t>
      </w:r>
      <w:r>
        <w:rPr>
          <w:rtl/>
        </w:rPr>
        <w:t xml:space="preserve"> משיעורים 3 פעמים ויותר בשבועיים האחרונים</w:t>
      </w:r>
    </w:p>
    <w:p w:rsidR="008E7D21" w:rsidRDefault="0064465B" w:rsidP="008E7D21">
      <w:pPr>
        <w:pStyle w:val="af"/>
        <w:numPr>
          <w:ilvl w:val="0"/>
          <w:numId w:val="41"/>
        </w:numPr>
      </w:pPr>
      <w:r>
        <w:rPr>
          <w:rtl/>
        </w:rPr>
        <w:t xml:space="preserve">או גם נעדר, גם איחר וגם </w:t>
      </w:r>
      <w:r w:rsidR="008E7D21">
        <w:rPr>
          <w:rFonts w:hint="cs"/>
          <w:rtl/>
        </w:rPr>
        <w:t>"</w:t>
      </w:r>
      <w:r>
        <w:rPr>
          <w:rtl/>
        </w:rPr>
        <w:t>הבריז</w:t>
      </w:r>
      <w:r w:rsidR="008E7D21">
        <w:rPr>
          <w:rFonts w:hint="cs"/>
          <w:rtl/>
        </w:rPr>
        <w:t>"</w:t>
      </w:r>
      <w:r>
        <w:rPr>
          <w:rtl/>
        </w:rPr>
        <w:t xml:space="preserve"> לפחות פעם אחת בשבועיים האחרונים. </w:t>
      </w:r>
    </w:p>
    <w:p w:rsidR="0064465B" w:rsidRDefault="0064465B" w:rsidP="00B00ADA">
      <w:pPr>
        <w:rPr>
          <w:rtl/>
        </w:rPr>
      </w:pPr>
      <w:r>
        <w:rPr>
          <w:rtl/>
        </w:rPr>
        <w:t xml:space="preserve">בסקר לא נכללו שאלות המתייחסות לממדים אחרים של התנהגויות התלמידים, </w:t>
      </w:r>
      <w:r w:rsidR="00F22EA5">
        <w:rPr>
          <w:rtl/>
        </w:rPr>
        <w:t>ומ</w:t>
      </w:r>
      <w:r w:rsidR="00F22EA5">
        <w:rPr>
          <w:rFonts w:hint="cs"/>
          <w:rtl/>
        </w:rPr>
        <w:t>מ</w:t>
      </w:r>
      <w:r w:rsidR="00F22EA5">
        <w:rPr>
          <w:rtl/>
        </w:rPr>
        <w:t xml:space="preserve">ד </w:t>
      </w:r>
      <w:r>
        <w:rPr>
          <w:rtl/>
        </w:rPr>
        <w:t xml:space="preserve">ההיעדרויות נבחר כמייצג את ההיבט ההתנהגותי. מחברי המאמר מציינים כי היה קושי לכלול בסקר בינלאומי שאלות אחידות נוספות בתחום זה, בשל השונות התרבותית בין המדינות השונות. </w:t>
      </w:r>
    </w:p>
    <w:p w:rsidR="008E7D21" w:rsidRDefault="0064465B" w:rsidP="0064465B">
      <w:pPr>
        <w:pStyle w:val="af"/>
        <w:ind w:left="0"/>
        <w:rPr>
          <w:rtl/>
        </w:rPr>
      </w:pPr>
      <w:r w:rsidRPr="008E7D21">
        <w:rPr>
          <w:b/>
          <w:bCs/>
          <w:rtl/>
        </w:rPr>
        <w:t>ניתוק רגשי</w:t>
      </w:r>
      <w:r>
        <w:rPr>
          <w:rtl/>
        </w:rPr>
        <w:t xml:space="preserve">: </w:t>
      </w:r>
    </w:p>
    <w:p w:rsidR="008E7D21" w:rsidRDefault="0064465B" w:rsidP="00B00ADA">
      <w:pPr>
        <w:pStyle w:val="af"/>
        <w:spacing w:after="0"/>
        <w:ind w:left="0"/>
        <w:rPr>
          <w:rtl/>
        </w:rPr>
      </w:pPr>
      <w:r>
        <w:rPr>
          <w:rtl/>
        </w:rPr>
        <w:t xml:space="preserve">תלמיד שהציון הממוצע שלו פחות מ-3 בתשעת הפריטים </w:t>
      </w:r>
      <w:r w:rsidR="00F22EA5">
        <w:rPr>
          <w:rFonts w:hint="cs"/>
          <w:rtl/>
        </w:rPr>
        <w:t>שלהלן</w:t>
      </w:r>
      <w:r>
        <w:rPr>
          <w:rtl/>
        </w:rPr>
        <w:t xml:space="preserve">: </w:t>
      </w:r>
    </w:p>
    <w:p w:rsidR="0064465B" w:rsidRDefault="0064465B" w:rsidP="00B00ADA">
      <w:pPr>
        <w:rPr>
          <w:rtl/>
        </w:rPr>
      </w:pPr>
      <w:r>
        <w:rPr>
          <w:rtl/>
        </w:rPr>
        <w:t>אני מרגיש לא שייך (או כאילו לא משתפים אותי) בבית הספר, אני מוצא חברים בקלות, אני מרגיש שייך לבית הספר, אני מרגיש לא נוח ולא שייך לבית הספר, נראה שהתלמידים האחרים אוהבים אותי, אני מרגיש בודד בבית הספר, טוב לי בבית הספר, הכל מעולה בבית הספר, אני מרוצה מבית הספר. (התשובות נעות בין 1 ל-4, כש-4 מייצג את התשובה החיובית ביותר. בהיגדים שליליים כיוון הסולם הפוך).</w:t>
      </w:r>
    </w:p>
    <w:p w:rsidR="008E7D21" w:rsidRDefault="0064465B" w:rsidP="0064465B">
      <w:pPr>
        <w:pStyle w:val="af"/>
        <w:ind w:left="0"/>
        <w:rPr>
          <w:rtl/>
        </w:rPr>
      </w:pPr>
      <w:r w:rsidRPr="008E7D21">
        <w:rPr>
          <w:b/>
          <w:bCs/>
          <w:rtl/>
        </w:rPr>
        <w:t>ניתוק קוגניטיבי</w:t>
      </w:r>
      <w:r>
        <w:rPr>
          <w:rtl/>
        </w:rPr>
        <w:t xml:space="preserve">: </w:t>
      </w:r>
    </w:p>
    <w:p w:rsidR="0064465B" w:rsidRDefault="0064465B" w:rsidP="00B00ADA">
      <w:pPr>
        <w:pStyle w:val="af"/>
        <w:ind w:left="0"/>
        <w:rPr>
          <w:rtl/>
        </w:rPr>
      </w:pPr>
      <w:r>
        <w:rPr>
          <w:rtl/>
        </w:rPr>
        <w:t xml:space="preserve">תלמיד שהציון הממוצע שלו פחות מ-3 בשמונת הפריטים </w:t>
      </w:r>
      <w:r w:rsidR="00F22EA5">
        <w:rPr>
          <w:rFonts w:hint="cs"/>
          <w:rtl/>
        </w:rPr>
        <w:t>שלהלן</w:t>
      </w:r>
      <w:r>
        <w:rPr>
          <w:rtl/>
        </w:rPr>
        <w:t xml:space="preserve">: בית הספר לא עשה מספיק כדי להכין אותי לחיים שיהיו לי כאדם בוגר כשאסיים את בית הספר, בית הספר היה בזבוז זמן, בית הספר העניק לי ביטחון עצמי כדי לקבל החלטות, בית הספר לימד אותי דברים שיכולים </w:t>
      </w:r>
      <w:r w:rsidR="00F22EA5">
        <w:rPr>
          <w:rFonts w:hint="cs"/>
          <w:rtl/>
        </w:rPr>
        <w:t>ל</w:t>
      </w:r>
      <w:r>
        <w:rPr>
          <w:rtl/>
        </w:rPr>
        <w:t>הועיל לי בעבודה בעתיד, אם אשקיע הרבה מאמץ בלימודים בבית הספר זה יעזור לי להשיג עבודה טובה, אם אשקיע הרבה מאמץ בלימודים בבית הספר זה יעזור לי להתקבל לאוניברסיטה או למכללה טובה, אני נהנה לקבל ציונים טובים, חשוב להשקיע הרבה מאמץ בלימודים בבית הספר (התשובות נעות בין 1 ל-4, כש-4 מייצג את התשובה החיובית ביותר. בהיגדים שליליים כיוון הסולם הפוך).</w:t>
      </w:r>
    </w:p>
    <w:p w:rsidR="00C2162F" w:rsidRPr="00C2162F" w:rsidRDefault="00C2162F" w:rsidP="00C2162F">
      <w:pPr>
        <w:pStyle w:val="2"/>
        <w:numPr>
          <w:ilvl w:val="0"/>
          <w:numId w:val="46"/>
        </w:numPr>
        <w:rPr>
          <w:rtl/>
        </w:rPr>
      </w:pPr>
      <w:r>
        <w:rPr>
          <w:rFonts w:hint="cs"/>
          <w:rtl/>
        </w:rPr>
        <w:t xml:space="preserve">על פי סקר </w:t>
      </w:r>
      <w:r>
        <w:t xml:space="preserve"> HBSC </w:t>
      </w:r>
      <w:r>
        <w:rPr>
          <w:rFonts w:hint="cs"/>
          <w:rtl/>
        </w:rPr>
        <w:t xml:space="preserve">2010/11 </w:t>
      </w:r>
    </w:p>
    <w:p w:rsidR="00C2162F" w:rsidRDefault="00C2162F" w:rsidP="00B00ADA">
      <w:pPr>
        <w:spacing w:after="0"/>
        <w:contextualSpacing/>
        <w:rPr>
          <w:b/>
          <w:bCs/>
          <w:rtl/>
        </w:rPr>
      </w:pPr>
      <w:r>
        <w:rPr>
          <w:rFonts w:hint="cs"/>
          <w:b/>
          <w:bCs/>
          <w:rtl/>
        </w:rPr>
        <w:t>ניתוק התנהגותי:</w:t>
      </w:r>
    </w:p>
    <w:p w:rsidR="00C2162F" w:rsidRDefault="00C2162F" w:rsidP="00B00ADA">
      <w:pPr>
        <w:pStyle w:val="af"/>
        <w:ind w:left="0"/>
        <w:rPr>
          <w:rtl/>
        </w:rPr>
      </w:pPr>
      <w:r>
        <w:rPr>
          <w:rtl/>
        </w:rPr>
        <w:t xml:space="preserve">כל תלמיד שדיווח על </w:t>
      </w:r>
      <w:r w:rsidR="00D434FF">
        <w:rPr>
          <w:rFonts w:hint="cs"/>
          <w:rtl/>
        </w:rPr>
        <w:t xml:space="preserve">לפחות </w:t>
      </w:r>
      <w:r>
        <w:rPr>
          <w:rtl/>
        </w:rPr>
        <w:t xml:space="preserve">אחד מהתנאים </w:t>
      </w:r>
      <w:r w:rsidR="00F22EA5">
        <w:rPr>
          <w:rFonts w:hint="cs"/>
          <w:rtl/>
        </w:rPr>
        <w:t>שלהלן:</w:t>
      </w:r>
      <w:r>
        <w:rPr>
          <w:rtl/>
        </w:rPr>
        <w:t xml:space="preserve"> </w:t>
      </w:r>
    </w:p>
    <w:p w:rsidR="00C2162F" w:rsidRDefault="00C2162F" w:rsidP="00C2162F">
      <w:pPr>
        <w:pStyle w:val="af"/>
        <w:numPr>
          <w:ilvl w:val="0"/>
          <w:numId w:val="41"/>
        </w:numPr>
      </w:pPr>
      <w:r>
        <w:rPr>
          <w:rtl/>
        </w:rPr>
        <w:t xml:space="preserve">נעדר מבית הספר </w:t>
      </w:r>
      <w:r>
        <w:rPr>
          <w:rFonts w:hint="cs"/>
          <w:rtl/>
        </w:rPr>
        <w:t>6</w:t>
      </w:r>
      <w:r>
        <w:rPr>
          <w:rtl/>
        </w:rPr>
        <w:t xml:space="preserve"> </w:t>
      </w:r>
      <w:r>
        <w:rPr>
          <w:rFonts w:hint="cs"/>
          <w:rtl/>
        </w:rPr>
        <w:t xml:space="preserve">ימים שלמים </w:t>
      </w:r>
      <w:r>
        <w:rPr>
          <w:rtl/>
        </w:rPr>
        <w:t xml:space="preserve">ויותר </w:t>
      </w:r>
      <w:r>
        <w:rPr>
          <w:rFonts w:hint="cs"/>
          <w:rtl/>
        </w:rPr>
        <w:t>בחודש האחרון</w:t>
      </w:r>
      <w:r>
        <w:rPr>
          <w:rtl/>
        </w:rPr>
        <w:t xml:space="preserve"> </w:t>
      </w:r>
    </w:p>
    <w:p w:rsidR="00D434FF" w:rsidRDefault="00C2162F" w:rsidP="00C2162F">
      <w:pPr>
        <w:pStyle w:val="af"/>
        <w:numPr>
          <w:ilvl w:val="0"/>
          <w:numId w:val="41"/>
        </w:numPr>
      </w:pPr>
      <w:r>
        <w:rPr>
          <w:rtl/>
        </w:rPr>
        <w:t xml:space="preserve">או </w:t>
      </w:r>
      <w:r>
        <w:rPr>
          <w:rFonts w:hint="cs"/>
          <w:rtl/>
        </w:rPr>
        <w:t>"</w:t>
      </w:r>
      <w:r>
        <w:rPr>
          <w:rtl/>
        </w:rPr>
        <w:t>הבריז</w:t>
      </w:r>
      <w:r>
        <w:rPr>
          <w:rFonts w:hint="cs"/>
          <w:rtl/>
        </w:rPr>
        <w:t>"</w:t>
      </w:r>
      <w:r>
        <w:rPr>
          <w:rtl/>
        </w:rPr>
        <w:t xml:space="preserve"> משיעורים 3 פעמים ויותר ב</w:t>
      </w:r>
      <w:r>
        <w:rPr>
          <w:rFonts w:hint="cs"/>
          <w:rtl/>
        </w:rPr>
        <w:t>שנה האחרונה</w:t>
      </w:r>
      <w:r w:rsidR="00D434FF">
        <w:rPr>
          <w:rFonts w:hint="cs"/>
          <w:rtl/>
        </w:rPr>
        <w:t xml:space="preserve"> ו</w:t>
      </w:r>
      <w:r>
        <w:rPr>
          <w:rtl/>
        </w:rPr>
        <w:t>גם נעדר</w:t>
      </w:r>
      <w:r w:rsidR="00D434FF">
        <w:rPr>
          <w:rFonts w:hint="cs"/>
          <w:rtl/>
        </w:rPr>
        <w:t xml:space="preserve"> מבית הספר לפחות 3 ימים שלמים בחודש האחרון.</w:t>
      </w:r>
    </w:p>
    <w:p w:rsidR="00C2162F" w:rsidRDefault="00C2162F" w:rsidP="00D434FF">
      <w:pPr>
        <w:rPr>
          <w:rtl/>
        </w:rPr>
      </w:pPr>
      <w:r>
        <w:rPr>
          <w:rtl/>
        </w:rPr>
        <w:t xml:space="preserve">בסקר לא נכללו שאלות המתייחסות לממדים אחרים של התנהגויות התלמידים, ומדד ההיעדרויות נבחר כמייצג את ההיבט ההתנהגותי. </w:t>
      </w:r>
    </w:p>
    <w:p w:rsidR="00C2162F" w:rsidRDefault="00D434FF" w:rsidP="00C2162F">
      <w:pPr>
        <w:contextualSpacing/>
        <w:rPr>
          <w:b/>
          <w:bCs/>
          <w:rtl/>
        </w:rPr>
      </w:pPr>
      <w:r>
        <w:rPr>
          <w:rFonts w:hint="cs"/>
          <w:b/>
          <w:bCs/>
          <w:rtl/>
        </w:rPr>
        <w:t>ניתוק רגשי:</w:t>
      </w:r>
    </w:p>
    <w:p w:rsidR="00D434FF" w:rsidRDefault="00D434FF" w:rsidP="00B00ADA">
      <w:pPr>
        <w:spacing w:after="0"/>
        <w:contextualSpacing/>
        <w:rPr>
          <w:rtl/>
        </w:rPr>
      </w:pPr>
      <w:r>
        <w:rPr>
          <w:rFonts w:hint="cs"/>
          <w:rtl/>
        </w:rPr>
        <w:t xml:space="preserve">כל תלמיד שדיווח על לפחות אחד מהתנאים </w:t>
      </w:r>
      <w:r w:rsidR="00F22EA5">
        <w:rPr>
          <w:rFonts w:hint="cs"/>
          <w:rtl/>
        </w:rPr>
        <w:t>שלהלן:</w:t>
      </w:r>
    </w:p>
    <w:p w:rsidR="00D434FF" w:rsidRDefault="00C2162F" w:rsidP="00D434FF">
      <w:pPr>
        <w:pStyle w:val="af"/>
        <w:numPr>
          <w:ilvl w:val="0"/>
          <w:numId w:val="48"/>
        </w:numPr>
      </w:pPr>
      <w:r w:rsidRPr="00775B09">
        <w:rPr>
          <w:rFonts w:hint="cs"/>
          <w:rtl/>
        </w:rPr>
        <w:t xml:space="preserve">לא אוהב כלל את ביה"ס </w:t>
      </w:r>
    </w:p>
    <w:p w:rsidR="00D434FF" w:rsidRDefault="00C2162F" w:rsidP="00D434FF">
      <w:pPr>
        <w:pStyle w:val="af"/>
        <w:numPr>
          <w:ilvl w:val="0"/>
          <w:numId w:val="48"/>
        </w:numPr>
      </w:pPr>
      <w:r w:rsidRPr="00775B09">
        <w:rPr>
          <w:rFonts w:hint="cs"/>
          <w:rtl/>
        </w:rPr>
        <w:t xml:space="preserve">לא מסכים בהחלט/לא מסכים עם היגד "אני מרגיש שייך לביה"ס" </w:t>
      </w:r>
    </w:p>
    <w:p w:rsidR="00D434FF" w:rsidRDefault="00C2162F" w:rsidP="00D434FF">
      <w:pPr>
        <w:pStyle w:val="af"/>
        <w:numPr>
          <w:ilvl w:val="0"/>
          <w:numId w:val="48"/>
        </w:numPr>
      </w:pPr>
      <w:r w:rsidRPr="00775B09">
        <w:rPr>
          <w:rFonts w:hint="cs"/>
          <w:rtl/>
        </w:rPr>
        <w:t xml:space="preserve">חש דחייה חברתית לפחות פעם בשבוע או יותר </w:t>
      </w:r>
    </w:p>
    <w:p w:rsidR="00C2162F" w:rsidRPr="001C390F" w:rsidRDefault="00C2162F" w:rsidP="00D434FF">
      <w:pPr>
        <w:pStyle w:val="af"/>
        <w:numPr>
          <w:ilvl w:val="0"/>
          <w:numId w:val="48"/>
        </w:numPr>
        <w:rPr>
          <w:rtl/>
        </w:rPr>
      </w:pPr>
      <w:r w:rsidRPr="00775B09">
        <w:rPr>
          <w:rFonts w:hint="cs"/>
          <w:rtl/>
        </w:rPr>
        <w:t>לא מסכים בהחלט/לא מסכים עם היגד "תלמידים אחרים מקבלים אותי כפי שאני"</w:t>
      </w:r>
      <w:r>
        <w:rPr>
          <w:rFonts w:hint="cs"/>
          <w:rtl/>
        </w:rPr>
        <w:t xml:space="preserve"> </w:t>
      </w:r>
    </w:p>
    <w:p w:rsidR="00C2162F" w:rsidRDefault="00C2162F" w:rsidP="0064465B">
      <w:pPr>
        <w:pStyle w:val="af"/>
        <w:ind w:left="0"/>
        <w:rPr>
          <w:rtl/>
        </w:rPr>
      </w:pPr>
    </w:p>
    <w:p w:rsidR="00780440" w:rsidRDefault="00780440" w:rsidP="0064465B">
      <w:pPr>
        <w:pStyle w:val="af"/>
        <w:ind w:left="0"/>
        <w:rPr>
          <w:rtl/>
        </w:rPr>
      </w:pPr>
    </w:p>
    <w:p w:rsidR="00134788" w:rsidRDefault="00134788">
      <w:pPr>
        <w:bidi w:val="0"/>
        <w:spacing w:after="200" w:line="276" w:lineRule="auto"/>
        <w:jc w:val="left"/>
        <w:rPr>
          <w:rFonts w:asciiTheme="minorHAnsi" w:hAnsiTheme="minorHAnsi" w:cs="Arial"/>
          <w:b/>
          <w:bCs/>
          <w:kern w:val="32"/>
          <w:sz w:val="32"/>
          <w:szCs w:val="34"/>
        </w:rPr>
      </w:pPr>
      <w:r>
        <w:rPr>
          <w:rFonts w:asciiTheme="minorHAnsi" w:hAnsiTheme="minorHAnsi" w:cs="Arial"/>
          <w:b/>
          <w:bCs/>
          <w:kern w:val="32"/>
          <w:sz w:val="32"/>
          <w:szCs w:val="34"/>
        </w:rPr>
        <w:br w:type="page"/>
      </w:r>
    </w:p>
    <w:p w:rsidR="00D434FF" w:rsidRDefault="00134788" w:rsidP="00B00ADA">
      <w:pPr>
        <w:pStyle w:val="1"/>
        <w:rPr>
          <w:rtl/>
        </w:rPr>
      </w:pPr>
      <w:r>
        <w:rPr>
          <w:rFonts w:hint="cs"/>
          <w:rtl/>
        </w:rPr>
        <w:t xml:space="preserve">נספח </w:t>
      </w:r>
      <w:r w:rsidR="00C24CD6">
        <w:rPr>
          <w:rFonts w:hint="cs"/>
          <w:rtl/>
        </w:rPr>
        <w:t>ב</w:t>
      </w:r>
      <w:r>
        <w:rPr>
          <w:rFonts w:hint="cs"/>
          <w:rtl/>
        </w:rPr>
        <w:t>: ממדי הניתוק בישראל ובמדינות ה</w:t>
      </w:r>
      <w:r w:rsidR="00B35B51">
        <w:rPr>
          <w:rFonts w:hint="cs"/>
          <w:rtl/>
        </w:rPr>
        <w:t>-</w:t>
      </w:r>
      <w:r>
        <w:t>OECD</w:t>
      </w:r>
    </w:p>
    <w:p w:rsidR="00134788" w:rsidRDefault="00F44100" w:rsidP="00B00ADA">
      <w:pPr>
        <w:pStyle w:val="tableheading"/>
        <w:rPr>
          <w:rtl/>
        </w:rPr>
      </w:pPr>
      <w:r>
        <w:rPr>
          <w:noProof/>
          <w:lang w:eastAsia="en-US"/>
        </w:rPr>
        <mc:AlternateContent>
          <mc:Choice Requires="wps">
            <w:drawing>
              <wp:anchor distT="0" distB="0" distL="114300" distR="114300" simplePos="0" relativeHeight="251680768" behindDoc="0" locked="0" layoutInCell="1" allowOverlap="1" wp14:anchorId="72A96953" wp14:editId="683A8219">
                <wp:simplePos x="0" y="0"/>
                <wp:positionH relativeFrom="column">
                  <wp:posOffset>3467100</wp:posOffset>
                </wp:positionH>
                <wp:positionV relativeFrom="paragraph">
                  <wp:posOffset>1419225</wp:posOffset>
                </wp:positionV>
                <wp:extent cx="0" cy="266700"/>
                <wp:effectExtent l="76200" t="0" r="57150" b="57150"/>
                <wp:wrapNone/>
                <wp:docPr id="23" name="Straight Arrow Connector 23"/>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type w14:anchorId="7B25FB47" id="_x0000_t32" coordsize="21600,21600" o:spt="32" o:oned="t" path="m,l21600,21600e" filled="f">
                <v:path arrowok="t" fillok="f" o:connecttype="none"/>
                <o:lock v:ext="edit" shapetype="t"/>
              </v:shapetype>
              <v:shape id="Straight Arrow Connector 23" o:spid="_x0000_s1026" type="#_x0000_t32" style="position:absolute;margin-left:273pt;margin-top:111.75pt;width:0;height:2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" strokecolor="black [3040]">
                <v:stroke endarrow="block"/>
              </v:shape>
            </w:pict>
          </mc:Fallback>
        </mc:AlternateContent>
      </w:r>
      <w:r>
        <w:rPr>
          <w:noProof/>
          <w:lang w:eastAsia="en-US"/>
        </w:rPr>
        <mc:AlternateContent>
          <mc:Choice Requires="wps">
            <w:drawing>
              <wp:anchor distT="0" distB="0" distL="114300" distR="114300" simplePos="0" relativeHeight="251678720" behindDoc="0" locked="0" layoutInCell="1" allowOverlap="1">
                <wp:simplePos x="0" y="0"/>
                <wp:positionH relativeFrom="column">
                  <wp:posOffset>2276475</wp:posOffset>
                </wp:positionH>
                <wp:positionV relativeFrom="paragraph">
                  <wp:posOffset>1475740</wp:posOffset>
                </wp:positionV>
                <wp:extent cx="0" cy="266700"/>
                <wp:effectExtent l="76200" t="0" r="57150" b="57150"/>
                <wp:wrapNone/>
                <wp:docPr id="22" name="Straight Arrow Connector 22"/>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4BE1B507" id="Straight Arrow Connector 22" o:spid="_x0000_s1026" type="#_x0000_t32" style="position:absolute;margin-left:179.25pt;margin-top:116.2pt;width:0;height:2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" strokecolor="black [3040]">
                <v:stroke endarrow="block"/>
              </v:shape>
            </w:pict>
          </mc:Fallback>
        </mc:AlternateContent>
      </w:r>
      <w:r w:rsidR="005060E8" w:rsidRPr="00B00ADA">
        <w:rPr>
          <w:noProof/>
          <w:lang w:eastAsia="en-US"/>
        </w:rPr>
        <w:drawing>
          <wp:anchor distT="0" distB="0" distL="114300" distR="114300" simplePos="0" relativeHeight="251674624" behindDoc="1" locked="0" layoutInCell="1" allowOverlap="1" wp14:anchorId="14387AC3" wp14:editId="55CA5505">
            <wp:simplePos x="0" y="0"/>
            <wp:positionH relativeFrom="column">
              <wp:posOffset>-504825</wp:posOffset>
            </wp:positionH>
            <wp:positionV relativeFrom="paragraph">
              <wp:posOffset>342265</wp:posOffset>
            </wp:positionV>
            <wp:extent cx="6438900" cy="2666365"/>
            <wp:effectExtent l="0" t="0" r="0" b="635"/>
            <wp:wrapTight wrapText="bothSides">
              <wp:wrapPolygon edited="0">
                <wp:start x="0" y="0"/>
                <wp:lineTo x="0" y="21451"/>
                <wp:lineTo x="21536" y="21451"/>
                <wp:lineTo x="21536"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C24CD6">
        <w:rPr>
          <w:rFonts w:hint="cs"/>
          <w:rtl/>
        </w:rPr>
        <w:t xml:space="preserve">לוח ב-1: </w:t>
      </w:r>
      <w:r w:rsidR="00C24CD6" w:rsidRPr="00C24CD6">
        <w:rPr>
          <w:rtl/>
        </w:rPr>
        <w:t>אחוז המדווחים על 2 או 3 ממדי ניתוק: ישראל ומדינות ה-</w:t>
      </w:r>
      <w:r w:rsidR="00C24CD6" w:rsidRPr="00C24CD6">
        <w:t>OECD</w:t>
      </w:r>
      <w:r w:rsidR="00C24CD6" w:rsidRPr="00C24CD6">
        <w:rPr>
          <w:rtl/>
        </w:rPr>
        <w:t>,</w:t>
      </w:r>
      <w:r w:rsidR="00C24CD6">
        <w:rPr>
          <w:rFonts w:hint="cs"/>
          <w:rtl/>
        </w:rPr>
        <w:t xml:space="preserve"> 2012</w:t>
      </w:r>
    </w:p>
    <w:p w:rsidR="00C24CD6" w:rsidRDefault="00C24CD6" w:rsidP="00B00ADA">
      <w:pPr>
        <w:spacing w:after="0"/>
        <w:rPr>
          <w:rtl/>
        </w:rPr>
      </w:pPr>
    </w:p>
    <w:p w:rsidR="005060E8" w:rsidRPr="00B00ADA" w:rsidRDefault="00F44100" w:rsidP="00B00ADA">
      <w:pPr>
        <w:pStyle w:val="tableheading"/>
        <w:rPr>
          <w:rtl/>
        </w:rPr>
      </w:pPr>
      <w:r>
        <w:rPr>
          <w:noProof/>
          <w:lang w:eastAsia="en-US"/>
        </w:rPr>
        <mc:AlternateContent>
          <mc:Choice Requires="wps">
            <w:drawing>
              <wp:anchor distT="0" distB="0" distL="114300" distR="114300" simplePos="0" relativeHeight="251682816" behindDoc="0" locked="0" layoutInCell="1" allowOverlap="1">
                <wp:simplePos x="0" y="0"/>
                <wp:positionH relativeFrom="column">
                  <wp:posOffset>5372100</wp:posOffset>
                </wp:positionH>
                <wp:positionV relativeFrom="paragraph">
                  <wp:posOffset>1438275</wp:posOffset>
                </wp:positionV>
                <wp:extent cx="0" cy="266700"/>
                <wp:effectExtent l="76200" t="0" r="57150" b="57150"/>
                <wp:wrapNone/>
                <wp:docPr id="26" name="Straight Arrow Connector 26"/>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0D2615BD" id="Straight Arrow Connector 26" o:spid="_x0000_s1026" type="#_x0000_t32" style="position:absolute;margin-left:423pt;margin-top:113.25pt;width:0;height:21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" strokecolor="black [3040]">
                <v:stroke endarrow="block"/>
              </v:shape>
            </w:pict>
          </mc:Fallback>
        </mc:AlternateContent>
      </w:r>
      <w:r>
        <w:rPr>
          <w:noProof/>
          <w:lang w:eastAsia="en-US"/>
        </w:rPr>
        <mc:AlternateContent>
          <mc:Choice Requires="wps">
            <w:drawing>
              <wp:anchor distT="0" distB="0" distL="114300" distR="114300" simplePos="0" relativeHeight="251681792" behindDoc="0" locked="0" layoutInCell="1" allowOverlap="1">
                <wp:simplePos x="0" y="0"/>
                <wp:positionH relativeFrom="column">
                  <wp:posOffset>3638550</wp:posOffset>
                </wp:positionH>
                <wp:positionV relativeFrom="paragraph">
                  <wp:posOffset>1485900</wp:posOffset>
                </wp:positionV>
                <wp:extent cx="0" cy="495300"/>
                <wp:effectExtent l="76200" t="0" r="57150" b="57150"/>
                <wp:wrapNone/>
                <wp:docPr id="24" name="Straight Arrow Connector 24"/>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05561A59" id="Straight Arrow Connector 24" o:spid="_x0000_s1026" type="#_x0000_t32" style="position:absolute;margin-left:286.5pt;margin-top:117pt;width:0;height:3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Vde0wEAAPUDAAAOAAAAZHJzL2Uyb0RvYy54bWysU9uO0zAQfUfiHyy/06RlQ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" strokecolor="black [3040]">
                <v:stroke endarrow="block"/>
              </v:shape>
            </w:pict>
          </mc:Fallback>
        </mc:AlternateContent>
      </w:r>
      <w:r w:rsidR="005060E8" w:rsidRPr="00B00ADA">
        <w:rPr>
          <w:noProof/>
          <w:lang w:eastAsia="en-US"/>
        </w:rPr>
        <w:drawing>
          <wp:anchor distT="0" distB="0" distL="114300" distR="114300" simplePos="0" relativeHeight="251675648" behindDoc="1" locked="0" layoutInCell="1" allowOverlap="1" wp14:anchorId="13E5A8A0" wp14:editId="6C82AEA1">
            <wp:simplePos x="0" y="0"/>
            <wp:positionH relativeFrom="column">
              <wp:posOffset>-505460</wp:posOffset>
            </wp:positionH>
            <wp:positionV relativeFrom="paragraph">
              <wp:posOffset>293370</wp:posOffset>
            </wp:positionV>
            <wp:extent cx="6444000" cy="2666365"/>
            <wp:effectExtent l="0" t="0" r="13970" b="635"/>
            <wp:wrapTight wrapText="bothSides">
              <wp:wrapPolygon edited="0">
                <wp:start x="0" y="0"/>
                <wp:lineTo x="0" y="21451"/>
                <wp:lineTo x="21583" y="21451"/>
                <wp:lineTo x="21583"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5060E8">
        <w:rPr>
          <w:rFonts w:hint="cs"/>
          <w:rtl/>
        </w:rPr>
        <w:t xml:space="preserve">לוח ב-2: </w:t>
      </w:r>
      <w:r w:rsidR="005060E8" w:rsidRPr="005060E8">
        <w:rPr>
          <w:rtl/>
        </w:rPr>
        <w:t>אחוז המדווחים על ניתוק התנהגותי: ישראל ומדינות ה-</w:t>
      </w:r>
      <w:r w:rsidR="005060E8">
        <w:rPr>
          <w:rFonts w:hint="cs"/>
        </w:rPr>
        <w:t>OECD</w:t>
      </w:r>
      <w:r w:rsidR="005060E8">
        <w:rPr>
          <w:rFonts w:hint="cs"/>
          <w:rtl/>
        </w:rPr>
        <w:t>, 2012</w:t>
      </w:r>
      <w:r w:rsidR="005060E8" w:rsidRPr="005060E8">
        <w:t xml:space="preserve"> </w:t>
      </w:r>
    </w:p>
    <w:p w:rsidR="005060E8" w:rsidRPr="00C24CD6" w:rsidRDefault="005060E8" w:rsidP="005060E8">
      <w:pPr>
        <w:rPr>
          <w:rtl/>
        </w:rPr>
      </w:pPr>
    </w:p>
    <w:p w:rsidR="00134788" w:rsidRDefault="00134788" w:rsidP="00134788">
      <w:pPr>
        <w:bidi w:val="0"/>
        <w:spacing w:after="200" w:line="276" w:lineRule="auto"/>
        <w:jc w:val="left"/>
        <w:rPr>
          <w:rFonts w:ascii="Arial Bold" w:hAnsi="Arial Bold" w:cs="Arial"/>
          <w:b/>
          <w:bCs/>
          <w:kern w:val="32"/>
          <w:sz w:val="32"/>
          <w:szCs w:val="34"/>
          <w:rtl/>
        </w:rPr>
      </w:pPr>
      <w:r>
        <w:rPr>
          <w:rtl/>
        </w:rPr>
        <w:br w:type="page"/>
      </w:r>
    </w:p>
    <w:p w:rsidR="005060E8" w:rsidRDefault="005060E8" w:rsidP="00B00ADA">
      <w:pPr>
        <w:pStyle w:val="tableheading"/>
        <w:spacing w:after="0"/>
        <w:rPr>
          <w:rtl/>
        </w:rPr>
      </w:pPr>
      <w:r w:rsidRPr="00B00ADA">
        <w:rPr>
          <w:noProof/>
          <w:lang w:eastAsia="en-US"/>
        </w:rPr>
        <w:drawing>
          <wp:anchor distT="0" distB="0" distL="114300" distR="114300" simplePos="0" relativeHeight="251676672" behindDoc="1" locked="0" layoutInCell="1" allowOverlap="1" wp14:anchorId="45D2D4B2" wp14:editId="443693F2">
            <wp:simplePos x="0" y="0"/>
            <wp:positionH relativeFrom="column">
              <wp:posOffset>-514350</wp:posOffset>
            </wp:positionH>
            <wp:positionV relativeFrom="paragraph">
              <wp:posOffset>400050</wp:posOffset>
            </wp:positionV>
            <wp:extent cx="6444000" cy="2585085"/>
            <wp:effectExtent l="0" t="0" r="13970" b="5715"/>
            <wp:wrapTight wrapText="bothSides">
              <wp:wrapPolygon edited="0">
                <wp:start x="0" y="0"/>
                <wp:lineTo x="0" y="21489"/>
                <wp:lineTo x="21583" y="21489"/>
                <wp:lineTo x="21583" y="0"/>
                <wp:lineTo x="0" y="0"/>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Pr>
          <w:rFonts w:hint="cs"/>
          <w:rtl/>
        </w:rPr>
        <w:t xml:space="preserve">לוח ב-3: </w:t>
      </w:r>
      <w:r w:rsidRPr="005060E8">
        <w:rPr>
          <w:rtl/>
        </w:rPr>
        <w:t xml:space="preserve">אחוז המדווחים על ניתוק </w:t>
      </w:r>
      <w:r>
        <w:rPr>
          <w:rFonts w:hint="cs"/>
          <w:rtl/>
        </w:rPr>
        <w:t>רגשי</w:t>
      </w:r>
      <w:r w:rsidRPr="005060E8">
        <w:rPr>
          <w:rtl/>
        </w:rPr>
        <w:t>: ישראל ומדינות ה-</w:t>
      </w:r>
      <w:r>
        <w:rPr>
          <w:rFonts w:hint="cs"/>
        </w:rPr>
        <w:t>OECD</w:t>
      </w:r>
      <w:r>
        <w:rPr>
          <w:rFonts w:hint="cs"/>
          <w:rtl/>
        </w:rPr>
        <w:t>, 2012</w:t>
      </w:r>
    </w:p>
    <w:p w:rsidR="00134788" w:rsidRDefault="00F44100" w:rsidP="00B00ADA">
      <w:pPr>
        <w:rPr>
          <w:rtl/>
        </w:rPr>
      </w:pPr>
      <w:r>
        <w:rPr>
          <w:noProof/>
          <w:lang w:eastAsia="en-US"/>
        </w:rPr>
        <mc:AlternateContent>
          <mc:Choice Requires="wps">
            <w:drawing>
              <wp:anchor distT="0" distB="0" distL="114300" distR="114300" simplePos="0" relativeHeight="251684864" behindDoc="0" locked="0" layoutInCell="1" allowOverlap="1">
                <wp:simplePos x="0" y="0"/>
                <wp:positionH relativeFrom="column">
                  <wp:posOffset>2952750</wp:posOffset>
                </wp:positionH>
                <wp:positionV relativeFrom="paragraph">
                  <wp:posOffset>511810</wp:posOffset>
                </wp:positionV>
                <wp:extent cx="0" cy="323850"/>
                <wp:effectExtent l="76200" t="0" r="76200" b="57150"/>
                <wp:wrapNone/>
                <wp:docPr id="28" name="Straight Arrow Connector 28"/>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1F948A5E" id="Straight Arrow Connector 28" o:spid="_x0000_s1026" type="#_x0000_t32" style="position:absolute;margin-left:232.5pt;margin-top:40.3pt;width:0;height:2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" strokecolor="black [3040]">
                <v:stroke endarrow="block"/>
              </v:shape>
            </w:pict>
          </mc:Fallback>
        </mc:AlternateContent>
      </w:r>
      <w:r>
        <w:rPr>
          <w:noProof/>
          <w:lang w:eastAsia="en-US"/>
        </w:rPr>
        <mc:AlternateContent>
          <mc:Choice Requires="wps">
            <w:drawing>
              <wp:anchor distT="0" distB="0" distL="114300" distR="114300" simplePos="0" relativeHeight="251683840" behindDoc="0" locked="0" layoutInCell="1" allowOverlap="1">
                <wp:simplePos x="0" y="0"/>
                <wp:positionH relativeFrom="column">
                  <wp:posOffset>542925</wp:posOffset>
                </wp:positionH>
                <wp:positionV relativeFrom="paragraph">
                  <wp:posOffset>511810</wp:posOffset>
                </wp:positionV>
                <wp:extent cx="0" cy="752475"/>
                <wp:effectExtent l="76200" t="0" r="57150" b="47625"/>
                <wp:wrapNone/>
                <wp:docPr id="27" name="Straight Arrow Connector 27"/>
                <wp:cNvGraphicFramePr/>
                <a:graphic xmlns:a="http://schemas.openxmlformats.org/drawingml/2006/main">
                  <a:graphicData uri="http://schemas.microsoft.com/office/word/2010/wordprocessingShape">
                    <wps:wsp>
                      <wps:cNvCnPr/>
                      <wps:spPr>
                        <a:xfrm>
                          <a:off x="0" y="0"/>
                          <a:ext cx="0" cy="752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3508CBCB" id="Straight Arrow Connector 27" o:spid="_x0000_s1026" type="#_x0000_t32" style="position:absolute;margin-left:42.75pt;margin-top:40.3pt;width:0;height:59.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" strokecolor="black [3040]">
                <v:stroke endarrow="block"/>
              </v:shape>
            </w:pict>
          </mc:Fallback>
        </mc:AlternateContent>
      </w:r>
      <w:r w:rsidR="005060E8" w:rsidRPr="005060E8" w:rsidDel="005060E8">
        <w:t xml:space="preserve"> </w:t>
      </w:r>
    </w:p>
    <w:p w:rsidR="00134788" w:rsidRDefault="00134788" w:rsidP="006103BC">
      <w:pPr>
        <w:pStyle w:val="1"/>
        <w:rPr>
          <w:rtl/>
        </w:rPr>
      </w:pPr>
    </w:p>
    <w:p w:rsidR="005060E8" w:rsidRDefault="00F44100" w:rsidP="00B00ADA">
      <w:pPr>
        <w:pStyle w:val="tableheading"/>
        <w:rPr>
          <w:rtl/>
        </w:rPr>
      </w:pPr>
      <w:r>
        <w:rPr>
          <w:noProof/>
          <w:lang w:eastAsia="en-US"/>
        </w:rPr>
        <mc:AlternateContent>
          <mc:Choice Requires="wps">
            <w:drawing>
              <wp:anchor distT="0" distB="0" distL="114300" distR="114300" simplePos="0" relativeHeight="251686912" behindDoc="0" locked="0" layoutInCell="1" allowOverlap="1" wp14:anchorId="7E6A9623" wp14:editId="0207F9FB">
                <wp:simplePos x="0" y="0"/>
                <wp:positionH relativeFrom="column">
                  <wp:posOffset>3238500</wp:posOffset>
                </wp:positionH>
                <wp:positionV relativeFrom="paragraph">
                  <wp:posOffset>1047115</wp:posOffset>
                </wp:positionV>
                <wp:extent cx="1" cy="352425"/>
                <wp:effectExtent l="76200" t="0" r="76200" b="47625"/>
                <wp:wrapNone/>
                <wp:docPr id="29" name="Straight Arrow Connector 1"/>
                <wp:cNvGraphicFramePr/>
                <a:graphic xmlns:a="http://schemas.openxmlformats.org/drawingml/2006/main">
                  <a:graphicData uri="http://schemas.microsoft.com/office/word/2010/wordprocessingShape">
                    <wps:wsp>
                      <wps:cNvCnPr/>
                      <wps:spPr>
                        <a:xfrm>
                          <a:off x="0" y="0"/>
                          <a:ext cx="1"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25C64F16" id="Straight Arrow Connector 1" o:spid="_x0000_s1026" type="#_x0000_t32" style="position:absolute;margin-left:255pt;margin-top:82.45pt;width:0;height:27.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" strokecolor="black [3040]">
                <v:stroke endarrow="block"/>
              </v:shape>
            </w:pict>
          </mc:Fallback>
        </mc:AlternateContent>
      </w:r>
      <w:r w:rsidR="005060E8" w:rsidRPr="00B00ADA">
        <w:rPr>
          <w:noProof/>
          <w:lang w:eastAsia="en-US"/>
        </w:rPr>
        <w:drawing>
          <wp:anchor distT="0" distB="0" distL="114300" distR="114300" simplePos="0" relativeHeight="251677696" behindDoc="1" locked="0" layoutInCell="1" allowOverlap="1" wp14:anchorId="06DA4289" wp14:editId="7E374281">
            <wp:simplePos x="0" y="0"/>
            <wp:positionH relativeFrom="column">
              <wp:posOffset>-571500</wp:posOffset>
            </wp:positionH>
            <wp:positionV relativeFrom="paragraph">
              <wp:posOffset>295275</wp:posOffset>
            </wp:positionV>
            <wp:extent cx="6444000" cy="2666365"/>
            <wp:effectExtent l="0" t="0" r="13970" b="635"/>
            <wp:wrapTight wrapText="bothSides">
              <wp:wrapPolygon edited="0">
                <wp:start x="0" y="0"/>
                <wp:lineTo x="0" y="21451"/>
                <wp:lineTo x="21583" y="21451"/>
                <wp:lineTo x="21583" y="0"/>
                <wp:lineTo x="0" y="0"/>
              </wp:wrapPolygon>
            </wp:wrapTight>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5060E8">
        <w:rPr>
          <w:rFonts w:hint="cs"/>
          <w:rtl/>
        </w:rPr>
        <w:t xml:space="preserve">לוח ב-4: </w:t>
      </w:r>
      <w:r w:rsidR="005060E8" w:rsidRPr="005060E8">
        <w:rPr>
          <w:rtl/>
        </w:rPr>
        <w:t xml:space="preserve">אחוז המדווחים על ניתוק </w:t>
      </w:r>
      <w:r w:rsidR="005060E8">
        <w:rPr>
          <w:rFonts w:hint="cs"/>
          <w:rtl/>
        </w:rPr>
        <w:t>קוגניטיבי</w:t>
      </w:r>
      <w:r w:rsidR="005060E8" w:rsidRPr="005060E8">
        <w:rPr>
          <w:rtl/>
        </w:rPr>
        <w:t>: ישראל ומדינות ה-</w:t>
      </w:r>
      <w:r w:rsidR="005060E8">
        <w:rPr>
          <w:rFonts w:hint="cs"/>
        </w:rPr>
        <w:t>OECD</w:t>
      </w:r>
      <w:r w:rsidR="005060E8">
        <w:rPr>
          <w:rFonts w:hint="cs"/>
          <w:rtl/>
        </w:rPr>
        <w:t>, 2012</w:t>
      </w:r>
    </w:p>
    <w:p w:rsidR="005060E8" w:rsidRPr="00B00ADA" w:rsidRDefault="005060E8" w:rsidP="00B00ADA">
      <w:pPr>
        <w:rPr>
          <w:rtl/>
        </w:rPr>
      </w:pPr>
    </w:p>
    <w:p w:rsidR="00780440" w:rsidRDefault="00780440" w:rsidP="006103BC">
      <w:pPr>
        <w:pStyle w:val="1"/>
        <w:rPr>
          <w:rtl/>
        </w:rPr>
      </w:pPr>
      <w:r>
        <w:rPr>
          <w:rFonts w:hint="cs"/>
          <w:rtl/>
        </w:rPr>
        <w:t>ב</w:t>
      </w:r>
      <w:r w:rsidR="00B5660C">
        <w:rPr>
          <w:rFonts w:hint="cs"/>
          <w:rtl/>
        </w:rPr>
        <w:t>י</w:t>
      </w:r>
      <w:r>
        <w:rPr>
          <w:rFonts w:hint="cs"/>
          <w:rtl/>
        </w:rPr>
        <w:t>בליוגרפיה</w:t>
      </w:r>
    </w:p>
    <w:p w:rsidR="00780440" w:rsidRPr="006103BC" w:rsidRDefault="00780440" w:rsidP="000F480E">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 xml:space="preserve">בן רבי, ד.; ברוך-קוברסקי, ר.; קונסטנטינוב, ו. רותם, ר.; כהן-נבות, מ. 2013. </w:t>
      </w:r>
      <w:r w:rsidRPr="006103BC">
        <w:rPr>
          <w:rFonts w:asciiTheme="minorHAnsi" w:eastAsiaTheme="minorHAnsi" w:hAnsiTheme="minorHAnsi" w:hint="cs"/>
          <w:b/>
          <w:bCs/>
          <w:sz w:val="26"/>
          <w:rtl/>
          <w:lang w:eastAsia="en-US"/>
        </w:rPr>
        <w:t>מיפוי דרכי הפעולה של בתי הספר היסודיים וחטיבות הביניים לקידום התלמידים המתקשים: מחקר חוזר (תשע"ב 2012)</w:t>
      </w:r>
      <w:r w:rsidRPr="006103BC">
        <w:rPr>
          <w:rFonts w:asciiTheme="minorHAnsi" w:eastAsiaTheme="minorHAnsi" w:hAnsiTheme="minorHAnsi" w:hint="cs"/>
          <w:sz w:val="26"/>
          <w:rtl/>
          <w:lang w:eastAsia="en-US"/>
        </w:rPr>
        <w:t xml:space="preserve">. </w:t>
      </w:r>
      <w:r w:rsidR="000F480E">
        <w:rPr>
          <w:rFonts w:asciiTheme="minorHAnsi" w:eastAsiaTheme="minorHAnsi" w:hAnsiTheme="minorHAnsi" w:hint="cs"/>
          <w:sz w:val="26"/>
          <w:rtl/>
          <w:lang w:eastAsia="en-US"/>
        </w:rPr>
        <w:t xml:space="preserve">ירושלים: </w:t>
      </w:r>
      <w:r w:rsidRPr="006103BC">
        <w:rPr>
          <w:rFonts w:asciiTheme="minorHAnsi" w:eastAsiaTheme="minorHAnsi" w:hAnsiTheme="minorHAnsi" w:hint="cs"/>
          <w:sz w:val="26"/>
          <w:rtl/>
          <w:lang w:eastAsia="en-US"/>
        </w:rPr>
        <w:t>מאיירס-ג'וינט-מכון ברוקדייל.</w:t>
      </w:r>
    </w:p>
    <w:p w:rsidR="00780440" w:rsidRPr="006103BC" w:rsidRDefault="00780440" w:rsidP="000F480E">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b/>
          <w:bCs/>
          <w:sz w:val="26"/>
          <w:rtl/>
          <w:lang w:eastAsia="en-US"/>
        </w:rPr>
        <w:t>ה</w:t>
      </w:r>
      <w:r w:rsidR="000F480E">
        <w:rPr>
          <w:rFonts w:asciiTheme="minorHAnsi" w:eastAsiaTheme="minorHAnsi" w:hAnsiTheme="minorHAnsi" w:hint="cs"/>
          <w:b/>
          <w:bCs/>
          <w:sz w:val="26"/>
          <w:rtl/>
          <w:lang w:eastAsia="en-US"/>
        </w:rPr>
        <w:t>ו</w:t>
      </w:r>
      <w:r w:rsidRPr="006103BC">
        <w:rPr>
          <w:rFonts w:asciiTheme="minorHAnsi" w:eastAsiaTheme="minorHAnsi" w:hAnsiTheme="minorHAnsi" w:hint="cs"/>
          <w:b/>
          <w:bCs/>
          <w:sz w:val="26"/>
          <w:rtl/>
          <w:lang w:eastAsia="en-US"/>
        </w:rPr>
        <w:t>ועדה המיוחדת לנושא הנשירה מבית הספר בראשות חברת הכנסת תמר גוז'נסקי, מסקנות הועדה והמלצותיה</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2002.</w:t>
      </w:r>
      <w:r w:rsidRPr="006103BC">
        <w:rPr>
          <w:rFonts w:asciiTheme="minorHAnsi" w:eastAsiaTheme="minorHAnsi" w:hAnsiTheme="minorHAnsi" w:hint="cs"/>
          <w:b/>
          <w:bCs/>
          <w:sz w:val="26"/>
          <w:rtl/>
          <w:lang w:eastAsia="en-US"/>
        </w:rPr>
        <w:t xml:space="preserve"> </w:t>
      </w:r>
      <w:r w:rsidRPr="006103BC">
        <w:rPr>
          <w:rFonts w:asciiTheme="minorHAnsi" w:eastAsiaTheme="minorHAnsi" w:hAnsiTheme="minorHAnsi" w:hint="cs"/>
          <w:sz w:val="26"/>
          <w:rtl/>
          <w:lang w:eastAsia="en-US"/>
        </w:rPr>
        <w:t>הכנסת.</w:t>
      </w:r>
    </w:p>
    <w:p w:rsidR="00780440" w:rsidRPr="006103BC" w:rsidRDefault="00780440" w:rsidP="000F480E">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הראל-פיש, י.</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חביב, ג'.</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וולש, ס.</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בוניאל-ניסים, מ.</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דז'אלובסקי, א.</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אמית, ש.</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משעל, ר.</w:t>
      </w:r>
      <w:r w:rsidR="000F480E">
        <w:rPr>
          <w:rFonts w:asciiTheme="minorHAnsi" w:eastAsiaTheme="minorHAnsi" w:hAnsiTheme="minorHAnsi" w:hint="cs"/>
          <w:sz w:val="26"/>
          <w:rtl/>
          <w:lang w:eastAsia="en-US"/>
        </w:rPr>
        <w:t xml:space="preserve">; </w:t>
      </w:r>
      <w:r w:rsidRPr="006103BC">
        <w:rPr>
          <w:rFonts w:asciiTheme="minorHAnsi" w:eastAsiaTheme="minorHAnsi" w:hAnsiTheme="minorHAnsi" w:hint="cs"/>
          <w:sz w:val="26"/>
          <w:rtl/>
          <w:lang w:eastAsia="en-US"/>
        </w:rPr>
        <w:t xml:space="preserve">טסלר, ר. 2011. </w:t>
      </w:r>
      <w:r w:rsidRPr="006103BC">
        <w:rPr>
          <w:rFonts w:asciiTheme="minorHAnsi" w:eastAsiaTheme="minorHAnsi" w:hAnsiTheme="minorHAnsi" w:hint="cs"/>
          <w:b/>
          <w:bCs/>
          <w:sz w:val="26"/>
          <w:rtl/>
          <w:lang w:eastAsia="en-US"/>
        </w:rPr>
        <w:t>נוער בישראל- בריאות, רווחה נפשית וחברתית ודפוסי התנהגויות סיכון בקרב בני נוער בישראל. סיכום ממצאי המחקר השישי ניתוח מגמות בין השנים 2011-1994 והשוואה בין לאומית</w:t>
      </w:r>
      <w:r w:rsidRPr="006103BC">
        <w:rPr>
          <w:rFonts w:asciiTheme="minorHAnsi" w:eastAsiaTheme="minorHAnsi" w:hAnsiTheme="minorHAnsi" w:hint="cs"/>
          <w:sz w:val="26"/>
          <w:rtl/>
          <w:lang w:eastAsia="en-US"/>
        </w:rPr>
        <w:t xml:space="preserve">. אוניברסיטת בר-אילן ומאיירס-ג'וינט-מכון ברוקדייל. </w:t>
      </w:r>
    </w:p>
    <w:p w:rsidR="00780440" w:rsidRPr="006103BC" w:rsidRDefault="00780440" w:rsidP="006103BC">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 xml:space="preserve">הלשכה המרכזית לסטטיסטיקה. </w:t>
      </w:r>
      <w:r w:rsidRPr="006103BC">
        <w:rPr>
          <w:rFonts w:asciiTheme="minorHAnsi" w:eastAsiaTheme="minorHAnsi" w:hAnsiTheme="minorHAnsi" w:hint="cs"/>
          <w:b/>
          <w:bCs/>
          <w:sz w:val="26"/>
          <w:rtl/>
          <w:lang w:eastAsia="en-US"/>
        </w:rPr>
        <w:t>השנתון הסטטיסטי לישראל. 2013</w:t>
      </w:r>
      <w:r w:rsidRPr="006103BC">
        <w:rPr>
          <w:rFonts w:asciiTheme="minorHAnsi" w:eastAsiaTheme="minorHAnsi" w:hAnsiTheme="minorHAnsi" w:hint="cs"/>
          <w:sz w:val="26"/>
          <w:rtl/>
          <w:lang w:eastAsia="en-US"/>
        </w:rPr>
        <w:t>.</w:t>
      </w:r>
      <w:r w:rsidRPr="006103BC">
        <w:rPr>
          <w:rFonts w:asciiTheme="minorHAnsi" w:eastAsiaTheme="minorHAnsi" w:hAnsiTheme="minorHAnsi"/>
          <w:sz w:val="26"/>
          <w:lang w:eastAsia="en-US"/>
        </w:rPr>
        <w:t xml:space="preserve"> </w:t>
      </w:r>
      <w:hyperlink r:id="rId31" w:history="1">
        <w:r w:rsidRPr="006103BC">
          <w:rPr>
            <w:rFonts w:asciiTheme="minorHAnsi" w:eastAsiaTheme="minorHAnsi" w:hAnsiTheme="minorHAnsi"/>
            <w:color w:val="0000FF" w:themeColor="hyperlink"/>
            <w:sz w:val="26"/>
            <w:u w:val="single"/>
            <w:lang w:eastAsia="en-US"/>
          </w:rPr>
          <w:t>http://www.cbs.gov.il/reader/shnaton/</w:t>
        </w:r>
      </w:hyperlink>
    </w:p>
    <w:p w:rsidR="00780440" w:rsidRPr="006103BC" w:rsidRDefault="00780440" w:rsidP="000F480E">
      <w:pPr>
        <w:spacing w:after="200" w:line="276" w:lineRule="auto"/>
        <w:rPr>
          <w:rFonts w:asciiTheme="minorHAnsi" w:eastAsiaTheme="minorHAnsi" w:hAnsiTheme="minorHAnsi"/>
          <w:sz w:val="26"/>
          <w:highlight w:val="green"/>
          <w:rtl/>
          <w:lang w:eastAsia="en-US"/>
        </w:rPr>
      </w:pPr>
      <w:r w:rsidRPr="006103BC">
        <w:rPr>
          <w:rFonts w:asciiTheme="minorHAnsi" w:eastAsiaTheme="minorHAnsi" w:hAnsiTheme="minorHAnsi" w:hint="cs"/>
          <w:sz w:val="26"/>
          <w:rtl/>
          <w:lang w:eastAsia="en-US"/>
        </w:rPr>
        <w:t>הרשות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הארצית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למדידה</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והערכה</w:t>
      </w:r>
      <w:r w:rsidR="008B557F">
        <w:rPr>
          <w:rFonts w:asciiTheme="minorHAnsi" w:eastAsiaTheme="minorHAnsi" w:hAnsiTheme="minorHAnsi" w:hint="cs"/>
          <w:sz w:val="26"/>
          <w:rtl/>
          <w:lang w:eastAsia="en-US"/>
        </w:rPr>
        <w:t xml:space="preserve"> (ראמ"ה)</w:t>
      </w:r>
      <w:r w:rsidRPr="006103BC">
        <w:rPr>
          <w:rFonts w:asciiTheme="minorHAnsi" w:eastAsiaTheme="minorHAnsi" w:hAnsiTheme="minorHAnsi"/>
          <w:sz w:val="26"/>
          <w:rtl/>
          <w:lang w:eastAsia="en-US"/>
        </w:rPr>
        <w:t xml:space="preserve">. 2013. </w:t>
      </w:r>
      <w:r w:rsidRPr="008B557F">
        <w:rPr>
          <w:rFonts w:asciiTheme="minorHAnsi" w:eastAsiaTheme="minorHAnsi" w:hAnsiTheme="minorHAnsi" w:hint="cs"/>
          <w:b/>
          <w:bCs/>
          <w:sz w:val="26"/>
          <w:rtl/>
          <w:lang w:eastAsia="en-US"/>
        </w:rPr>
        <w:t>פיזה</w:t>
      </w:r>
      <w:r w:rsidRPr="008B557F">
        <w:rPr>
          <w:rFonts w:asciiTheme="minorHAnsi" w:eastAsiaTheme="minorHAnsi" w:hAnsiTheme="minorHAnsi"/>
          <w:b/>
          <w:bCs/>
          <w:sz w:val="26"/>
          <w:rtl/>
          <w:lang w:eastAsia="en-US"/>
        </w:rPr>
        <w:t xml:space="preserve"> 2012 </w:t>
      </w:r>
      <w:r w:rsidRPr="008B557F">
        <w:rPr>
          <w:rFonts w:asciiTheme="minorHAnsi" w:eastAsiaTheme="minorHAnsi" w:hAnsiTheme="minorHAnsi" w:hint="cs"/>
          <w:b/>
          <w:bCs/>
          <w:sz w:val="26"/>
          <w:rtl/>
          <w:lang w:eastAsia="en-US"/>
        </w:rPr>
        <w:t>אוריינות</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תלמידים</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בני</w:t>
      </w:r>
      <w:r w:rsidRPr="008B557F">
        <w:rPr>
          <w:rFonts w:asciiTheme="minorHAnsi" w:eastAsiaTheme="minorHAnsi" w:hAnsiTheme="minorHAnsi"/>
          <w:b/>
          <w:bCs/>
          <w:sz w:val="26"/>
          <w:rtl/>
          <w:lang w:eastAsia="en-US"/>
        </w:rPr>
        <w:t xml:space="preserve"> 15 </w:t>
      </w:r>
      <w:r w:rsidRPr="008B557F">
        <w:rPr>
          <w:rFonts w:asciiTheme="minorHAnsi" w:eastAsiaTheme="minorHAnsi" w:hAnsiTheme="minorHAnsi" w:hint="cs"/>
          <w:b/>
          <w:bCs/>
          <w:sz w:val="26"/>
          <w:rtl/>
          <w:lang w:eastAsia="en-US"/>
        </w:rPr>
        <w:t>במדעים</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בקריאה</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ובמתמטיקה</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מבט</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ישראלי</w:t>
      </w:r>
      <w:r w:rsidRPr="008B557F">
        <w:rPr>
          <w:rFonts w:asciiTheme="minorHAnsi" w:eastAsiaTheme="minorHAnsi" w:hAnsiTheme="minorHAnsi"/>
          <w:b/>
          <w:bCs/>
          <w:sz w:val="26"/>
          <w:rtl/>
          <w:lang w:eastAsia="en-US"/>
        </w:rPr>
        <w:t>.</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מדינת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ישראל</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משרד</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החינוך</w:t>
      </w:r>
      <w:r w:rsidRPr="006103BC">
        <w:rPr>
          <w:rFonts w:asciiTheme="minorHAnsi" w:eastAsiaTheme="minorHAnsi" w:hAnsiTheme="minorHAnsi"/>
          <w:sz w:val="26"/>
          <w:rtl/>
          <w:lang w:eastAsia="en-US"/>
        </w:rPr>
        <w:t xml:space="preserve">. </w:t>
      </w:r>
      <w:hyperlink r:id="rId32" w:history="1">
        <w:r w:rsidRPr="006103BC">
          <w:rPr>
            <w:rFonts w:asciiTheme="minorHAnsi" w:eastAsiaTheme="minorHAnsi" w:hAnsiTheme="minorHAnsi"/>
            <w:color w:val="0000FF" w:themeColor="hyperlink"/>
            <w:sz w:val="26"/>
            <w:u w:val="single"/>
            <w:lang w:eastAsia="en-US"/>
          </w:rPr>
          <w:t>http://meyda.education.gov.il/files/Rama/PISA_2012_Report.pdf</w:t>
        </w:r>
      </w:hyperlink>
    </w:p>
    <w:p w:rsidR="00780440" w:rsidRPr="006103BC" w:rsidRDefault="00780440" w:rsidP="000F480E">
      <w:pPr>
        <w:spacing w:after="200" w:line="276" w:lineRule="auto"/>
        <w:jc w:val="left"/>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התכנית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הלאומית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לחינוך</w:t>
      </w:r>
      <w:r w:rsidRPr="006103BC">
        <w:rPr>
          <w:rFonts w:asciiTheme="minorHAnsi" w:eastAsiaTheme="minorHAnsi" w:hAnsiTheme="minorHAnsi"/>
          <w:sz w:val="26"/>
          <w:rtl/>
          <w:lang w:eastAsia="en-US"/>
        </w:rPr>
        <w:t xml:space="preserve">. 2005. </w:t>
      </w:r>
      <w:r w:rsidRPr="008B557F">
        <w:rPr>
          <w:rFonts w:asciiTheme="minorHAnsi" w:eastAsiaTheme="minorHAnsi" w:hAnsiTheme="minorHAnsi" w:hint="cs"/>
          <w:b/>
          <w:bCs/>
          <w:sz w:val="26"/>
          <w:rtl/>
          <w:lang w:eastAsia="en-US"/>
        </w:rPr>
        <w:t>דוח</w:t>
      </w:r>
      <w:r w:rsidRPr="008B557F">
        <w:rPr>
          <w:rFonts w:asciiTheme="minorHAnsi" w:eastAsiaTheme="minorHAnsi" w:hAnsiTheme="minorHAnsi"/>
          <w:b/>
          <w:bCs/>
          <w:sz w:val="26"/>
          <w:rtl/>
          <w:lang w:eastAsia="en-US"/>
        </w:rPr>
        <w:t xml:space="preserve"> </w:t>
      </w:r>
      <w:r w:rsidRPr="008B557F">
        <w:rPr>
          <w:rFonts w:asciiTheme="minorHAnsi" w:eastAsiaTheme="minorHAnsi" w:hAnsiTheme="minorHAnsi" w:hint="cs"/>
          <w:b/>
          <w:bCs/>
          <w:sz w:val="26"/>
          <w:rtl/>
          <w:lang w:eastAsia="en-US"/>
        </w:rPr>
        <w:t>סופי</w:t>
      </w:r>
      <w:r w:rsidRPr="006103BC">
        <w:rPr>
          <w:color w:val="0000FF"/>
          <w:sz w:val="26"/>
          <w:u w:val="single"/>
          <w:rtl/>
        </w:rPr>
        <w:t xml:space="preserve"> </w:t>
      </w:r>
      <w:hyperlink r:id="rId33" w:history="1">
        <w:r w:rsidRPr="006103BC">
          <w:rPr>
            <w:color w:val="0000FF" w:themeColor="hyperlink"/>
            <w:sz w:val="26"/>
            <w:u w:val="single"/>
          </w:rPr>
          <w:t>http://cms.education.gov.il/EducationCMS/Units/Ntfe/HdochHsofi/DochSofi.htm</w:t>
        </w:r>
        <w:r w:rsidRPr="006103BC">
          <w:rPr>
            <w:color w:val="0000FF" w:themeColor="hyperlink"/>
            <w:sz w:val="26"/>
            <w:u w:val="single"/>
            <w:rtl/>
          </w:rPr>
          <w:t xml:space="preserve"> </w:t>
        </w:r>
      </w:hyperlink>
      <w:r w:rsidRPr="006103BC">
        <w:rPr>
          <w:sz w:val="26"/>
          <w:rtl/>
        </w:rPr>
        <w:t xml:space="preserve">  </w:t>
      </w:r>
    </w:p>
    <w:p w:rsidR="00780440" w:rsidRPr="006103BC" w:rsidRDefault="00780440" w:rsidP="006103BC">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כהן</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נבות</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מ</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לוי</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ד</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קונסטנטינוב</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ו</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עוואדיה</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א</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ברוך</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קוברסקי</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ר</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חסין</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ט</w:t>
      </w:r>
      <w:r w:rsidRPr="006103BC">
        <w:rPr>
          <w:rFonts w:asciiTheme="minorHAnsi" w:eastAsiaTheme="minorHAnsi" w:hAnsiTheme="minorHAnsi"/>
          <w:sz w:val="26"/>
          <w:rtl/>
          <w:lang w:eastAsia="en-US"/>
        </w:rPr>
        <w:t xml:space="preserve">. 2009. </w:t>
      </w:r>
      <w:r w:rsidRPr="006103BC">
        <w:rPr>
          <w:rFonts w:asciiTheme="minorHAnsi" w:eastAsiaTheme="minorHAnsi" w:hAnsiTheme="minorHAnsi" w:hint="cs"/>
          <w:b/>
          <w:bCs/>
          <w:sz w:val="26"/>
          <w:rtl/>
          <w:lang w:eastAsia="en-US"/>
        </w:rPr>
        <w:t>מיפוי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דרכי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הפעולה</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של</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בתי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הספר</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היסודיים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וחטיבות</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הביניים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לקידום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התלמידים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המתקשים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sz w:val="26"/>
          <w:rtl/>
          <w:lang w:eastAsia="en-US"/>
        </w:rPr>
        <w:t>דמ</w:t>
      </w:r>
      <w:r w:rsidRPr="006103BC">
        <w:rPr>
          <w:rFonts w:asciiTheme="minorHAnsi" w:eastAsiaTheme="minorHAnsi" w:hAnsiTheme="minorHAnsi"/>
          <w:sz w:val="26"/>
          <w:rtl/>
          <w:lang w:eastAsia="en-US"/>
        </w:rPr>
        <w:t>-09-509 .</w:t>
      </w:r>
      <w:r w:rsidR="000F480E">
        <w:rPr>
          <w:rFonts w:asciiTheme="minorHAnsi" w:eastAsiaTheme="minorHAnsi" w:hAnsiTheme="minorHAnsi" w:hint="cs"/>
          <w:sz w:val="26"/>
          <w:rtl/>
          <w:lang w:eastAsia="en-US"/>
        </w:rPr>
        <w:t xml:space="preserve"> ירושלים: </w:t>
      </w:r>
      <w:r w:rsidRPr="006103BC">
        <w:rPr>
          <w:rFonts w:asciiTheme="minorHAnsi" w:eastAsiaTheme="minorHAnsi" w:hAnsiTheme="minorHAnsi" w:hint="cs"/>
          <w:sz w:val="26"/>
          <w:rtl/>
          <w:lang w:eastAsia="en-US"/>
        </w:rPr>
        <w:t>מאיירס</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ג</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וינט</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מכון</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ברוקדייל</w:t>
      </w:r>
      <w:r w:rsidRPr="006103BC">
        <w:rPr>
          <w:rFonts w:asciiTheme="minorHAnsi" w:eastAsiaTheme="minorHAnsi" w:hAnsiTheme="minorHAnsi"/>
          <w:sz w:val="26"/>
          <w:rtl/>
          <w:lang w:eastAsia="en-US"/>
        </w:rPr>
        <w:t>.</w:t>
      </w:r>
    </w:p>
    <w:p w:rsidR="00780440" w:rsidRDefault="00780440" w:rsidP="000F480E">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כהן-נבות, מ.</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אנגלבורגן-פרנקוביץ, ש.</w:t>
      </w:r>
      <w:r w:rsidR="000F480E">
        <w:rPr>
          <w:rFonts w:asciiTheme="minorHAnsi" w:eastAsiaTheme="minorHAnsi" w:hAnsiTheme="minorHAnsi" w:hint="cs"/>
          <w:sz w:val="26"/>
          <w:rtl/>
          <w:lang w:eastAsia="en-US"/>
        </w:rPr>
        <w:t>;</w:t>
      </w:r>
      <w:r w:rsidRPr="006103BC">
        <w:rPr>
          <w:rFonts w:asciiTheme="minorHAnsi" w:eastAsiaTheme="minorHAnsi" w:hAnsiTheme="minorHAnsi" w:hint="cs"/>
          <w:sz w:val="26"/>
          <w:rtl/>
          <w:lang w:eastAsia="en-US"/>
        </w:rPr>
        <w:t xml:space="preserve"> ריינפלד, ת. 2001. </w:t>
      </w:r>
      <w:r w:rsidRPr="006103BC">
        <w:rPr>
          <w:rFonts w:asciiTheme="minorHAnsi" w:eastAsiaTheme="minorHAnsi" w:hAnsiTheme="minorHAnsi" w:hint="cs"/>
          <w:b/>
          <w:bCs/>
          <w:sz w:val="26"/>
          <w:rtl/>
          <w:lang w:eastAsia="en-US"/>
        </w:rPr>
        <w:t>הנשירה הגלויה והסמויה בקרב בני נוער.</w:t>
      </w:r>
      <w:r w:rsidRPr="006103BC">
        <w:rPr>
          <w:rFonts w:asciiTheme="minorHAnsi" w:eastAsiaTheme="minorHAnsi" w:hAnsiTheme="minorHAnsi" w:hint="cs"/>
          <w:sz w:val="26"/>
          <w:rtl/>
          <w:lang w:eastAsia="en-US"/>
        </w:rPr>
        <w:t xml:space="preserve"> דוח מחקר. </w:t>
      </w:r>
      <w:r w:rsidR="000F480E">
        <w:rPr>
          <w:rFonts w:asciiTheme="minorHAnsi" w:eastAsiaTheme="minorHAnsi" w:hAnsiTheme="minorHAnsi" w:hint="cs"/>
          <w:sz w:val="26"/>
          <w:rtl/>
          <w:lang w:eastAsia="en-US"/>
        </w:rPr>
        <w:t xml:space="preserve">ירושלים: </w:t>
      </w:r>
      <w:r w:rsidRPr="006103BC">
        <w:rPr>
          <w:rFonts w:asciiTheme="minorHAnsi" w:eastAsiaTheme="minorHAnsi" w:hAnsiTheme="minorHAnsi" w:hint="cs"/>
          <w:sz w:val="26"/>
          <w:rtl/>
          <w:lang w:eastAsia="en-US"/>
        </w:rPr>
        <w:t xml:space="preserve">מאיירס-ג'וינט-מכון ברוקדייל.  </w:t>
      </w:r>
    </w:p>
    <w:p w:rsidR="001842F5" w:rsidRPr="001842F5" w:rsidRDefault="001842F5" w:rsidP="001842F5">
      <w:pPr>
        <w:spacing w:after="200" w:line="276" w:lineRule="auto"/>
        <w:rPr>
          <w:rFonts w:asciiTheme="minorHAnsi" w:eastAsiaTheme="minorHAnsi" w:hAnsiTheme="minorHAnsi"/>
          <w:sz w:val="26"/>
          <w:rtl/>
          <w:lang w:eastAsia="en-US"/>
        </w:rPr>
      </w:pPr>
      <w:r w:rsidRPr="001842F5">
        <w:rPr>
          <w:rFonts w:asciiTheme="minorHAnsi" w:eastAsiaTheme="minorHAnsi" w:hAnsiTheme="minorHAnsi" w:hint="cs"/>
          <w:sz w:val="26"/>
          <w:rtl/>
          <w:lang w:eastAsia="en-US"/>
        </w:rPr>
        <w:t xml:space="preserve">להב, ח. 2012. מ"נשירה סמויה" ל"נשירה גלויה" ומה שביניהם. מניתוק לשילוב, חוברת מס' 17, עמ' 7-32. הוצאת משרד החינוך התרבות והספורט, גף חינוך נוער. </w:t>
      </w:r>
      <w:hyperlink r:id="rId34" w:history="1">
        <w:r w:rsidRPr="001842F5">
          <w:rPr>
            <w:rFonts w:asciiTheme="minorHAnsi" w:eastAsiaTheme="minorHAnsi" w:hAnsiTheme="minorHAnsi"/>
            <w:color w:val="0000FF"/>
            <w:sz w:val="26"/>
            <w:u w:val="single"/>
            <w:lang w:eastAsia="en-US"/>
          </w:rPr>
          <w:t>http://cms.education.gov.il/NR/rdonlyres/BC73B833-FDB4-4B91-97E8-5103BB3D42AD/156530/nituk1p1.pdf</w:t>
        </w:r>
      </w:hyperlink>
    </w:p>
    <w:p w:rsidR="00780440" w:rsidRPr="006103BC" w:rsidRDefault="00780440" w:rsidP="006103BC">
      <w:pPr>
        <w:spacing w:after="200" w:line="276" w:lineRule="auto"/>
        <w:rPr>
          <w:rFonts w:asciiTheme="minorHAnsi" w:eastAsiaTheme="minorHAnsi" w:hAnsiTheme="minorHAnsi"/>
          <w:sz w:val="26"/>
          <w:rtl/>
          <w:lang w:eastAsia="en-US"/>
        </w:rPr>
      </w:pPr>
      <w:r w:rsidRPr="006103BC">
        <w:rPr>
          <w:rFonts w:asciiTheme="minorHAnsi" w:eastAsiaTheme="minorHAnsi" w:hAnsiTheme="minorHAnsi" w:hint="cs"/>
          <w:sz w:val="26"/>
          <w:rtl/>
          <w:lang w:eastAsia="en-US"/>
        </w:rPr>
        <w:t>סבו</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לאל</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ר</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חסין</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ט</w:t>
      </w:r>
      <w:r w:rsidRPr="006103BC">
        <w:rPr>
          <w:rFonts w:asciiTheme="minorHAnsi" w:eastAsiaTheme="minorHAnsi" w:hAnsiTheme="minorHAnsi"/>
          <w:sz w:val="26"/>
          <w:rtl/>
          <w:lang w:eastAsia="en-US"/>
        </w:rPr>
        <w:t xml:space="preserve">. 2011. </w:t>
      </w:r>
      <w:r w:rsidRPr="006103BC">
        <w:rPr>
          <w:rFonts w:asciiTheme="minorHAnsi" w:eastAsiaTheme="minorHAnsi" w:hAnsiTheme="minorHAnsi" w:hint="cs"/>
          <w:b/>
          <w:bCs/>
          <w:sz w:val="26"/>
          <w:rtl/>
          <w:lang w:eastAsia="en-US"/>
        </w:rPr>
        <w:t>מצבי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סיכון</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בקרב</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ילדים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ובני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נוער</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איתור</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ומיפוי</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במסגרת</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התכנית</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הלאומית</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לילדים</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ולנוער</w:t>
      </w:r>
      <w:r w:rsidRPr="006103BC">
        <w:rPr>
          <w:rFonts w:asciiTheme="minorHAnsi" w:eastAsiaTheme="minorHAnsi" w:hAnsiTheme="minorHAnsi"/>
          <w:b/>
          <w:bCs/>
          <w:sz w:val="26"/>
          <w:rtl/>
          <w:lang w:eastAsia="en-US"/>
        </w:rPr>
        <w:t xml:space="preserve"> </w:t>
      </w:r>
      <w:r w:rsidRPr="006103BC">
        <w:rPr>
          <w:rFonts w:asciiTheme="minorHAnsi" w:eastAsiaTheme="minorHAnsi" w:hAnsiTheme="minorHAnsi" w:hint="cs"/>
          <w:b/>
          <w:bCs/>
          <w:sz w:val="26"/>
          <w:rtl/>
          <w:lang w:eastAsia="en-US"/>
        </w:rPr>
        <w:t>בסיכון</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ירושלים</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מאיירס</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ג</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וינט</w:t>
      </w:r>
      <w:r w:rsidRPr="006103BC">
        <w:rPr>
          <w:rFonts w:asciiTheme="minorHAnsi" w:eastAsiaTheme="minorHAnsi" w:hAnsiTheme="minorHAnsi"/>
          <w:sz w:val="26"/>
          <w:rtl/>
          <w:lang w:eastAsia="en-US"/>
        </w:rPr>
        <w:t>-</w:t>
      </w:r>
      <w:r w:rsidRPr="006103BC">
        <w:rPr>
          <w:rFonts w:asciiTheme="minorHAnsi" w:eastAsiaTheme="minorHAnsi" w:hAnsiTheme="minorHAnsi" w:hint="cs"/>
          <w:sz w:val="26"/>
          <w:rtl/>
          <w:lang w:eastAsia="en-US"/>
        </w:rPr>
        <w:t>מכון</w:t>
      </w:r>
      <w:r w:rsidRPr="006103BC">
        <w:rPr>
          <w:rFonts w:asciiTheme="minorHAnsi" w:eastAsiaTheme="minorHAnsi" w:hAnsiTheme="minorHAnsi"/>
          <w:sz w:val="26"/>
          <w:rtl/>
          <w:lang w:eastAsia="en-US"/>
        </w:rPr>
        <w:t xml:space="preserve"> </w:t>
      </w:r>
      <w:r w:rsidRPr="006103BC">
        <w:rPr>
          <w:rFonts w:asciiTheme="minorHAnsi" w:eastAsiaTheme="minorHAnsi" w:hAnsiTheme="minorHAnsi" w:hint="cs"/>
          <w:sz w:val="26"/>
          <w:rtl/>
          <w:lang w:eastAsia="en-US"/>
        </w:rPr>
        <w:t>ברוקדייל</w:t>
      </w:r>
      <w:r w:rsidRPr="006103BC">
        <w:rPr>
          <w:rFonts w:asciiTheme="minorHAnsi" w:eastAsiaTheme="minorHAnsi" w:hAnsiTheme="minorHAnsi"/>
          <w:sz w:val="26"/>
          <w:rtl/>
          <w:lang w:eastAsia="en-US"/>
        </w:rPr>
        <w:t>.</w:t>
      </w:r>
    </w:p>
    <w:p w:rsidR="00780440" w:rsidRPr="00780440" w:rsidRDefault="00780440" w:rsidP="000F480E">
      <w:pPr>
        <w:bidi w:val="0"/>
        <w:spacing w:line="276" w:lineRule="auto"/>
        <w:jc w:val="left"/>
      </w:pPr>
      <w:r w:rsidRPr="00780440">
        <w:t xml:space="preserve">Butler, H. Bond, L. Drew, S. Krelle, A. Seal, I. 2005. </w:t>
      </w:r>
      <w:r w:rsidRPr="008B557F">
        <w:rPr>
          <w:b/>
          <w:bCs/>
        </w:rPr>
        <w:t>Doing it differently: Improving young people’s engagement with school</w:t>
      </w:r>
      <w:r w:rsidRPr="00780440">
        <w:rPr>
          <w:i/>
          <w:iCs/>
        </w:rPr>
        <w:t xml:space="preserve">. </w:t>
      </w:r>
      <w:r w:rsidRPr="00780440">
        <w:t xml:space="preserve">Brotherhood of St Laurence: Melbourne. </w:t>
      </w:r>
      <w:hyperlink r:id="rId35" w:history="1">
        <w:r w:rsidRPr="00780440">
          <w:rPr>
            <w:color w:val="0000FF" w:themeColor="hyperlink"/>
            <w:u w:val="single"/>
          </w:rPr>
          <w:t>http://www.bsl.org.au/pdfs/Doing_it_differently_outline.pdf</w:t>
        </w:r>
      </w:hyperlink>
    </w:p>
    <w:p w:rsidR="00780440" w:rsidRDefault="00780440" w:rsidP="000F480E">
      <w:pPr>
        <w:bidi w:val="0"/>
        <w:spacing w:line="276" w:lineRule="auto"/>
        <w:jc w:val="left"/>
      </w:pPr>
      <w:r w:rsidRPr="00780440">
        <w:t xml:space="preserve">Carlson, P., Martinez, R. 2011. </w:t>
      </w:r>
      <w:r w:rsidR="000F480E">
        <w:rPr>
          <w:rFonts w:hint="cs"/>
          <w:rtl/>
        </w:rPr>
        <w:t>"</w:t>
      </w:r>
      <w:r w:rsidRPr="00780440">
        <w:t>Student disengagement: A national concern from local perspective</w:t>
      </w:r>
      <w:r w:rsidR="000F480E">
        <w:rPr>
          <w:rFonts w:hint="cs"/>
          <w:rtl/>
        </w:rPr>
        <w:t>"</w:t>
      </w:r>
      <w:r w:rsidRPr="00780440">
        <w:t xml:space="preserve">. </w:t>
      </w:r>
      <w:r w:rsidRPr="000F480E">
        <w:rPr>
          <w:b/>
          <w:bCs/>
        </w:rPr>
        <w:t>National Social Science Proceedings</w:t>
      </w:r>
      <w:r w:rsidRPr="00780440">
        <w:t xml:space="preserve"> 48</w:t>
      </w:r>
      <w:r w:rsidR="000F480E">
        <w:rPr>
          <w:rFonts w:hint="cs"/>
          <w:rtl/>
        </w:rPr>
        <w:t>:</w:t>
      </w:r>
      <w:r w:rsidRPr="00780440">
        <w:t xml:space="preserve"> 54-70. </w:t>
      </w:r>
    </w:p>
    <w:p w:rsidR="009D7D46" w:rsidRDefault="009D7D46" w:rsidP="009D7D46">
      <w:pPr>
        <w:bidi w:val="0"/>
        <w:spacing w:line="276" w:lineRule="auto"/>
        <w:jc w:val="left"/>
      </w:pPr>
      <w:r w:rsidRPr="009D7D46">
        <w:t>Fall, A.M., Roberts, G. (2012). High school dropouts: Interactions between social context, self-perception, school engagement and students dropout. J Adolescence 35(4), 787-798.</w:t>
      </w:r>
    </w:p>
    <w:p w:rsidR="009D7D46" w:rsidRPr="009D7D46" w:rsidRDefault="009D7D46" w:rsidP="009D7D46">
      <w:pPr>
        <w:bidi w:val="0"/>
        <w:spacing w:line="276" w:lineRule="auto"/>
        <w:jc w:val="left"/>
      </w:pPr>
      <w:r w:rsidRPr="009D7D46">
        <w:t xml:space="preserve">Foliano, F., Meschi, E., Vignoles, A. (2010). Why do children become disengaged from school. Department of Quantitive Social Science. </w:t>
      </w:r>
      <w:hyperlink r:id="rId36" w:history="1">
        <w:r w:rsidRPr="009D7D46">
          <w:rPr>
            <w:color w:val="0000FF" w:themeColor="hyperlink"/>
            <w:u w:val="single"/>
          </w:rPr>
          <w:t>http://repec.ioe.ac.uk/REPEc/pdf/qsswp1006.pdf</w:t>
        </w:r>
      </w:hyperlink>
    </w:p>
    <w:p w:rsidR="00780440" w:rsidRPr="00780440" w:rsidRDefault="00780440" w:rsidP="000F480E">
      <w:pPr>
        <w:bidi w:val="0"/>
        <w:spacing w:line="276" w:lineRule="auto"/>
        <w:jc w:val="left"/>
      </w:pPr>
      <w:r w:rsidRPr="00780440">
        <w:t>Fredricks, J., Blumenfeld, P., &amp; Paris, A.</w:t>
      </w:r>
      <w:r w:rsidR="000F480E" w:rsidRPr="00780440">
        <w:t xml:space="preserve"> </w:t>
      </w:r>
      <w:r w:rsidRPr="00780440">
        <w:t xml:space="preserve">2004. </w:t>
      </w:r>
      <w:r w:rsidR="000F480E">
        <w:rPr>
          <w:rFonts w:hint="cs"/>
          <w:rtl/>
        </w:rPr>
        <w:t>"</w:t>
      </w:r>
      <w:r w:rsidRPr="00780440">
        <w:t>School engagement: Potential of the concept, state of evidence</w:t>
      </w:r>
      <w:r w:rsidR="000F480E">
        <w:rPr>
          <w:rFonts w:hint="cs"/>
          <w:rtl/>
        </w:rPr>
        <w:t>"</w:t>
      </w:r>
      <w:r w:rsidRPr="00780440">
        <w:t xml:space="preserve">. </w:t>
      </w:r>
      <w:r w:rsidRPr="00780440">
        <w:rPr>
          <w:b/>
          <w:bCs/>
        </w:rPr>
        <w:t>Review of Educational Research</w:t>
      </w:r>
      <w:r w:rsidRPr="00780440">
        <w:t xml:space="preserve"> 74 (1)</w:t>
      </w:r>
      <w:r w:rsidR="000F480E">
        <w:rPr>
          <w:rFonts w:hint="cs"/>
          <w:rtl/>
        </w:rPr>
        <w:t>:</w:t>
      </w:r>
      <w:r w:rsidRPr="00780440">
        <w:t xml:space="preserve"> 59-105. </w:t>
      </w:r>
      <w:hyperlink r:id="rId37" w:history="1">
        <w:r w:rsidRPr="00780440">
          <w:rPr>
            <w:color w:val="0000FF"/>
            <w:u w:val="single"/>
          </w:rPr>
          <w:t>http://dx.doi.org/10.3102/00346543074001059</w:t>
        </w:r>
      </w:hyperlink>
    </w:p>
    <w:p w:rsidR="00780440" w:rsidRPr="00780440" w:rsidRDefault="00780440" w:rsidP="000F480E">
      <w:pPr>
        <w:bidi w:val="0"/>
        <w:spacing w:after="0" w:line="240" w:lineRule="auto"/>
        <w:jc w:val="left"/>
      </w:pPr>
      <w:r w:rsidRPr="00780440">
        <w:t xml:space="preserve">Johnson, M., Crosnoe, R., &amp; Elder, G. 2001. </w:t>
      </w:r>
      <w:r w:rsidR="000F480E">
        <w:rPr>
          <w:rFonts w:hint="cs"/>
          <w:rtl/>
        </w:rPr>
        <w:t>"</w:t>
      </w:r>
      <w:r w:rsidRPr="00780440">
        <w:t>Students’ attachment and</w:t>
      </w:r>
    </w:p>
    <w:p w:rsidR="00780440" w:rsidRPr="00780440" w:rsidRDefault="00780440" w:rsidP="000F480E">
      <w:pPr>
        <w:bidi w:val="0"/>
        <w:spacing w:after="0" w:line="240" w:lineRule="auto"/>
        <w:jc w:val="left"/>
      </w:pPr>
      <w:r w:rsidRPr="00780440">
        <w:t>academic engagement: The role of ethnicity</w:t>
      </w:r>
      <w:r w:rsidR="000F480E">
        <w:rPr>
          <w:rFonts w:hint="cs"/>
          <w:rtl/>
        </w:rPr>
        <w:t>"</w:t>
      </w:r>
      <w:r w:rsidRPr="00780440">
        <w:t xml:space="preserve">. </w:t>
      </w:r>
      <w:r w:rsidRPr="000F480E">
        <w:rPr>
          <w:b/>
          <w:bCs/>
        </w:rPr>
        <w:t>Sociology of Education</w:t>
      </w:r>
      <w:r w:rsidRPr="00780440">
        <w:t xml:space="preserve"> 74</w:t>
      </w:r>
      <w:r w:rsidR="000F480E">
        <w:rPr>
          <w:rFonts w:hint="cs"/>
          <w:rtl/>
        </w:rPr>
        <w:t>:</w:t>
      </w:r>
    </w:p>
    <w:p w:rsidR="00780440" w:rsidRDefault="00780440" w:rsidP="006103BC">
      <w:pPr>
        <w:bidi w:val="0"/>
        <w:spacing w:after="0" w:line="240" w:lineRule="auto"/>
        <w:jc w:val="left"/>
      </w:pPr>
      <w:r w:rsidRPr="00780440">
        <w:t>318–340.</w:t>
      </w:r>
    </w:p>
    <w:p w:rsidR="00780440" w:rsidRPr="00780440" w:rsidRDefault="00780440" w:rsidP="006103BC">
      <w:pPr>
        <w:bidi w:val="0"/>
        <w:spacing w:after="0" w:line="240" w:lineRule="auto"/>
        <w:jc w:val="left"/>
      </w:pPr>
    </w:p>
    <w:p w:rsidR="00780440" w:rsidRDefault="00780440" w:rsidP="000F480E">
      <w:pPr>
        <w:bidi w:val="0"/>
        <w:spacing w:line="240" w:lineRule="auto"/>
        <w:jc w:val="left"/>
      </w:pPr>
      <w:r w:rsidRPr="00780440">
        <w:t xml:space="preserve">Lloyd-Jones, S., Bowen, R., Holton, D., Griffin, T., Sims, J. 2010. </w:t>
      </w:r>
      <w:r w:rsidRPr="008B557F">
        <w:rPr>
          <w:b/>
          <w:bCs/>
        </w:rPr>
        <w:t>A qualitative research study to explore young people's disengagement from learning</w:t>
      </w:r>
      <w:r w:rsidRPr="00780440">
        <w:t xml:space="preserve">. Welsh Assembly Government Social Research. </w:t>
      </w:r>
      <w:hyperlink r:id="rId38" w:history="1">
        <w:r w:rsidRPr="00780440">
          <w:rPr>
            <w:color w:val="0000FF" w:themeColor="hyperlink"/>
            <w:u w:val="single"/>
          </w:rPr>
          <w:t>http://dera.ioe.ac.uk/570/1/100715disengagementreporten.pdf</w:t>
        </w:r>
      </w:hyperlink>
    </w:p>
    <w:p w:rsidR="009D7D46" w:rsidRPr="009D7D46" w:rsidRDefault="009D7D46" w:rsidP="009D7D46">
      <w:pPr>
        <w:bidi w:val="0"/>
        <w:spacing w:line="276" w:lineRule="auto"/>
        <w:jc w:val="left"/>
      </w:pPr>
      <w:r w:rsidRPr="009D7D46">
        <w:t>Makarova, E., Herzog, W. (2013). Hidden School Dropout among immigrant students: a cross-sectional study.</w:t>
      </w:r>
      <w:r w:rsidRPr="009D7D46">
        <w:rPr>
          <w:b/>
          <w:bCs/>
        </w:rPr>
        <w:t xml:space="preserve"> Intercultural Education</w:t>
      </w:r>
      <w:r w:rsidRPr="009D7D46">
        <w:t xml:space="preserve">, 24:6, 559-572. </w:t>
      </w:r>
      <w:hyperlink r:id="rId39" w:history="1">
        <w:r w:rsidRPr="009D7D46">
          <w:rPr>
            <w:color w:val="0000FF"/>
            <w:u w:val="single"/>
          </w:rPr>
          <w:t>http://dx.doi.org/10.1080/14675986.2013.867603</w:t>
        </w:r>
      </w:hyperlink>
    </w:p>
    <w:p w:rsidR="00780440" w:rsidRPr="00780440" w:rsidRDefault="00780440" w:rsidP="000F480E">
      <w:pPr>
        <w:bidi w:val="0"/>
        <w:spacing w:line="276" w:lineRule="auto"/>
        <w:jc w:val="left"/>
      </w:pPr>
      <w:r w:rsidRPr="00780440">
        <w:t xml:space="preserve">Orthner, D.K., Jones-Sanpei, H., Akos, P., Rose, R.A. 2013. </w:t>
      </w:r>
      <w:r w:rsidR="000F480E">
        <w:rPr>
          <w:rFonts w:hint="cs"/>
          <w:rtl/>
        </w:rPr>
        <w:t>"</w:t>
      </w:r>
      <w:r w:rsidRPr="00780440">
        <w:t>Improving Middle School Students Engagement Through Career-Relevant Instruction in the Core Curriculum</w:t>
      </w:r>
      <w:r w:rsidR="000F480E">
        <w:rPr>
          <w:rFonts w:hint="cs"/>
          <w:rtl/>
        </w:rPr>
        <w:t>"</w:t>
      </w:r>
      <w:r w:rsidRPr="00780440">
        <w:t xml:space="preserve">. </w:t>
      </w:r>
      <w:r w:rsidRPr="000F480E">
        <w:rPr>
          <w:b/>
          <w:bCs/>
        </w:rPr>
        <w:t>The journal of educational research</w:t>
      </w:r>
      <w:r w:rsidRPr="00780440">
        <w:t>, 106</w:t>
      </w:r>
      <w:r w:rsidR="000F480E">
        <w:rPr>
          <w:rFonts w:hint="cs"/>
          <w:rtl/>
        </w:rPr>
        <w:t>:</w:t>
      </w:r>
      <w:r w:rsidRPr="00780440">
        <w:t xml:space="preserve">27-38. </w:t>
      </w:r>
    </w:p>
    <w:p w:rsidR="00780440" w:rsidRPr="00780440" w:rsidRDefault="00780440" w:rsidP="00780440">
      <w:pPr>
        <w:bidi w:val="0"/>
        <w:spacing w:line="276" w:lineRule="auto"/>
        <w:jc w:val="left"/>
        <w:rPr>
          <w:rFonts w:asciiTheme="minorHAnsi" w:eastAsiaTheme="minorHAnsi" w:hAnsiTheme="minorHAnsi" w:cstheme="minorBidi"/>
          <w:sz w:val="22"/>
          <w:szCs w:val="22"/>
          <w:lang w:eastAsia="en-US"/>
        </w:rPr>
      </w:pPr>
      <w:r w:rsidRPr="00780440">
        <w:rPr>
          <w:rFonts w:asciiTheme="minorHAnsi" w:eastAsiaTheme="minorHAnsi" w:hAnsiTheme="minorHAnsi" w:cstheme="minorBidi"/>
          <w:sz w:val="22"/>
          <w:szCs w:val="22"/>
          <w:lang w:eastAsia="en-US"/>
        </w:rPr>
        <w:t xml:space="preserve">OECD (2012). </w:t>
      </w:r>
      <w:r w:rsidRPr="008B557F">
        <w:rPr>
          <w:rFonts w:asciiTheme="minorHAnsi" w:eastAsiaTheme="minorHAnsi" w:hAnsiTheme="minorHAnsi" w:cstheme="minorBidi"/>
          <w:b/>
          <w:bCs/>
          <w:sz w:val="22"/>
          <w:szCs w:val="22"/>
          <w:lang w:eastAsia="en-US"/>
        </w:rPr>
        <w:t>Data</w:t>
      </w:r>
      <w:r w:rsidRPr="00780440">
        <w:rPr>
          <w:rFonts w:asciiTheme="minorHAnsi" w:eastAsiaTheme="minorHAnsi" w:hAnsiTheme="minorHAnsi" w:cstheme="minorBidi"/>
          <w:sz w:val="22"/>
          <w:szCs w:val="22"/>
          <w:lang w:eastAsia="en-US"/>
        </w:rPr>
        <w:t xml:space="preserve">: </w:t>
      </w:r>
      <w:hyperlink r:id="rId40" w:history="1">
        <w:r w:rsidRPr="00780440">
          <w:rPr>
            <w:color w:val="0000FF"/>
            <w:u w:val="single"/>
          </w:rPr>
          <w:t>http://nces.ed.gov/surveys/pisa/datafiles.asp</w:t>
        </w:r>
      </w:hyperlink>
    </w:p>
    <w:p w:rsidR="00780440" w:rsidRPr="00780440" w:rsidRDefault="00780440" w:rsidP="000F480E">
      <w:pPr>
        <w:bidi w:val="0"/>
        <w:spacing w:line="276" w:lineRule="auto"/>
        <w:jc w:val="left"/>
      </w:pPr>
      <w:r w:rsidRPr="00780440">
        <w:t>OECD</w:t>
      </w:r>
      <w:r w:rsidR="008B557F">
        <w:t>. 2013.</w:t>
      </w:r>
      <w:r w:rsidRPr="00780440">
        <w:t xml:space="preserve"> </w:t>
      </w:r>
      <w:r w:rsidRPr="008B557F">
        <w:rPr>
          <w:b/>
          <w:bCs/>
        </w:rPr>
        <w:t>PISA 2012 Results: Ready to Learn: Students’ Engagement, Drive and Self-Beliefs</w:t>
      </w:r>
      <w:r w:rsidRPr="00780440">
        <w:t xml:space="preserve"> (Volume III),PISA, OECD Publishing .http://dx.doi.org/10.1787/9789264201170-en</w:t>
      </w:r>
      <w:r w:rsidR="000F480E">
        <w:rPr>
          <w:rFonts w:hint="cs"/>
          <w:rtl/>
        </w:rPr>
        <w:t xml:space="preserve">  </w:t>
      </w:r>
      <w:r w:rsidR="000F480E">
        <w:t xml:space="preserve"> </w:t>
      </w:r>
    </w:p>
    <w:p w:rsidR="00780440" w:rsidRDefault="00780440" w:rsidP="008B557F">
      <w:pPr>
        <w:bidi w:val="0"/>
        <w:spacing w:line="276" w:lineRule="auto"/>
        <w:jc w:val="left"/>
      </w:pPr>
      <w:r w:rsidRPr="00780440">
        <w:t>PISA</w:t>
      </w:r>
      <w:r w:rsidR="008B557F">
        <w:t>. 2006.</w:t>
      </w:r>
      <w:r w:rsidRPr="00780440">
        <w:t xml:space="preserve">  </w:t>
      </w:r>
      <w:r w:rsidRPr="008B557F">
        <w:rPr>
          <w:b/>
          <w:bCs/>
        </w:rPr>
        <w:t>T</w:t>
      </w:r>
      <w:r w:rsidR="008B557F" w:rsidRPr="008B557F">
        <w:rPr>
          <w:b/>
          <w:bCs/>
        </w:rPr>
        <w:t>he</w:t>
      </w:r>
      <w:r w:rsidRPr="008B557F">
        <w:rPr>
          <w:b/>
          <w:bCs/>
        </w:rPr>
        <w:t xml:space="preserve"> OECD </w:t>
      </w:r>
      <w:r w:rsidR="008B557F" w:rsidRPr="008B557F">
        <w:rPr>
          <w:b/>
          <w:bCs/>
        </w:rPr>
        <w:t>Program for international students assessment</w:t>
      </w:r>
      <w:r w:rsidRPr="00780440">
        <w:t xml:space="preserve">.  </w:t>
      </w:r>
      <w:hyperlink r:id="rId41" w:history="1">
        <w:r w:rsidRPr="00780440">
          <w:rPr>
            <w:color w:val="0000FF" w:themeColor="hyperlink"/>
            <w:u w:val="single"/>
          </w:rPr>
          <w:t>http://cms.education.gov.il/NR/rdonlyres/582A52BD-382A-4E00-B65D-BCD37FE97773/88667/PISA_OECD.pdf</w:t>
        </w:r>
      </w:hyperlink>
    </w:p>
    <w:p w:rsidR="009D7D46" w:rsidRPr="009D7D46" w:rsidRDefault="009D7D46" w:rsidP="009D7D46">
      <w:pPr>
        <w:spacing w:line="276" w:lineRule="auto"/>
        <w:jc w:val="right"/>
      </w:pPr>
      <w:r w:rsidRPr="009D7D46">
        <w:t>Roorda, D.L., Koomen, H.M.Y., Split, J.L., Oort, F.J. (2011). The influence of effective teacher-student relationship on students' school engagement and achievement: A meta-analytic approach. Review of educational research, Vol. 81(4), 493-529.</w:t>
      </w:r>
    </w:p>
    <w:p w:rsidR="00780440" w:rsidRPr="00780440" w:rsidRDefault="00780440" w:rsidP="008B557F">
      <w:pPr>
        <w:spacing w:line="276" w:lineRule="auto"/>
        <w:jc w:val="right"/>
        <w:rPr>
          <w:color w:val="0000FF"/>
          <w:u w:val="single"/>
        </w:rPr>
      </w:pPr>
      <w:r w:rsidRPr="00780440">
        <w:t>Ross, A. 2009.</w:t>
      </w:r>
      <w:r w:rsidRPr="008B557F">
        <w:rPr>
          <w:b/>
          <w:bCs/>
        </w:rPr>
        <w:t xml:space="preserve"> Disengagement from education among 14-16 year old</w:t>
      </w:r>
      <w:r w:rsidRPr="00780440">
        <w:t xml:space="preserve">. National Centre for Social Research DCSF. </w:t>
      </w:r>
      <w:hyperlink r:id="rId42" w:history="1">
        <w:r w:rsidRPr="00780440">
          <w:rPr>
            <w:color w:val="0000FF"/>
            <w:u w:val="single"/>
          </w:rPr>
          <w:t>http://publications.dcsf.gov.uk/eOrderingDownload/DCSF-RR178.pdf</w:t>
        </w:r>
      </w:hyperlink>
    </w:p>
    <w:p w:rsidR="00780440" w:rsidRPr="00780440" w:rsidRDefault="00780440" w:rsidP="000F480E">
      <w:pPr>
        <w:spacing w:line="276" w:lineRule="auto"/>
        <w:jc w:val="right"/>
        <w:rPr>
          <w:rtl/>
        </w:rPr>
      </w:pPr>
      <w:r w:rsidRPr="00780440">
        <w:t xml:space="preserve">Skinner, E., Furrer, C., Marchand, G., Kindermann, T. 2008. </w:t>
      </w:r>
      <w:r w:rsidR="000F480E">
        <w:t>"</w:t>
      </w:r>
      <w:r w:rsidRPr="00780440">
        <w:t>Engagement and disaffection in the classroom: Part or larger motivational dynamic</w:t>
      </w:r>
      <w:r w:rsidR="000F480E">
        <w:t>"</w:t>
      </w:r>
      <w:r w:rsidRPr="00780440">
        <w:t xml:space="preserve">. </w:t>
      </w:r>
      <w:r w:rsidRPr="000F480E">
        <w:rPr>
          <w:b/>
          <w:bCs/>
        </w:rPr>
        <w:t>Journal of Educational Psychology</w:t>
      </w:r>
      <w:r w:rsidRPr="00780440">
        <w:t>, 100(4)</w:t>
      </w:r>
      <w:r w:rsidR="000F480E">
        <w:t>:</w:t>
      </w:r>
      <w:r w:rsidRPr="00780440">
        <w:t xml:space="preserve"> 765-781.</w:t>
      </w:r>
    </w:p>
    <w:p w:rsidR="00780440" w:rsidRDefault="00780440" w:rsidP="000F480E">
      <w:pPr>
        <w:bidi w:val="0"/>
        <w:spacing w:line="240" w:lineRule="auto"/>
        <w:jc w:val="left"/>
      </w:pPr>
      <w:r w:rsidRPr="00780440">
        <w:t xml:space="preserve">Wang, M-T., Holcombe, R. 2010. </w:t>
      </w:r>
      <w:r w:rsidR="000F480E">
        <w:t>"</w:t>
      </w:r>
      <w:r w:rsidRPr="00780440">
        <w:t>Adolescents' of school environment, engagement, and academic achievement in middle school</w:t>
      </w:r>
      <w:r w:rsidR="000F480E">
        <w:t>"</w:t>
      </w:r>
      <w:r w:rsidRPr="00780440">
        <w:t xml:space="preserve">. </w:t>
      </w:r>
      <w:r w:rsidRPr="000F480E">
        <w:rPr>
          <w:b/>
          <w:bCs/>
        </w:rPr>
        <w:t>American Educational Research Journal</w:t>
      </w:r>
      <w:r w:rsidRPr="00780440">
        <w:t>, 47(3)</w:t>
      </w:r>
      <w:r w:rsidR="000F480E">
        <w:t>:</w:t>
      </w:r>
      <w:r w:rsidRPr="00780440">
        <w:t xml:space="preserve"> 633-662.</w:t>
      </w:r>
    </w:p>
    <w:p w:rsidR="00E2774A" w:rsidRPr="00E2774A" w:rsidRDefault="00E2774A" w:rsidP="00E2774A">
      <w:pPr>
        <w:bidi w:val="0"/>
        <w:spacing w:line="240" w:lineRule="auto"/>
        <w:jc w:val="left"/>
      </w:pPr>
      <w:r w:rsidRPr="00E2774A">
        <w:t>Willms, J.D. (2003) S</w:t>
      </w:r>
      <w:r>
        <w:t>tudents</w:t>
      </w:r>
      <w:r w:rsidRPr="00E2774A">
        <w:t xml:space="preserve"> </w:t>
      </w:r>
      <w:r>
        <w:t>engagement at school a sense of belonging and participation results from</w:t>
      </w:r>
      <w:r w:rsidRPr="00E2774A">
        <w:t xml:space="preserve"> PISA 2000 </w:t>
      </w:r>
      <w:hyperlink r:id="rId43" w:history="1">
        <w:r w:rsidRPr="00E2774A">
          <w:rPr>
            <w:color w:val="0000FF" w:themeColor="hyperlink"/>
            <w:u w:val="single"/>
          </w:rPr>
          <w:t>http://www.oecd.org/edu/school/programmeforinternationalstudentassessmentpisa/33689437.pdf</w:t>
        </w:r>
      </w:hyperlink>
    </w:p>
    <w:p w:rsidR="00E2774A" w:rsidRPr="00780440" w:rsidRDefault="00E2774A" w:rsidP="00E2774A">
      <w:pPr>
        <w:bidi w:val="0"/>
        <w:spacing w:line="240" w:lineRule="auto"/>
        <w:jc w:val="left"/>
      </w:pPr>
    </w:p>
    <w:sectPr w:rsidR="00E2774A" w:rsidRPr="00780440" w:rsidSect="00A95B03">
      <w:headerReference w:type="even" r:id="rId44"/>
      <w:headerReference w:type="default" r:id="rId45"/>
      <w:footerReference w:type="default" r:id="rId46"/>
      <w:headerReference w:type="first" r:id="rId47"/>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254" w:rsidRDefault="00FE1254" w:rsidP="0027767F">
      <w:pPr>
        <w:spacing w:after="0" w:line="240" w:lineRule="auto"/>
      </w:pPr>
      <w:r>
        <w:separator/>
      </w:r>
    </w:p>
  </w:endnote>
  <w:endnote w:type="continuationSeparator" w:id="0">
    <w:p w:rsidR="00FE1254" w:rsidRDefault="00FE1254" w:rsidP="00277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E" w:rsidRDefault="003A145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D46" w:rsidRDefault="009D7D46" w:rsidP="002663F0">
    <w:pPr>
      <w:pStyle w:val="a6"/>
      <w:jc w:val="center"/>
    </w:pPr>
  </w:p>
  <w:p w:rsidR="009D7D46" w:rsidRDefault="009D7D46" w:rsidP="00D85923">
    <w:pPr>
      <w:pStyle w:val="a6"/>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E" w:rsidRDefault="003A145E">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83182788"/>
      <w:docPartObj>
        <w:docPartGallery w:val="Page Numbers (Bottom of Page)"/>
        <w:docPartUnique/>
      </w:docPartObj>
    </w:sdtPr>
    <w:sdtEndPr>
      <w:rPr>
        <w:noProof/>
      </w:rPr>
    </w:sdtEndPr>
    <w:sdtContent>
      <w:p w:rsidR="009D7D46" w:rsidRDefault="009D7D46">
        <w:pPr>
          <w:pStyle w:val="a6"/>
          <w:jc w:val="center"/>
        </w:pPr>
        <w:r>
          <w:fldChar w:fldCharType="begin"/>
        </w:r>
        <w:r>
          <w:instrText xml:space="preserve"> PAGE   \* MERGEFORMAT </w:instrText>
        </w:r>
        <w:r>
          <w:fldChar w:fldCharType="separate"/>
        </w:r>
        <w:r w:rsidR="003A145E">
          <w:rPr>
            <w:noProof/>
            <w:rtl/>
          </w:rPr>
          <w:t>2</w:t>
        </w:r>
        <w:r>
          <w:rPr>
            <w:noProof/>
          </w:rPr>
          <w:fldChar w:fldCharType="end"/>
        </w:r>
      </w:p>
    </w:sdtContent>
  </w:sdt>
  <w:p w:rsidR="009D7D46" w:rsidRDefault="009D7D46" w:rsidP="00D85923">
    <w:pPr>
      <w:pStyle w:val="a6"/>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254" w:rsidRDefault="00FE1254" w:rsidP="0027767F">
      <w:pPr>
        <w:spacing w:after="0" w:line="240" w:lineRule="auto"/>
      </w:pPr>
      <w:r>
        <w:separator/>
      </w:r>
    </w:p>
  </w:footnote>
  <w:footnote w:type="continuationSeparator" w:id="0">
    <w:p w:rsidR="00FE1254" w:rsidRDefault="00FE1254" w:rsidP="0027767F">
      <w:pPr>
        <w:spacing w:after="0" w:line="240" w:lineRule="auto"/>
      </w:pPr>
      <w:r>
        <w:continuationSeparator/>
      </w:r>
    </w:p>
  </w:footnote>
  <w:footnote w:id="1">
    <w:p w:rsidR="009D7D46" w:rsidRPr="0069108D" w:rsidRDefault="009D7D46" w:rsidP="00A95B03">
      <w:pPr>
        <w:pStyle w:val="a4"/>
        <w:spacing w:after="0"/>
        <w:rPr>
          <w:rtl/>
        </w:rPr>
      </w:pPr>
      <w:r w:rsidRPr="0069108D">
        <w:rPr>
          <w:rStyle w:val="ad"/>
        </w:rPr>
        <w:footnoteRef/>
      </w:r>
      <w:r w:rsidRPr="0069108D">
        <w:rPr>
          <w:rtl/>
        </w:rPr>
        <w:t xml:space="preserve"> </w:t>
      </w:r>
      <w:r w:rsidRPr="0069108D">
        <w:rPr>
          <w:rFonts w:hint="cs"/>
          <w:rtl/>
        </w:rPr>
        <w:t>מקור</w:t>
      </w:r>
      <w:r w:rsidRPr="0069108D">
        <w:rPr>
          <w:rtl/>
        </w:rPr>
        <w:t xml:space="preserve">: </w:t>
      </w:r>
      <w:r w:rsidRPr="0069108D">
        <w:rPr>
          <w:rFonts w:hint="cs"/>
          <w:rtl/>
        </w:rPr>
        <w:t>שנתון</w:t>
      </w:r>
      <w:r w:rsidRPr="0069108D">
        <w:rPr>
          <w:rtl/>
        </w:rPr>
        <w:t xml:space="preserve"> </w:t>
      </w:r>
      <w:r w:rsidRPr="0069108D">
        <w:rPr>
          <w:rFonts w:hint="cs"/>
          <w:rtl/>
        </w:rPr>
        <w:t>סטטיסטי</w:t>
      </w:r>
      <w:r w:rsidRPr="0069108D">
        <w:rPr>
          <w:rtl/>
        </w:rPr>
        <w:t xml:space="preserve"> </w:t>
      </w:r>
      <w:r w:rsidRPr="0069108D">
        <w:rPr>
          <w:rFonts w:hint="cs"/>
          <w:rtl/>
        </w:rPr>
        <w:t>לישראל</w:t>
      </w:r>
      <w:r w:rsidRPr="0069108D">
        <w:rPr>
          <w:rtl/>
        </w:rPr>
        <w:t>, 2001-2013 .</w:t>
      </w:r>
    </w:p>
  </w:footnote>
  <w:footnote w:id="2">
    <w:p w:rsidR="009D7D46" w:rsidRPr="00794707" w:rsidRDefault="009D7D46" w:rsidP="00A95B03">
      <w:pPr>
        <w:pStyle w:val="a4"/>
        <w:spacing w:after="0"/>
        <w:rPr>
          <w:rtl/>
        </w:rPr>
      </w:pPr>
      <w:r w:rsidRPr="00794707">
        <w:rPr>
          <w:rStyle w:val="ad"/>
        </w:rPr>
        <w:footnoteRef/>
      </w:r>
      <w:r w:rsidRPr="00794707">
        <w:rPr>
          <w:rtl/>
        </w:rPr>
        <w:t xml:space="preserve"> </w:t>
      </w:r>
      <w:r w:rsidRPr="00794707">
        <w:rPr>
          <w:rFonts w:hint="eastAsia"/>
          <w:b/>
          <w:bCs/>
          <w:rtl/>
        </w:rPr>
        <w:t>הו</w:t>
      </w:r>
      <w:r w:rsidR="003E4166">
        <w:rPr>
          <w:rFonts w:hint="cs"/>
          <w:b/>
          <w:bCs/>
          <w:rtl/>
        </w:rPr>
        <w:t>ו</w:t>
      </w:r>
      <w:r w:rsidRPr="00794707">
        <w:rPr>
          <w:rFonts w:hint="eastAsia"/>
          <w:b/>
          <w:bCs/>
          <w:rtl/>
        </w:rPr>
        <w:t>עדה</w:t>
      </w:r>
      <w:r w:rsidRPr="00794707">
        <w:rPr>
          <w:b/>
          <w:bCs/>
          <w:rtl/>
        </w:rPr>
        <w:t xml:space="preserve"> </w:t>
      </w:r>
      <w:r w:rsidRPr="00794707">
        <w:rPr>
          <w:rFonts w:hint="eastAsia"/>
          <w:b/>
          <w:bCs/>
          <w:rtl/>
        </w:rPr>
        <w:t>המיוחדת</w:t>
      </w:r>
      <w:r w:rsidRPr="00794707">
        <w:rPr>
          <w:b/>
          <w:bCs/>
          <w:rtl/>
        </w:rPr>
        <w:t xml:space="preserve"> </w:t>
      </w:r>
      <w:r w:rsidRPr="00794707">
        <w:rPr>
          <w:rFonts w:hint="eastAsia"/>
          <w:b/>
          <w:bCs/>
          <w:rtl/>
        </w:rPr>
        <w:t>לנושא</w:t>
      </w:r>
      <w:r w:rsidRPr="00794707">
        <w:rPr>
          <w:b/>
          <w:bCs/>
          <w:rtl/>
        </w:rPr>
        <w:t xml:space="preserve"> </w:t>
      </w:r>
      <w:r w:rsidRPr="00794707">
        <w:rPr>
          <w:rFonts w:hint="eastAsia"/>
          <w:b/>
          <w:bCs/>
          <w:rtl/>
        </w:rPr>
        <w:t>הנשירה</w:t>
      </w:r>
      <w:r w:rsidRPr="00794707">
        <w:rPr>
          <w:b/>
          <w:bCs/>
          <w:rtl/>
        </w:rPr>
        <w:t xml:space="preserve"> </w:t>
      </w:r>
      <w:r w:rsidRPr="00794707">
        <w:rPr>
          <w:rFonts w:hint="eastAsia"/>
          <w:b/>
          <w:bCs/>
          <w:rtl/>
        </w:rPr>
        <w:t>מבית</w:t>
      </w:r>
      <w:r w:rsidRPr="00794707">
        <w:rPr>
          <w:b/>
          <w:bCs/>
          <w:rtl/>
        </w:rPr>
        <w:t xml:space="preserve"> </w:t>
      </w:r>
      <w:r w:rsidRPr="00794707">
        <w:rPr>
          <w:rFonts w:hint="eastAsia"/>
          <w:b/>
          <w:bCs/>
          <w:rtl/>
        </w:rPr>
        <w:t>הספר</w:t>
      </w:r>
      <w:r w:rsidRPr="00794707">
        <w:rPr>
          <w:b/>
          <w:bCs/>
          <w:rtl/>
        </w:rPr>
        <w:t xml:space="preserve"> </w:t>
      </w:r>
      <w:r w:rsidRPr="00794707">
        <w:rPr>
          <w:rFonts w:hint="eastAsia"/>
          <w:b/>
          <w:bCs/>
          <w:rtl/>
        </w:rPr>
        <w:t>בראשות</w:t>
      </w:r>
      <w:r w:rsidRPr="00794707">
        <w:rPr>
          <w:b/>
          <w:bCs/>
          <w:rtl/>
        </w:rPr>
        <w:t xml:space="preserve"> </w:t>
      </w:r>
      <w:r w:rsidRPr="00794707">
        <w:rPr>
          <w:rFonts w:hint="eastAsia"/>
          <w:b/>
          <w:bCs/>
          <w:rtl/>
        </w:rPr>
        <w:t>חברת</w:t>
      </w:r>
      <w:r w:rsidRPr="00794707">
        <w:rPr>
          <w:b/>
          <w:bCs/>
          <w:rtl/>
        </w:rPr>
        <w:t xml:space="preserve"> </w:t>
      </w:r>
      <w:r w:rsidRPr="00794707">
        <w:rPr>
          <w:rFonts w:hint="eastAsia"/>
          <w:b/>
          <w:bCs/>
          <w:rtl/>
        </w:rPr>
        <w:t>הכנסת</w:t>
      </w:r>
      <w:r w:rsidRPr="00794707">
        <w:rPr>
          <w:b/>
          <w:bCs/>
          <w:rtl/>
        </w:rPr>
        <w:t xml:space="preserve"> </w:t>
      </w:r>
      <w:r w:rsidRPr="00794707">
        <w:rPr>
          <w:rFonts w:hint="eastAsia"/>
          <w:b/>
          <w:bCs/>
          <w:rtl/>
        </w:rPr>
        <w:t>תמר</w:t>
      </w:r>
      <w:r w:rsidRPr="00794707">
        <w:rPr>
          <w:b/>
          <w:bCs/>
          <w:rtl/>
        </w:rPr>
        <w:t xml:space="preserve"> </w:t>
      </w:r>
      <w:r w:rsidRPr="00794707">
        <w:rPr>
          <w:rFonts w:hint="eastAsia"/>
          <w:b/>
          <w:bCs/>
          <w:rtl/>
        </w:rPr>
        <w:t>גוז</w:t>
      </w:r>
      <w:r w:rsidRPr="00794707">
        <w:rPr>
          <w:b/>
          <w:bCs/>
          <w:rtl/>
        </w:rPr>
        <w:t>'</w:t>
      </w:r>
      <w:r w:rsidRPr="00794707">
        <w:rPr>
          <w:rFonts w:hint="eastAsia"/>
          <w:b/>
          <w:bCs/>
          <w:rtl/>
        </w:rPr>
        <w:t>נסקי</w:t>
      </w:r>
      <w:r w:rsidRPr="00794707">
        <w:rPr>
          <w:b/>
          <w:bCs/>
          <w:rtl/>
        </w:rPr>
        <w:t xml:space="preserve">, </w:t>
      </w:r>
      <w:r w:rsidRPr="00794707">
        <w:rPr>
          <w:rFonts w:hint="eastAsia"/>
          <w:b/>
          <w:bCs/>
          <w:rtl/>
        </w:rPr>
        <w:t>מסקנות</w:t>
      </w:r>
      <w:r w:rsidRPr="00794707">
        <w:rPr>
          <w:b/>
          <w:bCs/>
          <w:rtl/>
        </w:rPr>
        <w:t xml:space="preserve"> </w:t>
      </w:r>
      <w:r w:rsidRPr="00794707">
        <w:rPr>
          <w:rFonts w:hint="eastAsia"/>
          <w:b/>
          <w:bCs/>
          <w:rtl/>
        </w:rPr>
        <w:t>הו</w:t>
      </w:r>
      <w:r w:rsidR="003E4166">
        <w:rPr>
          <w:rFonts w:hint="cs"/>
          <w:b/>
          <w:bCs/>
          <w:rtl/>
        </w:rPr>
        <w:t>ו</w:t>
      </w:r>
      <w:r w:rsidRPr="00794707">
        <w:rPr>
          <w:rFonts w:hint="eastAsia"/>
          <w:b/>
          <w:bCs/>
          <w:rtl/>
        </w:rPr>
        <w:t>עדה</w:t>
      </w:r>
      <w:r w:rsidRPr="00794707">
        <w:rPr>
          <w:b/>
          <w:bCs/>
          <w:rtl/>
        </w:rPr>
        <w:t xml:space="preserve"> </w:t>
      </w:r>
      <w:r w:rsidRPr="00794707">
        <w:rPr>
          <w:rFonts w:hint="eastAsia"/>
          <w:b/>
          <w:bCs/>
          <w:rtl/>
        </w:rPr>
        <w:t>והמלצותיה</w:t>
      </w:r>
      <w:r w:rsidR="003E4166">
        <w:rPr>
          <w:rFonts w:hint="cs"/>
          <w:b/>
          <w:bCs/>
          <w:rtl/>
        </w:rPr>
        <w:t xml:space="preserve"> </w:t>
      </w:r>
      <w:r w:rsidRPr="00794707">
        <w:rPr>
          <w:rtl/>
        </w:rPr>
        <w:t>(2002).</w:t>
      </w:r>
      <w:r w:rsidRPr="00794707">
        <w:rPr>
          <w:b/>
          <w:bCs/>
          <w:rtl/>
        </w:rPr>
        <w:t xml:space="preserve"> </w:t>
      </w:r>
      <w:r w:rsidRPr="00794707">
        <w:rPr>
          <w:rFonts w:hint="eastAsia"/>
          <w:rtl/>
        </w:rPr>
        <w:t>הכנסת</w:t>
      </w:r>
      <w:r w:rsidRPr="00794707">
        <w:rPr>
          <w:rtl/>
        </w:rPr>
        <w:t>.</w:t>
      </w:r>
    </w:p>
  </w:footnote>
  <w:footnote w:id="3">
    <w:p w:rsidR="009D7D46" w:rsidRPr="00794707" w:rsidRDefault="009D7D46" w:rsidP="00A95B03">
      <w:pPr>
        <w:pStyle w:val="a4"/>
        <w:spacing w:after="0"/>
        <w:rPr>
          <w:rtl/>
        </w:rPr>
      </w:pPr>
      <w:r w:rsidRPr="00794707">
        <w:rPr>
          <w:rStyle w:val="ad"/>
        </w:rPr>
        <w:footnoteRef/>
      </w:r>
      <w:r w:rsidRPr="00794707">
        <w:rPr>
          <w:rtl/>
        </w:rPr>
        <w:t xml:space="preserve"> </w:t>
      </w:r>
      <w:hyperlink r:id="rId1" w:history="1">
        <w:r w:rsidRPr="00794707">
          <w:rPr>
            <w:rStyle w:val="Hyperlink"/>
          </w:rPr>
          <w:t>http://cms.education.gov.il/EducationCMS/Units/Ntfe/HdochHsofi/DochSofi.htm</w:t>
        </w:r>
        <w:r w:rsidRPr="00794707">
          <w:rPr>
            <w:rStyle w:val="Hyperlink"/>
            <w:rtl/>
          </w:rPr>
          <w:t xml:space="preserve"> </w:t>
        </w:r>
      </w:hyperlink>
      <w:r w:rsidRPr="00794707">
        <w:rPr>
          <w:rtl/>
        </w:rPr>
        <w:t xml:space="preserve"> </w:t>
      </w:r>
      <w:r w:rsidRPr="00794707">
        <w:rPr>
          <w:rFonts w:hint="eastAsia"/>
          <w:rtl/>
        </w:rPr>
        <w:t>התכנית</w:t>
      </w:r>
      <w:r w:rsidRPr="00794707">
        <w:rPr>
          <w:rtl/>
        </w:rPr>
        <w:t xml:space="preserve"> </w:t>
      </w:r>
      <w:r w:rsidRPr="00794707">
        <w:rPr>
          <w:rFonts w:hint="eastAsia"/>
          <w:rtl/>
        </w:rPr>
        <w:t>הלאומית</w:t>
      </w:r>
      <w:r w:rsidRPr="00794707">
        <w:rPr>
          <w:rtl/>
        </w:rPr>
        <w:t xml:space="preserve"> </w:t>
      </w:r>
      <w:r w:rsidRPr="00794707">
        <w:rPr>
          <w:rFonts w:hint="eastAsia"/>
          <w:rtl/>
        </w:rPr>
        <w:t>לחינוך</w:t>
      </w:r>
      <w:r w:rsidRPr="00794707">
        <w:rPr>
          <w:rtl/>
        </w:rPr>
        <w:t xml:space="preserve"> - </w:t>
      </w:r>
      <w:r w:rsidRPr="00794707">
        <w:rPr>
          <w:rFonts w:hint="eastAsia"/>
          <w:rtl/>
        </w:rPr>
        <w:t>דוח</w:t>
      </w:r>
      <w:r w:rsidRPr="00794707">
        <w:rPr>
          <w:rtl/>
        </w:rPr>
        <w:t xml:space="preserve"> </w:t>
      </w:r>
      <w:r w:rsidRPr="00794707">
        <w:rPr>
          <w:rFonts w:hint="eastAsia"/>
          <w:rtl/>
        </w:rPr>
        <w:t>סופי</w:t>
      </w:r>
      <w:r w:rsidRPr="00794707">
        <w:rPr>
          <w:rtl/>
        </w:rPr>
        <w:t>. 2005.</w:t>
      </w:r>
    </w:p>
  </w:footnote>
  <w:footnote w:id="4">
    <w:p w:rsidR="001C5661" w:rsidRDefault="001C5661" w:rsidP="001C5661">
      <w:pPr>
        <w:pStyle w:val="a4"/>
        <w:spacing w:after="0"/>
        <w:rPr>
          <w:szCs w:val="26"/>
          <w:rtl/>
        </w:rPr>
      </w:pPr>
      <w:r w:rsidRPr="003B33FD">
        <w:rPr>
          <w:rStyle w:val="ad"/>
        </w:rPr>
        <w:footnoteRef/>
      </w:r>
      <w:r w:rsidRPr="003B33FD">
        <w:rPr>
          <w:rtl/>
        </w:rPr>
        <w:t xml:space="preserve"> </w:t>
      </w:r>
      <w:r>
        <w:rPr>
          <w:rFonts w:hint="cs"/>
          <w:rtl/>
        </w:rPr>
        <w:t>ב</w:t>
      </w:r>
      <w:r w:rsidRPr="003B33FD">
        <w:rPr>
          <w:rFonts w:hint="eastAsia"/>
          <w:rtl/>
        </w:rPr>
        <w:t>שנים</w:t>
      </w:r>
      <w:r w:rsidRPr="003B33FD">
        <w:rPr>
          <w:rtl/>
        </w:rPr>
        <w:t xml:space="preserve"> </w:t>
      </w:r>
      <w:r w:rsidRPr="003B33FD">
        <w:rPr>
          <w:rFonts w:hint="eastAsia"/>
          <w:rtl/>
        </w:rPr>
        <w:t>האחרונות</w:t>
      </w:r>
      <w:r w:rsidRPr="003B33FD">
        <w:rPr>
          <w:rtl/>
        </w:rPr>
        <w:t xml:space="preserve"> </w:t>
      </w:r>
      <w:r w:rsidRPr="003B33FD">
        <w:rPr>
          <w:rFonts w:hint="eastAsia"/>
          <w:rtl/>
        </w:rPr>
        <w:t>נעשה</w:t>
      </w:r>
      <w:r w:rsidRPr="003B33FD">
        <w:rPr>
          <w:rtl/>
        </w:rPr>
        <w:t xml:space="preserve"> </w:t>
      </w:r>
      <w:r w:rsidRPr="003B33FD">
        <w:rPr>
          <w:rFonts w:hint="eastAsia"/>
          <w:rtl/>
        </w:rPr>
        <w:t>שימוש</w:t>
      </w:r>
      <w:r w:rsidRPr="003B33FD">
        <w:rPr>
          <w:rtl/>
        </w:rPr>
        <w:t xml:space="preserve"> </w:t>
      </w:r>
      <w:r w:rsidRPr="003B33FD">
        <w:rPr>
          <w:rFonts w:hint="eastAsia"/>
          <w:rtl/>
        </w:rPr>
        <w:t>בהגדרה</w:t>
      </w:r>
      <w:r w:rsidRPr="003B33FD">
        <w:rPr>
          <w:rtl/>
        </w:rPr>
        <w:t xml:space="preserve"> </w:t>
      </w:r>
      <w:r w:rsidRPr="003B33FD">
        <w:rPr>
          <w:rFonts w:hint="eastAsia"/>
          <w:rtl/>
        </w:rPr>
        <w:t>זו</w:t>
      </w:r>
      <w:r w:rsidRPr="003B33FD">
        <w:rPr>
          <w:rtl/>
        </w:rPr>
        <w:t xml:space="preserve"> </w:t>
      </w:r>
      <w:r w:rsidRPr="003B33FD">
        <w:rPr>
          <w:rFonts w:hint="eastAsia"/>
          <w:rtl/>
        </w:rPr>
        <w:t>במחקרים</w:t>
      </w:r>
      <w:r w:rsidRPr="003B33FD">
        <w:rPr>
          <w:rtl/>
        </w:rPr>
        <w:t xml:space="preserve"> </w:t>
      </w:r>
      <w:r w:rsidRPr="003B33FD">
        <w:rPr>
          <w:rFonts w:hint="eastAsia"/>
          <w:rtl/>
        </w:rPr>
        <w:t>שונים</w:t>
      </w:r>
      <w:r w:rsidRPr="003B33FD">
        <w:rPr>
          <w:rtl/>
        </w:rPr>
        <w:t xml:space="preserve">, </w:t>
      </w:r>
      <w:r w:rsidRPr="00D31E3F">
        <w:rPr>
          <w:rFonts w:hint="cs"/>
          <w:rtl/>
        </w:rPr>
        <w:t>לדוגמה</w:t>
      </w:r>
      <w:r w:rsidRPr="00794707">
        <w:rPr>
          <w:szCs w:val="26"/>
          <w:rtl/>
        </w:rPr>
        <w:t xml:space="preserve">: </w:t>
      </w:r>
    </w:p>
    <w:p w:rsidR="001C5661" w:rsidRDefault="001C5661" w:rsidP="001C5661">
      <w:pPr>
        <w:pStyle w:val="a4"/>
        <w:spacing w:after="0"/>
      </w:pPr>
      <w:r w:rsidRPr="00794707">
        <w:t xml:space="preserve">Ross, 2009; Lloyd-Jones et al, 2010; Carlson et al., 2011;  </w:t>
      </w:r>
    </w:p>
    <w:p w:rsidR="001C5661" w:rsidRPr="00794707" w:rsidRDefault="001C5661" w:rsidP="001C5661">
      <w:pPr>
        <w:pStyle w:val="a4"/>
        <w:spacing w:after="0"/>
        <w:rPr>
          <w:rtl/>
        </w:rPr>
      </w:pPr>
      <w:r w:rsidRPr="00794707">
        <w:t>OECD, 2013</w:t>
      </w:r>
      <w:r w:rsidRPr="00794707">
        <w:rPr>
          <w:szCs w:val="26"/>
          <w:rtl/>
        </w:rPr>
        <w:t xml:space="preserve"> </w:t>
      </w:r>
      <w:r w:rsidRPr="00794707">
        <w:t>Butler, 2005</w:t>
      </w:r>
      <w:r w:rsidRPr="00794707">
        <w:rPr>
          <w:szCs w:val="26"/>
          <w:rtl/>
        </w:rPr>
        <w:t xml:space="preserve"> </w:t>
      </w:r>
      <w:r w:rsidRPr="00794707">
        <w:t>Orthner et al, 2013; Johnson, et al, 2001; Wang</w:t>
      </w:r>
      <w:r>
        <w:t xml:space="preserve"> </w:t>
      </w:r>
      <w:r w:rsidRPr="00904B16">
        <w:t xml:space="preserve"> </w:t>
      </w:r>
      <w:r w:rsidRPr="00794707">
        <w:t>et al, 2010;</w:t>
      </w:r>
      <w:r w:rsidRPr="00794707">
        <w:rPr>
          <w:szCs w:val="26"/>
          <w:rtl/>
        </w:rPr>
        <w:t>.</w:t>
      </w:r>
      <w:r w:rsidRPr="00794707">
        <w:t xml:space="preserve"> </w:t>
      </w:r>
    </w:p>
  </w:footnote>
  <w:footnote w:id="5">
    <w:p w:rsidR="009D7D46" w:rsidRDefault="009D7D46" w:rsidP="001B6571">
      <w:pPr>
        <w:pStyle w:val="a4"/>
        <w:spacing w:after="0"/>
        <w:rPr>
          <w:rtl/>
        </w:rPr>
      </w:pPr>
      <w:r>
        <w:rPr>
          <w:rStyle w:val="ad"/>
        </w:rPr>
        <w:footnoteRef/>
      </w:r>
      <w:r>
        <w:rPr>
          <w:rtl/>
        </w:rPr>
        <w:t xml:space="preserve"> </w:t>
      </w:r>
      <w:r w:rsidRPr="001C390F">
        <w:rPr>
          <w:rFonts w:hint="cs"/>
        </w:rPr>
        <w:t>Progra</w:t>
      </w:r>
      <w:r w:rsidRPr="001C390F">
        <w:t>m</w:t>
      </w:r>
      <w:r w:rsidRPr="001C390F">
        <w:rPr>
          <w:rFonts w:hint="cs"/>
        </w:rPr>
        <w:t>me for International Student Assessment</w:t>
      </w:r>
      <w:r w:rsidRPr="001C390F">
        <w:rPr>
          <w:rFonts w:hint="cs"/>
          <w:rtl/>
        </w:rPr>
        <w:t xml:space="preserve"> (</w:t>
      </w:r>
      <w:r w:rsidRPr="001C390F">
        <w:rPr>
          <w:rFonts w:hint="cs"/>
        </w:rPr>
        <w:t>PISA</w:t>
      </w:r>
      <w:r w:rsidRPr="001C390F">
        <w:rPr>
          <w:rFonts w:hint="cs"/>
          <w:rtl/>
        </w:rPr>
        <w:t xml:space="preserve">) הוא </w:t>
      </w:r>
      <w:hyperlink r:id="rId2" w:tooltip="מבחן" w:history="1">
        <w:r w:rsidRPr="001C390F">
          <w:rPr>
            <w:rFonts w:hint="cs"/>
            <w:rtl/>
          </w:rPr>
          <w:t>מבחן</w:t>
        </w:r>
      </w:hyperlink>
      <w:r w:rsidRPr="001C390F">
        <w:rPr>
          <w:rFonts w:hint="cs"/>
          <w:rtl/>
        </w:rPr>
        <w:t xml:space="preserve"> הנערך כחלק מ</w:t>
      </w:r>
      <w:hyperlink r:id="rId3" w:tooltip="מחקר" w:history="1">
        <w:r w:rsidRPr="001C390F">
          <w:rPr>
            <w:rFonts w:hint="cs"/>
            <w:rtl/>
          </w:rPr>
          <w:t>מחקר</w:t>
        </w:r>
      </w:hyperlink>
      <w:r w:rsidRPr="001C390F">
        <w:rPr>
          <w:rFonts w:hint="cs"/>
          <w:rtl/>
        </w:rPr>
        <w:t xml:space="preserve"> בינלאומי בתחום החינוך, המתקיים אחת לשלוש שנים, מאז שנת 2000. המחקר נערך על ידי מנהל ה</w:t>
      </w:r>
      <w:hyperlink r:id="rId4" w:tooltip="חינוך" w:history="1">
        <w:r w:rsidRPr="001C390F">
          <w:rPr>
            <w:rFonts w:hint="cs"/>
            <w:rtl/>
          </w:rPr>
          <w:t>חינוך</w:t>
        </w:r>
      </w:hyperlink>
      <w:r w:rsidRPr="001C390F">
        <w:rPr>
          <w:rFonts w:hint="cs"/>
          <w:rtl/>
        </w:rPr>
        <w:t xml:space="preserve"> של </w:t>
      </w:r>
      <w:hyperlink r:id="rId5" w:tooltip="הארגון לשיתוף פעולה ולפיתוח כלכלי" w:history="1">
        <w:r w:rsidRPr="001C390F">
          <w:rPr>
            <w:rFonts w:hint="cs"/>
            <w:rtl/>
          </w:rPr>
          <w:t>הארגון לשיתוף פעולה ולפיתוח כלכלי</w:t>
        </w:r>
      </w:hyperlink>
      <w:r w:rsidRPr="001C390F">
        <w:rPr>
          <w:rFonts w:hint="cs"/>
          <w:rtl/>
        </w:rPr>
        <w:t xml:space="preserve"> (</w:t>
      </w:r>
      <w:r w:rsidRPr="001C390F">
        <w:rPr>
          <w:rFonts w:hint="cs"/>
        </w:rPr>
        <w:t>OECD</w:t>
      </w:r>
      <w:r w:rsidRPr="001C390F">
        <w:rPr>
          <w:rFonts w:hint="cs"/>
          <w:rtl/>
        </w:rPr>
        <w:t xml:space="preserve">: </w:t>
      </w:r>
      <w:r w:rsidRPr="001C390F">
        <w:rPr>
          <w:rtl/>
        </w:rPr>
        <w:t xml:space="preserve"> </w:t>
      </w:r>
      <w:r>
        <w:t xml:space="preserve">Organization for </w:t>
      </w:r>
      <w:r w:rsidRPr="001C390F">
        <w:t>Economic Co-operation and Development</w:t>
      </w:r>
      <w:r>
        <w:rPr>
          <w:rFonts w:hint="cs"/>
          <w:rtl/>
        </w:rPr>
        <w:t>)</w:t>
      </w:r>
      <w:r w:rsidRPr="001C390F">
        <w:rPr>
          <w:rFonts w:hint="cs"/>
          <w:rtl/>
        </w:rPr>
        <w:t>, ומשתתפות בו סך הכל כ-60 מדינות (</w:t>
      </w:r>
      <w:r w:rsidRPr="001C390F">
        <w:t>Pisa, 2006</w:t>
      </w:r>
      <w:r w:rsidRPr="001C390F">
        <w:rPr>
          <w:rFonts w:hint="cs"/>
          <w:rtl/>
        </w:rPr>
        <w:t xml:space="preserve">). </w:t>
      </w:r>
      <w:r w:rsidRPr="001C390F">
        <w:rPr>
          <w:rtl/>
        </w:rPr>
        <w:t>מחקר זה בודק את רמת האוריינות של תלמידים ב</w:t>
      </w:r>
      <w:r w:rsidRPr="001C390F">
        <w:rPr>
          <w:rFonts w:hint="cs"/>
          <w:rtl/>
        </w:rPr>
        <w:t>גיל</w:t>
      </w:r>
      <w:r w:rsidRPr="001C390F">
        <w:rPr>
          <w:rtl/>
        </w:rPr>
        <w:t xml:space="preserve"> 15 בשלושה תחומים שונים: קריאה, מתמטיקה ומדעים</w:t>
      </w:r>
      <w:r w:rsidRPr="001C390F">
        <w:rPr>
          <w:rFonts w:hint="cs"/>
          <w:rtl/>
        </w:rPr>
        <w:t xml:space="preserve">, ונאסף מידע </w:t>
      </w:r>
      <w:r w:rsidR="00DC3AFC">
        <w:rPr>
          <w:rFonts w:hint="cs"/>
          <w:rtl/>
        </w:rPr>
        <w:t xml:space="preserve">על </w:t>
      </w:r>
      <w:r w:rsidRPr="001C390F">
        <w:rPr>
          <w:rFonts w:hint="cs"/>
          <w:rtl/>
        </w:rPr>
        <w:t>אודות רקע התלמידים, הסביבה החינוכית</w:t>
      </w:r>
      <w:r>
        <w:rPr>
          <w:rFonts w:hint="cs"/>
          <w:rtl/>
        </w:rPr>
        <w:t>,</w:t>
      </w:r>
      <w:r w:rsidRPr="001C390F">
        <w:rPr>
          <w:rFonts w:hint="cs"/>
          <w:rtl/>
        </w:rPr>
        <w:t xml:space="preserve"> ו</w:t>
      </w:r>
      <w:hyperlink r:id="rId6" w:tooltip="עמדה (פסיכולוגיה)" w:history="1">
        <w:r w:rsidRPr="001C390F">
          <w:rPr>
            <w:rFonts w:hint="cs"/>
            <w:rtl/>
          </w:rPr>
          <w:t>עמדותיהם</w:t>
        </w:r>
      </w:hyperlink>
      <w:r w:rsidRPr="001C390F">
        <w:rPr>
          <w:rFonts w:hint="cs"/>
          <w:rtl/>
        </w:rPr>
        <w:t xml:space="preserve"> ותפיסותיהם לגבי נושאי הלימוד הנבחנים במחקר. </w:t>
      </w:r>
      <w:hyperlink r:id="rId7" w:tooltip="מדינת ישראל" w:history="1">
        <w:r w:rsidRPr="001C390F">
          <w:rPr>
            <w:rFonts w:hint="cs"/>
            <w:rtl/>
          </w:rPr>
          <w:t>ישראל</w:t>
        </w:r>
      </w:hyperlink>
      <w:r w:rsidRPr="001C390F">
        <w:rPr>
          <w:rFonts w:hint="cs"/>
          <w:rtl/>
        </w:rPr>
        <w:t xml:space="preserve"> השתתפה במחקר פיז"ה לראשונה בשנת 2002</w:t>
      </w:r>
      <w:r>
        <w:rPr>
          <w:rFonts w:hint="cs"/>
          <w:rtl/>
        </w:rPr>
        <w:t xml:space="preserve">. התלמידים מהווים מדגם מייצג של תלמידים בגיל 15 בבתי ספר ממלכתיים וממלכתיים-דתיים. </w:t>
      </w:r>
    </w:p>
  </w:footnote>
  <w:footnote w:id="6">
    <w:p w:rsidR="009D7D46" w:rsidRPr="00A95B03" w:rsidRDefault="009D7D46" w:rsidP="00F26C39">
      <w:pPr>
        <w:pStyle w:val="a4"/>
        <w:spacing w:after="0"/>
        <w:rPr>
          <w:sz w:val="23"/>
        </w:rPr>
      </w:pPr>
      <w:r>
        <w:rPr>
          <w:rStyle w:val="ad"/>
        </w:rPr>
        <w:footnoteRef/>
      </w:r>
      <w:r>
        <w:rPr>
          <w:rtl/>
        </w:rPr>
        <w:t xml:space="preserve"> </w:t>
      </w:r>
      <w:r>
        <w:rPr>
          <w:rFonts w:hint="cs"/>
          <w:rtl/>
        </w:rPr>
        <w:t xml:space="preserve">הסקר בישראל מועבר במדגם מייצג של בתי ספר, כולל מוסדות </w:t>
      </w:r>
      <w:r w:rsidRPr="00A85F8C">
        <w:rPr>
          <w:rFonts w:hint="eastAsia"/>
          <w:rtl/>
        </w:rPr>
        <w:t>חינוכי</w:t>
      </w:r>
      <w:r w:rsidRPr="00A85F8C">
        <w:rPr>
          <w:rFonts w:hint="cs"/>
          <w:rtl/>
        </w:rPr>
        <w:t>ים</w:t>
      </w:r>
      <w:r w:rsidRPr="00A85F8C">
        <w:rPr>
          <w:rtl/>
        </w:rPr>
        <w:t xml:space="preserve">-למחצה </w:t>
      </w:r>
      <w:r w:rsidRPr="00A85F8C">
        <w:rPr>
          <w:rFonts w:hint="cs"/>
          <w:rtl/>
        </w:rPr>
        <w:t>או הכשרתיים (כגון במוסדות לחונכות מקצועית-תעשייתית, פנימיות, בתי ספר בין-לאומיים וכיו"ב)</w:t>
      </w:r>
      <w:r w:rsidR="00DC3AFC">
        <w:rPr>
          <w:rFonts w:hint="cs"/>
          <w:rtl/>
        </w:rPr>
        <w:t>,</w:t>
      </w:r>
      <w:r w:rsidRPr="00A85F8C">
        <w:rPr>
          <w:rFonts w:hint="cs"/>
          <w:rtl/>
        </w:rPr>
        <w:t xml:space="preserve"> בתי ספר לחינוך מיוחד ועוד.</w:t>
      </w:r>
      <w:r>
        <w:rPr>
          <w:rFonts w:hint="cs"/>
          <w:rtl/>
        </w:rPr>
        <w:t xml:space="preserve"> המדגם כולל גם בתי ספר חרדיים (בחינוך המוכר שאינו רשמי), אך על פי דיווח ראמ"ה (ראמ"ה, 2013) </w:t>
      </w:r>
      <w:r w:rsidRPr="00A95B03">
        <w:rPr>
          <w:rFonts w:hint="cs"/>
          <w:sz w:val="23"/>
          <w:rtl/>
        </w:rPr>
        <w:t xml:space="preserve">שיעורי ההיענות בבתי ספר אלה היו נמוכים, בעיקר בבתי הספר לבנים, ולכן אינם מאפשרים הפקת אומדנים מהימנים לגבי אוכלוסייה זו. </w:t>
      </w:r>
    </w:p>
  </w:footnote>
  <w:footnote w:id="7">
    <w:p w:rsidR="009D7D46" w:rsidRDefault="009D7D46" w:rsidP="00B00ADA">
      <w:pPr>
        <w:pStyle w:val="a4"/>
        <w:spacing w:after="0"/>
      </w:pPr>
      <w:r>
        <w:rPr>
          <w:rStyle w:val="ad"/>
        </w:rPr>
        <w:footnoteRef/>
      </w:r>
      <w:r>
        <w:rPr>
          <w:rtl/>
        </w:rPr>
        <w:t xml:space="preserve"> </w:t>
      </w:r>
      <w:r>
        <w:rPr>
          <w:rFonts w:hint="cs"/>
          <w:rtl/>
        </w:rPr>
        <w:t>אומדן היקף ממדי הניתוק מבוסס על דיווחי התלמידים עצמם, ויכול להיות מושפע מהיעדרותם של תלמידים ביום העברת השאלון (שי</w:t>
      </w:r>
      <w:r w:rsidR="00DC3AFC">
        <w:rPr>
          <w:rFonts w:hint="cs"/>
          <w:rtl/>
        </w:rPr>
        <w:t>י</w:t>
      </w:r>
      <w:r>
        <w:rPr>
          <w:rFonts w:hint="cs"/>
          <w:rtl/>
        </w:rPr>
        <w:t xml:space="preserve">תכן ששיעורי הניתוק </w:t>
      </w:r>
      <w:r w:rsidR="00DC3AFC">
        <w:rPr>
          <w:rFonts w:hint="cs"/>
          <w:rtl/>
        </w:rPr>
        <w:t>בקרבם</w:t>
      </w:r>
      <w:r>
        <w:rPr>
          <w:rFonts w:hint="cs"/>
          <w:rtl/>
        </w:rPr>
        <w:t xml:space="preserve"> גבוהים יותר מאשר בקרב התלמידים שכן ענו על השאלון). עם זאת, שיעורי ההיענות לשאלונים בישראל הם כ-90%, שיעור העומד בדרישות המחקר הבינלאומי (ראמ"ה, 2013).</w:t>
      </w:r>
    </w:p>
  </w:footnote>
  <w:footnote w:id="8">
    <w:p w:rsidR="009D7D46" w:rsidRPr="00A95B03" w:rsidRDefault="009D7D46" w:rsidP="00A95B03">
      <w:pPr>
        <w:pStyle w:val="a4"/>
        <w:spacing w:after="0"/>
        <w:rPr>
          <w:sz w:val="23"/>
          <w:rtl/>
        </w:rPr>
      </w:pPr>
      <w:r w:rsidRPr="00A95B03">
        <w:rPr>
          <w:rStyle w:val="ad"/>
          <w:sz w:val="23"/>
        </w:rPr>
        <w:footnoteRef/>
      </w:r>
      <w:r w:rsidRPr="00A95B03">
        <w:rPr>
          <w:sz w:val="23"/>
          <w:rtl/>
        </w:rPr>
        <w:t xml:space="preserve"> </w:t>
      </w:r>
      <w:r w:rsidRPr="00A95B03">
        <w:rPr>
          <w:rFonts w:hint="cs"/>
          <w:sz w:val="23"/>
          <w:rtl/>
        </w:rPr>
        <w:t xml:space="preserve">הנתונים בישראל נאספו בשנת 2002, הנתונים המקבילים ברוב המדינות האחרות נאספו בשנת 2000. </w:t>
      </w:r>
    </w:p>
  </w:footnote>
  <w:footnote w:id="9">
    <w:p w:rsidR="009D7D46" w:rsidRPr="00A95B03" w:rsidRDefault="009D7D46" w:rsidP="00F26C39">
      <w:pPr>
        <w:pStyle w:val="a4"/>
        <w:spacing w:after="0"/>
        <w:rPr>
          <w:sz w:val="23"/>
        </w:rPr>
      </w:pPr>
      <w:r w:rsidRPr="00A95B03">
        <w:rPr>
          <w:rStyle w:val="ad"/>
          <w:sz w:val="23"/>
        </w:rPr>
        <w:footnoteRef/>
      </w:r>
      <w:r w:rsidRPr="00A95B03">
        <w:rPr>
          <w:sz w:val="23"/>
          <w:rtl/>
        </w:rPr>
        <w:t xml:space="preserve"> </w:t>
      </w:r>
      <w:r w:rsidRPr="00A95B03">
        <w:rPr>
          <w:rFonts w:hint="cs"/>
          <w:sz w:val="23"/>
          <w:rtl/>
        </w:rPr>
        <w:t>המדד לנשירה סמויה מורכב בצורה אחרת מהמדד שהורכב במחקר הקודם (כהן-נבות ושות', 2001) בשני אופנים מרכזיים: המדד משנת 2001 כלל גורמים נוספים שעל פי הספרות העדכנית נחשבים כגורמים נלווים (הישגים לימודיים, התנהגויות אלימות וחשיפה לאלימות, ויחסים עם המורים). שנית, המחקר מ-2001 התבסס בעיקר על נתוני ה</w:t>
      </w:r>
      <w:r w:rsidR="00554EE6">
        <w:rPr>
          <w:rFonts w:hint="cs"/>
          <w:sz w:val="23"/>
          <w:rtl/>
        </w:rPr>
        <w:t>-</w:t>
      </w:r>
      <w:r w:rsidRPr="00A95B03">
        <w:rPr>
          <w:sz w:val="23"/>
        </w:rPr>
        <w:t>HBSC</w:t>
      </w:r>
      <w:r w:rsidRPr="00A95B03">
        <w:rPr>
          <w:rFonts w:hint="cs"/>
          <w:sz w:val="23"/>
          <w:rtl/>
        </w:rPr>
        <w:t xml:space="preserve">. </w:t>
      </w:r>
    </w:p>
  </w:footnote>
  <w:footnote w:id="10">
    <w:p w:rsidR="009D7D46" w:rsidRDefault="009D7D46" w:rsidP="00B00ADA">
      <w:pPr>
        <w:spacing w:before="60" w:after="0" w:line="240" w:lineRule="auto"/>
        <w:ind w:left="170" w:hanging="170"/>
        <w:rPr>
          <w:rFonts w:ascii="Calibri" w:eastAsia="Calibri" w:hAnsi="Calibri"/>
          <w:sz w:val="23"/>
          <w:szCs w:val="23"/>
          <w:rtl/>
        </w:rPr>
      </w:pPr>
      <w:r w:rsidRPr="00A95B03">
        <w:rPr>
          <w:rStyle w:val="ad"/>
          <w:sz w:val="23"/>
          <w:szCs w:val="23"/>
        </w:rPr>
        <w:footnoteRef/>
      </w:r>
      <w:r w:rsidRPr="00A95B03">
        <w:rPr>
          <w:sz w:val="23"/>
          <w:szCs w:val="23"/>
          <w:rtl/>
        </w:rPr>
        <w:t xml:space="preserve"> </w:t>
      </w:r>
      <w:r>
        <w:rPr>
          <w:rFonts w:hint="cs"/>
          <w:sz w:val="23"/>
          <w:szCs w:val="23"/>
          <w:rtl/>
        </w:rPr>
        <w:t xml:space="preserve">לפירוט אופן בניית </w:t>
      </w:r>
      <w:r w:rsidR="00B35B51">
        <w:rPr>
          <w:rFonts w:hint="cs"/>
          <w:sz w:val="23"/>
          <w:szCs w:val="23"/>
          <w:rtl/>
        </w:rPr>
        <w:t xml:space="preserve">מדדי </w:t>
      </w:r>
      <w:r>
        <w:rPr>
          <w:rFonts w:hint="cs"/>
          <w:sz w:val="23"/>
          <w:szCs w:val="23"/>
          <w:rtl/>
        </w:rPr>
        <w:t xml:space="preserve">הניתוק, ראה נספח </w:t>
      </w:r>
      <w:r w:rsidR="00B35B51">
        <w:rPr>
          <w:rFonts w:hint="cs"/>
          <w:sz w:val="23"/>
          <w:szCs w:val="23"/>
          <w:rtl/>
        </w:rPr>
        <w:t>א</w:t>
      </w:r>
      <w:r>
        <w:rPr>
          <w:rFonts w:hint="cs"/>
          <w:sz w:val="23"/>
          <w:szCs w:val="23"/>
          <w:rtl/>
        </w:rPr>
        <w:t>.</w:t>
      </w:r>
    </w:p>
    <w:p w:rsidR="009D7D46" w:rsidRPr="00C211A6" w:rsidRDefault="009D7D46" w:rsidP="002A7622">
      <w:pPr>
        <w:pStyle w:val="a4"/>
      </w:pPr>
    </w:p>
  </w:footnote>
  <w:footnote w:id="11">
    <w:p w:rsidR="009D7D46" w:rsidRDefault="009D7D46" w:rsidP="00B00ADA">
      <w:pPr>
        <w:pStyle w:val="a4"/>
        <w:spacing w:after="0"/>
      </w:pPr>
      <w:r>
        <w:rPr>
          <w:rStyle w:val="ad"/>
        </w:rPr>
        <w:footnoteRef/>
      </w:r>
      <w:r>
        <w:rPr>
          <w:rtl/>
        </w:rPr>
        <w:t xml:space="preserve"> </w:t>
      </w:r>
      <w:r>
        <w:rPr>
          <w:rFonts w:hint="cs"/>
          <w:rtl/>
        </w:rPr>
        <w:t>כאמור, ניתוק קוגנ</w:t>
      </w:r>
      <w:r w:rsidR="007A3DBC">
        <w:rPr>
          <w:rFonts w:hint="cs"/>
          <w:rtl/>
        </w:rPr>
        <w:t>י</w:t>
      </w:r>
      <w:r>
        <w:rPr>
          <w:rFonts w:hint="cs"/>
          <w:rtl/>
        </w:rPr>
        <w:t>טיבי לא נמדד בסקרים אלה.</w:t>
      </w:r>
    </w:p>
  </w:footnote>
  <w:footnote w:id="12">
    <w:p w:rsidR="009D7D46" w:rsidRDefault="009D7D46" w:rsidP="00B00ADA">
      <w:pPr>
        <w:pStyle w:val="a4"/>
        <w:spacing w:after="0"/>
        <w:rPr>
          <w:rtl/>
        </w:rPr>
      </w:pPr>
      <w:r>
        <w:rPr>
          <w:rStyle w:val="ad"/>
        </w:rPr>
        <w:footnoteRef/>
      </w:r>
      <w:r>
        <w:rPr>
          <w:rtl/>
        </w:rPr>
        <w:t xml:space="preserve"> </w:t>
      </w:r>
      <w:r w:rsidRPr="00D843ED">
        <w:rPr>
          <w:rFonts w:hint="cs"/>
          <w:rtl/>
        </w:rPr>
        <w:t>מדד הניתוק הקוגנ</w:t>
      </w:r>
      <w:r>
        <w:rPr>
          <w:rFonts w:hint="cs"/>
          <w:rtl/>
        </w:rPr>
        <w:t>י</w:t>
      </w:r>
      <w:r w:rsidRPr="00D843ED">
        <w:rPr>
          <w:rFonts w:hint="cs"/>
          <w:rtl/>
        </w:rPr>
        <w:t xml:space="preserve">טיבי לא נבחן </w:t>
      </w:r>
      <w:r>
        <w:rPr>
          <w:rFonts w:hint="cs"/>
          <w:rtl/>
        </w:rPr>
        <w:t xml:space="preserve">כלל בסקרי </w:t>
      </w:r>
      <w:r>
        <w:rPr>
          <w:rFonts w:hint="cs"/>
        </w:rPr>
        <w:t>HBSC</w:t>
      </w:r>
      <w:r>
        <w:rPr>
          <w:rFonts w:hint="cs"/>
          <w:rtl/>
        </w:rPr>
        <w:t xml:space="preserve"> ולא נבחן </w:t>
      </w:r>
      <w:r w:rsidRPr="00D843ED">
        <w:rPr>
          <w:rFonts w:hint="cs"/>
          <w:rtl/>
        </w:rPr>
        <w:t xml:space="preserve">בשנת 2002 </w:t>
      </w:r>
      <w:r>
        <w:rPr>
          <w:rFonts w:hint="cs"/>
          <w:rtl/>
        </w:rPr>
        <w:t xml:space="preserve">במחקר פיז"ה, </w:t>
      </w:r>
      <w:r w:rsidRPr="00D843ED">
        <w:rPr>
          <w:rFonts w:hint="cs"/>
          <w:rtl/>
        </w:rPr>
        <w:t>ולכן לא ניתן להשוות</w:t>
      </w:r>
      <w:r>
        <w:t xml:space="preserve">  </w:t>
      </w:r>
      <w:r>
        <w:rPr>
          <w:rFonts w:hint="cs"/>
          <w:rtl/>
        </w:rPr>
        <w:t>מדד זה בין השנים.</w:t>
      </w:r>
      <w:r w:rsidRPr="00CA26D4">
        <w:rPr>
          <w:rFonts w:hint="cs"/>
          <w:rtl/>
        </w:rPr>
        <w:t xml:space="preserve"> </w:t>
      </w:r>
    </w:p>
  </w:footnote>
  <w:footnote w:id="13">
    <w:p w:rsidR="009D7D46" w:rsidRPr="00DC104A" w:rsidRDefault="009D7D46" w:rsidP="00291058">
      <w:pPr>
        <w:pStyle w:val="a4"/>
        <w:spacing w:after="0"/>
        <w:rPr>
          <w:sz w:val="23"/>
          <w:rtl/>
        </w:rPr>
      </w:pPr>
      <w:r w:rsidRPr="00DC104A">
        <w:rPr>
          <w:rStyle w:val="ad"/>
          <w:sz w:val="23"/>
        </w:rPr>
        <w:footnoteRef/>
      </w:r>
      <w:r w:rsidRPr="00DC104A">
        <w:rPr>
          <w:sz w:val="23"/>
          <w:rtl/>
        </w:rPr>
        <w:t xml:space="preserve"> </w:t>
      </w:r>
      <w:r w:rsidRPr="00DC104A">
        <w:rPr>
          <w:rFonts w:hint="cs"/>
          <w:sz w:val="23"/>
          <w:rtl/>
        </w:rPr>
        <w:t>במבחן פיז"ה 2002 לא ניתן להבחין בין התלמידים על פי מגזר, לכן אין אפשרות לבחון את השינויים בין השנים בכל מגזר.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E" w:rsidRDefault="003A145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E" w:rsidRDefault="003A145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E" w:rsidRDefault="003A145E">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CC" w:rsidRDefault="00986ACC">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CC" w:rsidRDefault="00986ACC">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CC" w:rsidRDefault="00986AC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4AAB988"/>
    <w:lvl w:ilvl="0">
      <w:start w:val="1"/>
      <w:numFmt w:val="decimal"/>
      <w:lvlText w:val="%1."/>
      <w:lvlJc w:val="left"/>
      <w:pPr>
        <w:tabs>
          <w:tab w:val="num" w:pos="1800"/>
        </w:tabs>
        <w:ind w:left="1800" w:hanging="360"/>
      </w:pPr>
    </w:lvl>
  </w:abstractNum>
  <w:abstractNum w:abstractNumId="1">
    <w:nsid w:val="FFFFFF7D"/>
    <w:multiLevelType w:val="singleLevel"/>
    <w:tmpl w:val="854EA79C"/>
    <w:lvl w:ilvl="0">
      <w:start w:val="1"/>
      <w:numFmt w:val="decimal"/>
      <w:lvlText w:val="%1."/>
      <w:lvlJc w:val="left"/>
      <w:pPr>
        <w:tabs>
          <w:tab w:val="num" w:pos="1440"/>
        </w:tabs>
        <w:ind w:left="1440" w:hanging="360"/>
      </w:pPr>
    </w:lvl>
  </w:abstractNum>
  <w:abstractNum w:abstractNumId="2">
    <w:nsid w:val="FFFFFF7E"/>
    <w:multiLevelType w:val="singleLevel"/>
    <w:tmpl w:val="817AB25A"/>
    <w:lvl w:ilvl="0">
      <w:start w:val="1"/>
      <w:numFmt w:val="decimal"/>
      <w:lvlText w:val="%1."/>
      <w:lvlJc w:val="left"/>
      <w:pPr>
        <w:tabs>
          <w:tab w:val="num" w:pos="1080"/>
        </w:tabs>
        <w:ind w:left="1080" w:hanging="360"/>
      </w:pPr>
    </w:lvl>
  </w:abstractNum>
  <w:abstractNum w:abstractNumId="3">
    <w:nsid w:val="FFFFFF7F"/>
    <w:multiLevelType w:val="singleLevel"/>
    <w:tmpl w:val="1352B1D8"/>
    <w:lvl w:ilvl="0">
      <w:start w:val="1"/>
      <w:numFmt w:val="decimal"/>
      <w:lvlText w:val="%1."/>
      <w:lvlJc w:val="left"/>
      <w:pPr>
        <w:tabs>
          <w:tab w:val="num" w:pos="720"/>
        </w:tabs>
        <w:ind w:left="720" w:hanging="360"/>
      </w:pPr>
    </w:lvl>
  </w:abstractNum>
  <w:abstractNum w:abstractNumId="4">
    <w:nsid w:val="FFFFFF80"/>
    <w:multiLevelType w:val="singleLevel"/>
    <w:tmpl w:val="C462744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78EA21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19ECA9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9C8A8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D5C36FA"/>
    <w:lvl w:ilvl="0">
      <w:start w:val="1"/>
      <w:numFmt w:val="decimal"/>
      <w:lvlText w:val="%1."/>
      <w:lvlJc w:val="left"/>
      <w:pPr>
        <w:tabs>
          <w:tab w:val="num" w:pos="360"/>
        </w:tabs>
        <w:ind w:left="360" w:hanging="360"/>
      </w:pPr>
    </w:lvl>
  </w:abstractNum>
  <w:abstractNum w:abstractNumId="9">
    <w:nsid w:val="FFFFFF89"/>
    <w:multiLevelType w:val="singleLevel"/>
    <w:tmpl w:val="276CA406"/>
    <w:lvl w:ilvl="0">
      <w:start w:val="1"/>
      <w:numFmt w:val="bullet"/>
      <w:lvlText w:val=""/>
      <w:lvlJc w:val="left"/>
      <w:pPr>
        <w:tabs>
          <w:tab w:val="num" w:pos="360"/>
        </w:tabs>
        <w:ind w:left="360" w:hanging="360"/>
      </w:pPr>
      <w:rPr>
        <w:rFonts w:ascii="Symbol" w:hAnsi="Symbol" w:hint="default"/>
      </w:rPr>
    </w:lvl>
  </w:abstractNum>
  <w:abstractNum w:abstractNumId="10">
    <w:nsid w:val="0071144F"/>
    <w:multiLevelType w:val="multilevel"/>
    <w:tmpl w:val="C2A4BEC4"/>
    <w:lvl w:ilvl="0">
      <w:start w:val="1"/>
      <w:numFmt w:val="bullet"/>
      <w:lvlText w:val=""/>
      <w:lvlJc w:val="left"/>
      <w:pPr>
        <w:ind w:left="403" w:hanging="403"/>
      </w:pPr>
      <w:rPr>
        <w:rFonts w:ascii="Symbol" w:hAnsi="Symbol" w:cs="Times New Roman" w:hint="default"/>
        <w:color w:val="auto"/>
        <w:szCs w:val="20"/>
      </w:rPr>
    </w:lvl>
    <w:lvl w:ilvl="1">
      <w:start w:val="1"/>
      <w:numFmt w:val="bullet"/>
      <w:lvlText w:val=""/>
      <w:lvlJc w:val="left"/>
      <w:pPr>
        <w:ind w:left="806" w:hanging="403"/>
      </w:pPr>
      <w:rPr>
        <w:rFonts w:ascii="Symbol" w:hAnsi="Symbol" w:cs="Times New Roman" w:hint="default"/>
        <w:color w:val="auto"/>
        <w:szCs w:val="20"/>
      </w:rPr>
    </w:lvl>
    <w:lvl w:ilvl="2">
      <w:start w:val="1"/>
      <w:numFmt w:val="bullet"/>
      <w:lvlText w:val=""/>
      <w:lvlJc w:val="left"/>
      <w:pPr>
        <w:ind w:left="1209" w:hanging="403"/>
      </w:pPr>
      <w:rPr>
        <w:rFonts w:ascii="Wingdings" w:hAnsi="Wingdings" w:hint="default"/>
      </w:rPr>
    </w:lvl>
    <w:lvl w:ilvl="3">
      <w:start w:val="1"/>
      <w:numFmt w:val="bullet"/>
      <w:lvlText w:val=""/>
      <w:lvlJc w:val="left"/>
      <w:pPr>
        <w:ind w:left="1612" w:hanging="403"/>
      </w:pPr>
      <w:rPr>
        <w:rFonts w:ascii="Symbol" w:hAnsi="Symbol" w:hint="default"/>
      </w:rPr>
    </w:lvl>
    <w:lvl w:ilvl="4">
      <w:start w:val="1"/>
      <w:numFmt w:val="bullet"/>
      <w:lvlText w:val=""/>
      <w:lvlJc w:val="left"/>
      <w:pPr>
        <w:ind w:left="2015" w:hanging="403"/>
      </w:pPr>
      <w:rPr>
        <w:rFonts w:ascii="Symbol" w:hAnsi="Symbol" w:hint="default"/>
      </w:rPr>
    </w:lvl>
    <w:lvl w:ilvl="5">
      <w:start w:val="1"/>
      <w:numFmt w:val="bullet"/>
      <w:lvlText w:val=""/>
      <w:lvlJc w:val="left"/>
      <w:pPr>
        <w:ind w:left="2418" w:hanging="403"/>
      </w:pPr>
      <w:rPr>
        <w:rFonts w:ascii="Wingdings" w:hAnsi="Wingdings" w:hint="default"/>
      </w:rPr>
    </w:lvl>
    <w:lvl w:ilvl="6">
      <w:start w:val="1"/>
      <w:numFmt w:val="bullet"/>
      <w:lvlText w:val=""/>
      <w:lvlJc w:val="left"/>
      <w:pPr>
        <w:ind w:left="2821" w:hanging="403"/>
      </w:pPr>
      <w:rPr>
        <w:rFonts w:ascii="Wingdings" w:hAnsi="Wingdings" w:hint="default"/>
      </w:rPr>
    </w:lvl>
    <w:lvl w:ilvl="7">
      <w:start w:val="1"/>
      <w:numFmt w:val="bullet"/>
      <w:lvlText w:val=""/>
      <w:lvlJc w:val="left"/>
      <w:pPr>
        <w:ind w:left="3224" w:hanging="403"/>
      </w:pPr>
      <w:rPr>
        <w:rFonts w:ascii="Symbol" w:hAnsi="Symbol" w:hint="default"/>
      </w:rPr>
    </w:lvl>
    <w:lvl w:ilvl="8">
      <w:start w:val="1"/>
      <w:numFmt w:val="bullet"/>
      <w:lvlText w:val=""/>
      <w:lvlJc w:val="left"/>
      <w:pPr>
        <w:ind w:left="3627" w:hanging="403"/>
      </w:pPr>
      <w:rPr>
        <w:rFonts w:ascii="Symbol" w:hAnsi="Symbol" w:hint="default"/>
      </w:rPr>
    </w:lvl>
  </w:abstractNum>
  <w:abstractNum w:abstractNumId="11">
    <w:nsid w:val="03143266"/>
    <w:multiLevelType w:val="hybridMultilevel"/>
    <w:tmpl w:val="63004D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57B6C89"/>
    <w:multiLevelType w:val="multilevel"/>
    <w:tmpl w:val="1BE226E0"/>
    <w:lvl w:ilvl="0">
      <w:start w:val="1"/>
      <w:numFmt w:val="bullet"/>
      <w:pStyle w:val="BrookBullets"/>
      <w:lvlText w:val=""/>
      <w:lvlJc w:val="left"/>
      <w:pPr>
        <w:ind w:left="403" w:hanging="403"/>
      </w:pPr>
      <w:rPr>
        <w:rFonts w:ascii="Symbol" w:hAnsi="Symbol" w:cs="Times New Roman" w:hint="default"/>
        <w:color w:val="auto"/>
        <w:szCs w:val="20"/>
      </w:rPr>
    </w:lvl>
    <w:lvl w:ilvl="1">
      <w:start w:val="1"/>
      <w:numFmt w:val="bullet"/>
      <w:lvlText w:val=""/>
      <w:lvlJc w:val="left"/>
      <w:pPr>
        <w:ind w:left="806" w:hanging="403"/>
      </w:pPr>
      <w:rPr>
        <w:rFonts w:ascii="Symbol" w:hAnsi="Symbol" w:cs="Times New Roman" w:hint="default"/>
        <w:color w:val="auto"/>
        <w:szCs w:val="20"/>
      </w:rPr>
    </w:lvl>
    <w:lvl w:ilvl="2">
      <w:start w:val="1"/>
      <w:numFmt w:val="bullet"/>
      <w:lvlText w:val=""/>
      <w:lvlJc w:val="left"/>
      <w:pPr>
        <w:ind w:left="1209" w:hanging="403"/>
      </w:pPr>
      <w:rPr>
        <w:rFonts w:ascii="Wingdings" w:hAnsi="Wingdings" w:hint="default"/>
      </w:rPr>
    </w:lvl>
    <w:lvl w:ilvl="3">
      <w:start w:val="1"/>
      <w:numFmt w:val="bullet"/>
      <w:lvlText w:val=""/>
      <w:lvlJc w:val="left"/>
      <w:pPr>
        <w:ind w:left="1612" w:hanging="403"/>
      </w:pPr>
      <w:rPr>
        <w:rFonts w:ascii="Symbol" w:hAnsi="Symbol" w:hint="default"/>
      </w:rPr>
    </w:lvl>
    <w:lvl w:ilvl="4">
      <w:start w:val="1"/>
      <w:numFmt w:val="bullet"/>
      <w:lvlText w:val=""/>
      <w:lvlJc w:val="left"/>
      <w:pPr>
        <w:ind w:left="2015" w:hanging="403"/>
      </w:pPr>
      <w:rPr>
        <w:rFonts w:ascii="Symbol" w:hAnsi="Symbol" w:hint="default"/>
      </w:rPr>
    </w:lvl>
    <w:lvl w:ilvl="5">
      <w:start w:val="1"/>
      <w:numFmt w:val="bullet"/>
      <w:lvlText w:val=""/>
      <w:lvlJc w:val="left"/>
      <w:pPr>
        <w:ind w:left="2418" w:hanging="403"/>
      </w:pPr>
      <w:rPr>
        <w:rFonts w:ascii="Wingdings" w:hAnsi="Wingdings" w:hint="default"/>
      </w:rPr>
    </w:lvl>
    <w:lvl w:ilvl="6">
      <w:start w:val="1"/>
      <w:numFmt w:val="bullet"/>
      <w:lvlText w:val=""/>
      <w:lvlJc w:val="left"/>
      <w:pPr>
        <w:ind w:left="2821" w:hanging="403"/>
      </w:pPr>
      <w:rPr>
        <w:rFonts w:ascii="Wingdings" w:hAnsi="Wingdings" w:hint="default"/>
      </w:rPr>
    </w:lvl>
    <w:lvl w:ilvl="7">
      <w:start w:val="1"/>
      <w:numFmt w:val="bullet"/>
      <w:lvlText w:val=""/>
      <w:lvlJc w:val="left"/>
      <w:pPr>
        <w:ind w:left="3224" w:hanging="403"/>
      </w:pPr>
      <w:rPr>
        <w:rFonts w:ascii="Symbol" w:hAnsi="Symbol" w:hint="default"/>
      </w:rPr>
    </w:lvl>
    <w:lvl w:ilvl="8">
      <w:start w:val="1"/>
      <w:numFmt w:val="bullet"/>
      <w:lvlText w:val=""/>
      <w:lvlJc w:val="left"/>
      <w:pPr>
        <w:ind w:left="3627" w:hanging="403"/>
      </w:pPr>
      <w:rPr>
        <w:rFonts w:ascii="Symbol" w:hAnsi="Symbol" w:hint="default"/>
      </w:rPr>
    </w:lvl>
  </w:abstractNum>
  <w:abstractNum w:abstractNumId="13">
    <w:nsid w:val="07C25F69"/>
    <w:multiLevelType w:val="hybridMultilevel"/>
    <w:tmpl w:val="7E225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5416DB"/>
    <w:multiLevelType w:val="hybridMultilevel"/>
    <w:tmpl w:val="1E6688EC"/>
    <w:lvl w:ilvl="0" w:tplc="1D629B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65A76"/>
    <w:multiLevelType w:val="multilevel"/>
    <w:tmpl w:val="1AB4BF04"/>
    <w:lvl w:ilvl="0">
      <w:start w:val="1"/>
      <w:numFmt w:val="decimal"/>
      <w:lvlRestart w:val="0"/>
      <w:lvlText w:val="%1."/>
      <w:lvlJc w:val="left"/>
      <w:pPr>
        <w:tabs>
          <w:tab w:val="num" w:pos="357"/>
        </w:tabs>
        <w:ind w:left="357" w:hanging="357"/>
      </w:pPr>
      <w:rPr>
        <w:rFonts w:hint="default"/>
      </w:rPr>
    </w:lvl>
    <w:lvl w:ilvl="1">
      <w:start w:val="1"/>
      <w:numFmt w:val="hebrew1"/>
      <w:lvlText w:val="%2."/>
      <w:lvlJc w:val="left"/>
      <w:pPr>
        <w:tabs>
          <w:tab w:val="num" w:pos="505"/>
        </w:tabs>
        <w:ind w:left="709" w:hanging="352"/>
      </w:pPr>
      <w:rPr>
        <w:rFonts w:cs="David" w:hint="cs"/>
        <w:b w:val="0"/>
        <w:bCs w:val="0"/>
        <w:i w:val="0"/>
        <w:iCs w:val="0"/>
        <w:sz w:val="26"/>
        <w:szCs w:val="26"/>
      </w:rPr>
    </w:lvl>
    <w:lvl w:ilvl="2">
      <w:start w:val="1"/>
      <w:numFmt w:val="none"/>
      <w:lvlText w:val="1)"/>
      <w:lvlJc w:val="left"/>
      <w:pPr>
        <w:tabs>
          <w:tab w:val="num" w:pos="646"/>
        </w:tabs>
        <w:ind w:left="646" w:hanging="141"/>
      </w:pPr>
      <w:rPr>
        <w:rFonts w:cs="David" w:hint="cs"/>
        <w:bCs w:val="0"/>
        <w:iCs w:val="0"/>
        <w:sz w:val="26"/>
        <w:szCs w:val="26"/>
      </w:rPr>
    </w:lvl>
    <w:lvl w:ilvl="3">
      <w:start w:val="1"/>
      <w:numFmt w:val="none"/>
      <w:lvlText w:val="א)"/>
      <w:lvlJc w:val="left"/>
      <w:pPr>
        <w:tabs>
          <w:tab w:val="num" w:pos="782"/>
        </w:tabs>
        <w:ind w:left="782" w:hanging="136"/>
      </w:pPr>
      <w:rPr>
        <w:rFonts w:cs="David" w:hint="cs"/>
        <w:bCs w:val="0"/>
        <w:iCs w:val="0"/>
        <w:sz w:val="26"/>
        <w:szCs w:val="26"/>
      </w:rPr>
    </w:lvl>
    <w:lvl w:ilvl="4">
      <w:start w:val="1"/>
      <w:numFmt w:val="decimal"/>
      <w:lvlText w:val="%1.%2.%3.%4.%5"/>
      <w:lvlJc w:val="left"/>
      <w:pPr>
        <w:tabs>
          <w:tab w:val="num" w:pos="1009"/>
        </w:tabs>
        <w:ind w:left="1009" w:hanging="1009"/>
      </w:pPr>
      <w:rPr>
        <w:rFonts w:hint="default"/>
      </w:rPr>
    </w:lvl>
    <w:lvl w:ilvl="5">
      <w:start w:val="1"/>
      <w:numFmt w:val="decimal"/>
      <w:lvlText w:val="%1.%2.%3.%4.%5.%6"/>
      <w:lvlJc w:val="left"/>
      <w:pPr>
        <w:tabs>
          <w:tab w:val="num" w:pos="1151"/>
        </w:tabs>
        <w:ind w:left="1151" w:hanging="1151"/>
      </w:pPr>
      <w:rPr>
        <w:rFonts w:hint="default"/>
      </w:rPr>
    </w:lvl>
    <w:lvl w:ilvl="6">
      <w:start w:val="1"/>
      <w:numFmt w:val="decimal"/>
      <w:lvlText w:val="%1.%2.%3.%4.%5.%6.%7"/>
      <w:lvlJc w:val="left"/>
      <w:pPr>
        <w:tabs>
          <w:tab w:val="num" w:pos="1298"/>
        </w:tabs>
        <w:ind w:left="1298" w:hanging="1298"/>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2"/>
        </w:tabs>
        <w:ind w:left="1582" w:hanging="1582"/>
      </w:pPr>
      <w:rPr>
        <w:rFonts w:hint="default"/>
      </w:rPr>
    </w:lvl>
  </w:abstractNum>
  <w:abstractNum w:abstractNumId="16">
    <w:nsid w:val="19493F7E"/>
    <w:multiLevelType w:val="multilevel"/>
    <w:tmpl w:val="88B61D68"/>
    <w:lvl w:ilvl="0">
      <w:start w:val="1"/>
      <w:numFmt w:val="bullet"/>
      <w:pStyle w:val="bulletoutline"/>
      <w:lvlText w:val=""/>
      <w:lvlJc w:val="left"/>
      <w:pPr>
        <w:tabs>
          <w:tab w:val="num" w:pos="360"/>
        </w:tabs>
        <w:ind w:left="360" w:hanging="360"/>
      </w:pPr>
      <w:rPr>
        <w:rFonts w:ascii="Wingdings" w:hAnsi="Wingdings" w:cs="Times New Roman" w:hint="default"/>
      </w:rPr>
    </w:lvl>
    <w:lvl w:ilvl="1">
      <w:start w:val="1"/>
      <w:numFmt w:val="bullet"/>
      <w:lvlText w:val=""/>
      <w:lvlJc w:val="left"/>
      <w:pPr>
        <w:tabs>
          <w:tab w:val="num" w:pos="720"/>
        </w:tabs>
        <w:ind w:left="720" w:hanging="360"/>
      </w:pPr>
      <w:rPr>
        <w:rFonts w:ascii="Symbol" w:hAnsi="Symbol" w:cs="Times New Roman"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1A02739D"/>
    <w:multiLevelType w:val="hybridMultilevel"/>
    <w:tmpl w:val="326A8C9E"/>
    <w:lvl w:ilvl="0" w:tplc="D3842DC2">
      <w:start w:val="1"/>
      <w:numFmt w:val="bullet"/>
      <w:lvlText w:val=""/>
      <w:lvlJc w:val="left"/>
      <w:pPr>
        <w:ind w:left="360" w:hanging="360"/>
      </w:pPr>
      <w:rPr>
        <w:rFonts w:ascii="Symbol" w:hAnsi="Symbol" w:cs="Symbol" w:hint="default"/>
        <w:color w:val="auto"/>
      </w:rPr>
    </w:lvl>
    <w:lvl w:ilvl="1" w:tplc="04090003" w:tentative="1">
      <w:start w:val="1"/>
      <w:numFmt w:val="bullet"/>
      <w:lvlText w:val="o"/>
      <w:lvlJc w:val="left"/>
      <w:pPr>
        <w:ind w:left="660" w:hanging="360"/>
      </w:pPr>
      <w:rPr>
        <w:rFonts w:ascii="Courier New" w:hAnsi="Courier New" w:cs="Courier New" w:hint="default"/>
      </w:rPr>
    </w:lvl>
    <w:lvl w:ilvl="2" w:tplc="04090005" w:tentative="1">
      <w:start w:val="1"/>
      <w:numFmt w:val="bullet"/>
      <w:lvlText w:val=""/>
      <w:lvlJc w:val="left"/>
      <w:pPr>
        <w:ind w:left="1380" w:hanging="360"/>
      </w:pPr>
      <w:rPr>
        <w:rFonts w:ascii="Wingdings" w:hAnsi="Wingdings" w:hint="default"/>
      </w:rPr>
    </w:lvl>
    <w:lvl w:ilvl="3" w:tplc="04090001" w:tentative="1">
      <w:start w:val="1"/>
      <w:numFmt w:val="bullet"/>
      <w:lvlText w:val=""/>
      <w:lvlJc w:val="left"/>
      <w:pPr>
        <w:ind w:left="2100" w:hanging="360"/>
      </w:pPr>
      <w:rPr>
        <w:rFonts w:ascii="Symbol" w:hAnsi="Symbol" w:hint="default"/>
      </w:rPr>
    </w:lvl>
    <w:lvl w:ilvl="4" w:tplc="04090003" w:tentative="1">
      <w:start w:val="1"/>
      <w:numFmt w:val="bullet"/>
      <w:lvlText w:val="o"/>
      <w:lvlJc w:val="left"/>
      <w:pPr>
        <w:ind w:left="2820" w:hanging="360"/>
      </w:pPr>
      <w:rPr>
        <w:rFonts w:ascii="Courier New" w:hAnsi="Courier New" w:cs="Courier New" w:hint="default"/>
      </w:rPr>
    </w:lvl>
    <w:lvl w:ilvl="5" w:tplc="04090005" w:tentative="1">
      <w:start w:val="1"/>
      <w:numFmt w:val="bullet"/>
      <w:lvlText w:val=""/>
      <w:lvlJc w:val="left"/>
      <w:pPr>
        <w:ind w:left="3540" w:hanging="360"/>
      </w:pPr>
      <w:rPr>
        <w:rFonts w:ascii="Wingdings" w:hAnsi="Wingdings" w:hint="default"/>
      </w:rPr>
    </w:lvl>
    <w:lvl w:ilvl="6" w:tplc="04090001" w:tentative="1">
      <w:start w:val="1"/>
      <w:numFmt w:val="bullet"/>
      <w:lvlText w:val=""/>
      <w:lvlJc w:val="left"/>
      <w:pPr>
        <w:ind w:left="4260" w:hanging="360"/>
      </w:pPr>
      <w:rPr>
        <w:rFonts w:ascii="Symbol" w:hAnsi="Symbol" w:hint="default"/>
      </w:rPr>
    </w:lvl>
    <w:lvl w:ilvl="7" w:tplc="04090003" w:tentative="1">
      <w:start w:val="1"/>
      <w:numFmt w:val="bullet"/>
      <w:lvlText w:val="o"/>
      <w:lvlJc w:val="left"/>
      <w:pPr>
        <w:ind w:left="4980" w:hanging="360"/>
      </w:pPr>
      <w:rPr>
        <w:rFonts w:ascii="Courier New" w:hAnsi="Courier New" w:cs="Courier New" w:hint="default"/>
      </w:rPr>
    </w:lvl>
    <w:lvl w:ilvl="8" w:tplc="04090005" w:tentative="1">
      <w:start w:val="1"/>
      <w:numFmt w:val="bullet"/>
      <w:lvlText w:val=""/>
      <w:lvlJc w:val="left"/>
      <w:pPr>
        <w:ind w:left="5700" w:hanging="360"/>
      </w:pPr>
      <w:rPr>
        <w:rFonts w:ascii="Wingdings" w:hAnsi="Wingdings" w:hint="default"/>
      </w:rPr>
    </w:lvl>
  </w:abstractNum>
  <w:abstractNum w:abstractNumId="18">
    <w:nsid w:val="1A667822"/>
    <w:multiLevelType w:val="hybridMultilevel"/>
    <w:tmpl w:val="D638BE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2D33508"/>
    <w:multiLevelType w:val="multilevel"/>
    <w:tmpl w:val="0409001D"/>
    <w:lvl w:ilvl="0">
      <w:start w:val="1"/>
      <w:numFmt w:val="decimal"/>
      <w:lvlText w:val="%1)"/>
      <w:lvlJc w:val="left"/>
      <w:pPr>
        <w:ind w:left="360" w:hanging="360"/>
      </w:pPr>
      <w:rPr>
        <w:rFonts w:hint="default"/>
        <w:color w:val="auto"/>
        <w:sz w:val="20"/>
        <w:szCs w:val="20"/>
      </w:rPr>
    </w:lvl>
    <w:lvl w:ilvl="1">
      <w:start w:val="1"/>
      <w:numFmt w:val="lowerLetter"/>
      <w:lvlText w:val="%2)"/>
      <w:lvlJc w:val="left"/>
      <w:pPr>
        <w:ind w:left="720" w:hanging="360"/>
      </w:pPr>
      <w:rPr>
        <w:rFonts w:hint="default"/>
        <w:color w:val="auto"/>
        <w:sz w:val="20"/>
        <w:szCs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3443025"/>
    <w:multiLevelType w:val="hybridMultilevel"/>
    <w:tmpl w:val="83189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3802A2"/>
    <w:multiLevelType w:val="hybridMultilevel"/>
    <w:tmpl w:val="494C47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EF705FC"/>
    <w:multiLevelType w:val="hybridMultilevel"/>
    <w:tmpl w:val="8288FC26"/>
    <w:lvl w:ilvl="0" w:tplc="D3842DC2">
      <w:start w:val="1"/>
      <w:numFmt w:val="bullet"/>
      <w:lvlText w:val=""/>
      <w:lvlJc w:val="left"/>
      <w:pPr>
        <w:ind w:left="360" w:hanging="360"/>
      </w:pPr>
      <w:rPr>
        <w:rFonts w:ascii="Symbol" w:hAnsi="Symbol" w:cs="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03F143A"/>
    <w:multiLevelType w:val="multilevel"/>
    <w:tmpl w:val="1A662408"/>
    <w:lvl w:ilvl="0">
      <w:start w:val="1"/>
      <w:numFmt w:val="decimal"/>
      <w:lvlText w:val="%1."/>
      <w:lvlJc w:val="left"/>
      <w:pPr>
        <w:ind w:left="403" w:hanging="403"/>
      </w:pPr>
      <w:rPr>
        <w:rFonts w:hint="default"/>
      </w:rPr>
    </w:lvl>
    <w:lvl w:ilvl="1">
      <w:start w:val="1"/>
      <w:numFmt w:val="hebrew1"/>
      <w:lvlText w:val="%2."/>
      <w:lvlJc w:val="left"/>
      <w:pPr>
        <w:ind w:left="806" w:hanging="403"/>
      </w:pPr>
      <w:rPr>
        <w:rFonts w:hint="default"/>
      </w:rPr>
    </w:lvl>
    <w:lvl w:ilvl="2">
      <w:start w:val="1"/>
      <w:numFmt w:val="lowerRoman"/>
      <w:lvlText w:val="%3)"/>
      <w:lvlJc w:val="left"/>
      <w:pPr>
        <w:ind w:left="1209" w:hanging="403"/>
      </w:pPr>
      <w:rPr>
        <w:rFonts w:hint="default"/>
      </w:rPr>
    </w:lvl>
    <w:lvl w:ilvl="3">
      <w:start w:val="1"/>
      <w:numFmt w:val="decimal"/>
      <w:lvlText w:val="(%4)"/>
      <w:lvlJc w:val="left"/>
      <w:pPr>
        <w:ind w:left="1612" w:hanging="403"/>
      </w:pPr>
      <w:rPr>
        <w:rFonts w:hint="default"/>
      </w:rPr>
    </w:lvl>
    <w:lvl w:ilvl="4">
      <w:start w:val="1"/>
      <w:numFmt w:val="lowerLetter"/>
      <w:lvlText w:val="(%5)"/>
      <w:lvlJc w:val="left"/>
      <w:pPr>
        <w:ind w:left="2015" w:hanging="403"/>
      </w:pPr>
      <w:rPr>
        <w:rFonts w:hint="default"/>
      </w:rPr>
    </w:lvl>
    <w:lvl w:ilvl="5">
      <w:start w:val="1"/>
      <w:numFmt w:val="lowerRoman"/>
      <w:lvlText w:val="(%6)"/>
      <w:lvlJc w:val="left"/>
      <w:pPr>
        <w:ind w:left="2418" w:hanging="403"/>
      </w:pPr>
      <w:rPr>
        <w:rFonts w:hint="default"/>
      </w:rPr>
    </w:lvl>
    <w:lvl w:ilvl="6">
      <w:start w:val="1"/>
      <w:numFmt w:val="decimal"/>
      <w:lvlText w:val="%7."/>
      <w:lvlJc w:val="left"/>
      <w:pPr>
        <w:ind w:left="2821" w:hanging="403"/>
      </w:pPr>
      <w:rPr>
        <w:rFonts w:hint="default"/>
      </w:rPr>
    </w:lvl>
    <w:lvl w:ilvl="7">
      <w:start w:val="1"/>
      <w:numFmt w:val="lowerLetter"/>
      <w:lvlText w:val="%8."/>
      <w:lvlJc w:val="left"/>
      <w:pPr>
        <w:ind w:left="3224" w:hanging="403"/>
      </w:pPr>
      <w:rPr>
        <w:rFonts w:hint="default"/>
      </w:rPr>
    </w:lvl>
    <w:lvl w:ilvl="8">
      <w:start w:val="1"/>
      <w:numFmt w:val="lowerRoman"/>
      <w:lvlText w:val="%9."/>
      <w:lvlJc w:val="left"/>
      <w:pPr>
        <w:ind w:left="3627" w:hanging="403"/>
      </w:pPr>
      <w:rPr>
        <w:rFonts w:hint="default"/>
      </w:rPr>
    </w:lvl>
  </w:abstractNum>
  <w:abstractNum w:abstractNumId="24">
    <w:nsid w:val="31140548"/>
    <w:multiLevelType w:val="multilevel"/>
    <w:tmpl w:val="A6826E40"/>
    <w:lvl w:ilvl="0">
      <w:start w:val="1"/>
      <w:numFmt w:val="decimal"/>
      <w:pStyle w:val="BrookNumbering"/>
      <w:lvlText w:val="%1."/>
      <w:lvlJc w:val="left"/>
      <w:pPr>
        <w:ind w:left="403" w:hanging="403"/>
      </w:pPr>
      <w:rPr>
        <w:rFonts w:hint="default"/>
      </w:rPr>
    </w:lvl>
    <w:lvl w:ilvl="1">
      <w:start w:val="1"/>
      <w:numFmt w:val="hebrew1"/>
      <w:lvlText w:val="%2."/>
      <w:lvlJc w:val="left"/>
      <w:pPr>
        <w:ind w:left="806" w:hanging="403"/>
      </w:pPr>
      <w:rPr>
        <w:rFonts w:hint="default"/>
      </w:rPr>
    </w:lvl>
    <w:lvl w:ilvl="2">
      <w:start w:val="1"/>
      <w:numFmt w:val="lowerRoman"/>
      <w:lvlText w:val="%3)"/>
      <w:lvlJc w:val="left"/>
      <w:pPr>
        <w:ind w:left="1209" w:hanging="403"/>
      </w:pPr>
      <w:rPr>
        <w:rFonts w:hint="default"/>
      </w:rPr>
    </w:lvl>
    <w:lvl w:ilvl="3">
      <w:start w:val="1"/>
      <w:numFmt w:val="decimal"/>
      <w:lvlText w:val="(%4)"/>
      <w:lvlJc w:val="left"/>
      <w:pPr>
        <w:ind w:left="1612" w:hanging="403"/>
      </w:pPr>
      <w:rPr>
        <w:rFonts w:hint="default"/>
      </w:rPr>
    </w:lvl>
    <w:lvl w:ilvl="4">
      <w:start w:val="1"/>
      <w:numFmt w:val="lowerLetter"/>
      <w:lvlText w:val="(%5)"/>
      <w:lvlJc w:val="left"/>
      <w:pPr>
        <w:ind w:left="2015" w:hanging="403"/>
      </w:pPr>
      <w:rPr>
        <w:rFonts w:hint="default"/>
      </w:rPr>
    </w:lvl>
    <w:lvl w:ilvl="5">
      <w:start w:val="1"/>
      <w:numFmt w:val="lowerRoman"/>
      <w:lvlText w:val="(%6)"/>
      <w:lvlJc w:val="left"/>
      <w:pPr>
        <w:ind w:left="2418" w:hanging="403"/>
      </w:pPr>
      <w:rPr>
        <w:rFonts w:hint="default"/>
      </w:rPr>
    </w:lvl>
    <w:lvl w:ilvl="6">
      <w:start w:val="1"/>
      <w:numFmt w:val="decimal"/>
      <w:lvlText w:val="%7."/>
      <w:lvlJc w:val="left"/>
      <w:pPr>
        <w:ind w:left="2821" w:hanging="403"/>
      </w:pPr>
      <w:rPr>
        <w:rFonts w:hint="default"/>
      </w:rPr>
    </w:lvl>
    <w:lvl w:ilvl="7">
      <w:start w:val="1"/>
      <w:numFmt w:val="lowerLetter"/>
      <w:lvlText w:val="%8."/>
      <w:lvlJc w:val="left"/>
      <w:pPr>
        <w:ind w:left="3224" w:hanging="403"/>
      </w:pPr>
      <w:rPr>
        <w:rFonts w:hint="default"/>
      </w:rPr>
    </w:lvl>
    <w:lvl w:ilvl="8">
      <w:start w:val="1"/>
      <w:numFmt w:val="lowerRoman"/>
      <w:lvlText w:val="%9."/>
      <w:lvlJc w:val="left"/>
      <w:pPr>
        <w:ind w:left="3627" w:hanging="403"/>
      </w:pPr>
      <w:rPr>
        <w:rFonts w:hint="default"/>
      </w:rPr>
    </w:lvl>
  </w:abstractNum>
  <w:abstractNum w:abstractNumId="25">
    <w:nsid w:val="31B23C00"/>
    <w:multiLevelType w:val="hybridMultilevel"/>
    <w:tmpl w:val="64DEF67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92D203F"/>
    <w:multiLevelType w:val="multilevel"/>
    <w:tmpl w:val="1AB4BF04"/>
    <w:lvl w:ilvl="0">
      <w:start w:val="1"/>
      <w:numFmt w:val="decimal"/>
      <w:lvlRestart w:val="0"/>
      <w:lvlText w:val="%1."/>
      <w:lvlJc w:val="left"/>
      <w:pPr>
        <w:tabs>
          <w:tab w:val="num" w:pos="357"/>
        </w:tabs>
        <w:ind w:left="357" w:hanging="357"/>
      </w:pPr>
      <w:rPr>
        <w:rFonts w:hint="default"/>
      </w:rPr>
    </w:lvl>
    <w:lvl w:ilvl="1">
      <w:start w:val="1"/>
      <w:numFmt w:val="hebrew1"/>
      <w:lvlText w:val="%2."/>
      <w:lvlJc w:val="left"/>
      <w:pPr>
        <w:tabs>
          <w:tab w:val="num" w:pos="505"/>
        </w:tabs>
        <w:ind w:left="709" w:hanging="352"/>
      </w:pPr>
      <w:rPr>
        <w:rFonts w:cs="David" w:hint="cs"/>
        <w:b w:val="0"/>
        <w:bCs w:val="0"/>
        <w:i w:val="0"/>
        <w:iCs w:val="0"/>
        <w:sz w:val="26"/>
        <w:szCs w:val="26"/>
      </w:rPr>
    </w:lvl>
    <w:lvl w:ilvl="2">
      <w:start w:val="1"/>
      <w:numFmt w:val="none"/>
      <w:lvlText w:val="1)"/>
      <w:lvlJc w:val="left"/>
      <w:pPr>
        <w:tabs>
          <w:tab w:val="num" w:pos="646"/>
        </w:tabs>
        <w:ind w:left="646" w:hanging="141"/>
      </w:pPr>
      <w:rPr>
        <w:rFonts w:cs="David" w:hint="cs"/>
        <w:bCs w:val="0"/>
        <w:iCs w:val="0"/>
        <w:sz w:val="26"/>
        <w:szCs w:val="26"/>
      </w:rPr>
    </w:lvl>
    <w:lvl w:ilvl="3">
      <w:start w:val="1"/>
      <w:numFmt w:val="none"/>
      <w:lvlText w:val="א)"/>
      <w:lvlJc w:val="left"/>
      <w:pPr>
        <w:tabs>
          <w:tab w:val="num" w:pos="782"/>
        </w:tabs>
        <w:ind w:left="782" w:hanging="136"/>
      </w:pPr>
      <w:rPr>
        <w:rFonts w:cs="David" w:hint="cs"/>
        <w:bCs w:val="0"/>
        <w:iCs w:val="0"/>
        <w:sz w:val="26"/>
        <w:szCs w:val="26"/>
      </w:rPr>
    </w:lvl>
    <w:lvl w:ilvl="4">
      <w:start w:val="1"/>
      <w:numFmt w:val="decimal"/>
      <w:lvlText w:val="%1.%2.%3.%4.%5"/>
      <w:lvlJc w:val="left"/>
      <w:pPr>
        <w:tabs>
          <w:tab w:val="num" w:pos="1009"/>
        </w:tabs>
        <w:ind w:left="1009" w:hanging="1009"/>
      </w:pPr>
      <w:rPr>
        <w:rFonts w:hint="default"/>
      </w:rPr>
    </w:lvl>
    <w:lvl w:ilvl="5">
      <w:start w:val="1"/>
      <w:numFmt w:val="decimal"/>
      <w:lvlText w:val="%1.%2.%3.%4.%5.%6"/>
      <w:lvlJc w:val="left"/>
      <w:pPr>
        <w:tabs>
          <w:tab w:val="num" w:pos="1151"/>
        </w:tabs>
        <w:ind w:left="1151" w:hanging="1151"/>
      </w:pPr>
      <w:rPr>
        <w:rFonts w:hint="default"/>
      </w:rPr>
    </w:lvl>
    <w:lvl w:ilvl="6">
      <w:start w:val="1"/>
      <w:numFmt w:val="decimal"/>
      <w:lvlText w:val="%1.%2.%3.%4.%5.%6.%7"/>
      <w:lvlJc w:val="left"/>
      <w:pPr>
        <w:tabs>
          <w:tab w:val="num" w:pos="1298"/>
        </w:tabs>
        <w:ind w:left="1298" w:hanging="1298"/>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2"/>
        </w:tabs>
        <w:ind w:left="1582" w:hanging="1582"/>
      </w:pPr>
      <w:rPr>
        <w:rFonts w:hint="default"/>
      </w:rPr>
    </w:lvl>
  </w:abstractNum>
  <w:abstractNum w:abstractNumId="27">
    <w:nsid w:val="3DD14A2B"/>
    <w:multiLevelType w:val="hybridMultilevel"/>
    <w:tmpl w:val="394A205E"/>
    <w:lvl w:ilvl="0" w:tplc="A52E4336">
      <w:start w:val="1"/>
      <w:numFmt w:val="hebrew1"/>
      <w:lvlText w:val="%1."/>
      <w:lvlJc w:val="left"/>
      <w:pPr>
        <w:ind w:left="360" w:hanging="360"/>
      </w:pPr>
      <w:rPr>
        <w:rFonts w:hint="default"/>
      </w:rPr>
    </w:lvl>
    <w:lvl w:ilvl="1" w:tplc="8244ECD2">
      <w:start w:val="1"/>
      <w:numFmt w:val="bullet"/>
      <w:lvlText w:val="o"/>
      <w:lvlJc w:val="left"/>
      <w:pPr>
        <w:ind w:left="1080" w:hanging="360"/>
      </w:pPr>
      <w:rPr>
        <w:rFonts w:ascii="Courier New" w:hAnsi="Courier New" w:cs="Courier New" w:hint="default"/>
        <w:b w:val="0"/>
        <w:i w:val="0"/>
        <w:sz w:val="26"/>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11A51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997733D"/>
    <w:multiLevelType w:val="hybridMultilevel"/>
    <w:tmpl w:val="38EE5FE8"/>
    <w:lvl w:ilvl="0" w:tplc="04090001">
      <w:start w:val="1"/>
      <w:numFmt w:val="bullet"/>
      <w:lvlText w:val=""/>
      <w:lvlJc w:val="left"/>
      <w:pPr>
        <w:ind w:left="360" w:hanging="360"/>
      </w:pPr>
      <w:rPr>
        <w:rFonts w:ascii="Symbol" w:hAnsi="Symbol"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BDF696E"/>
    <w:multiLevelType w:val="hybridMultilevel"/>
    <w:tmpl w:val="E4785E72"/>
    <w:lvl w:ilvl="0" w:tplc="6A12D41A">
      <w:start w:val="1"/>
      <w:numFmt w:val="hebrew1"/>
      <w:lvlText w:val="%1."/>
      <w:lvlJc w:val="left"/>
      <w:pPr>
        <w:ind w:left="360" w:hanging="360"/>
      </w:pPr>
      <w:rPr>
        <w:rFonts w:hint="default"/>
        <w:b w:val="0"/>
        <w:bCs w:val="0"/>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C67565D"/>
    <w:multiLevelType w:val="hybridMultilevel"/>
    <w:tmpl w:val="DC540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9D27B5"/>
    <w:multiLevelType w:val="hybridMultilevel"/>
    <w:tmpl w:val="8DB024D0"/>
    <w:lvl w:ilvl="0" w:tplc="1D629B7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39F3654"/>
    <w:multiLevelType w:val="hybridMultilevel"/>
    <w:tmpl w:val="D7240630"/>
    <w:lvl w:ilvl="0" w:tplc="6A12D41A">
      <w:start w:val="1"/>
      <w:numFmt w:val="hebrew1"/>
      <w:lvlText w:val="%1."/>
      <w:lvlJc w:val="left"/>
      <w:pPr>
        <w:ind w:left="360" w:hanging="360"/>
      </w:pPr>
      <w:rPr>
        <w:rFonts w:hint="default"/>
        <w:b w:val="0"/>
        <w:bCs w:val="0"/>
        <w:i w:val="0"/>
        <w:iCs w:val="0"/>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8F16D59"/>
    <w:multiLevelType w:val="hybridMultilevel"/>
    <w:tmpl w:val="6E264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A07B5C"/>
    <w:multiLevelType w:val="multilevel"/>
    <w:tmpl w:val="F79CAC0E"/>
    <w:lvl w:ilvl="0">
      <w:start w:val="1"/>
      <w:numFmt w:val="decimal"/>
      <w:lvlRestart w:val="0"/>
      <w:pStyle w:val="numberingoutline"/>
      <w:lvlText w:val="%1."/>
      <w:lvlJc w:val="left"/>
      <w:pPr>
        <w:tabs>
          <w:tab w:val="num" w:pos="360"/>
        </w:tabs>
        <w:ind w:left="360" w:hanging="360"/>
      </w:pPr>
      <w:rPr>
        <w:rFonts w:hint="default"/>
      </w:rPr>
    </w:lvl>
    <w:lvl w:ilvl="1">
      <w:start w:val="1"/>
      <w:numFmt w:val="hebrew1"/>
      <w:lvlText w:val="%2."/>
      <w:lvlJc w:val="left"/>
      <w:pPr>
        <w:tabs>
          <w:tab w:val="num" w:pos="504"/>
        </w:tabs>
        <w:ind w:left="706" w:hanging="346"/>
      </w:pPr>
      <w:rPr>
        <w:rFonts w:cs="David" w:hint="cs"/>
        <w:b w:val="0"/>
        <w:bCs w:val="0"/>
        <w:i w:val="0"/>
        <w:iCs w:val="0"/>
        <w:sz w:val="26"/>
        <w:szCs w:val="26"/>
      </w:rPr>
    </w:lvl>
    <w:lvl w:ilvl="2">
      <w:start w:val="1"/>
      <w:numFmt w:val="decimal"/>
      <w:lvlText w:val="%3)"/>
      <w:lvlJc w:val="left"/>
      <w:pPr>
        <w:tabs>
          <w:tab w:val="num" w:pos="648"/>
        </w:tabs>
        <w:ind w:left="648" w:hanging="144"/>
      </w:pPr>
      <w:rPr>
        <w:rFonts w:cs="David" w:hint="cs"/>
        <w:bCs w:val="0"/>
        <w:iCs w:val="0"/>
        <w:sz w:val="26"/>
        <w:szCs w:val="26"/>
      </w:rPr>
    </w:lvl>
    <w:lvl w:ilvl="3">
      <w:start w:val="1"/>
      <w:numFmt w:val="none"/>
      <w:lvlText w:val="א)"/>
      <w:lvlJc w:val="left"/>
      <w:pPr>
        <w:tabs>
          <w:tab w:val="num" w:pos="778"/>
        </w:tabs>
        <w:ind w:left="778" w:hanging="130"/>
      </w:pPr>
      <w:rPr>
        <w:rFonts w:cs="David" w:hint="cs"/>
        <w:bCs w:val="0"/>
        <w:iCs w:val="0"/>
        <w:sz w:val="26"/>
        <w:szCs w:val="26"/>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6ED94F64"/>
    <w:multiLevelType w:val="multilevel"/>
    <w:tmpl w:val="C2A4BEC4"/>
    <w:lvl w:ilvl="0">
      <w:start w:val="1"/>
      <w:numFmt w:val="bullet"/>
      <w:lvlText w:val=""/>
      <w:lvlJc w:val="left"/>
      <w:pPr>
        <w:ind w:left="403" w:hanging="403"/>
      </w:pPr>
      <w:rPr>
        <w:rFonts w:ascii="Symbol" w:hAnsi="Symbol" w:cs="Times New Roman" w:hint="default"/>
        <w:color w:val="auto"/>
        <w:szCs w:val="20"/>
      </w:rPr>
    </w:lvl>
    <w:lvl w:ilvl="1">
      <w:start w:val="1"/>
      <w:numFmt w:val="bullet"/>
      <w:lvlText w:val=""/>
      <w:lvlJc w:val="left"/>
      <w:pPr>
        <w:ind w:left="806" w:hanging="403"/>
      </w:pPr>
      <w:rPr>
        <w:rFonts w:ascii="Symbol" w:hAnsi="Symbol" w:cs="Times New Roman" w:hint="default"/>
        <w:color w:val="auto"/>
        <w:szCs w:val="20"/>
      </w:rPr>
    </w:lvl>
    <w:lvl w:ilvl="2">
      <w:start w:val="1"/>
      <w:numFmt w:val="bullet"/>
      <w:lvlText w:val=""/>
      <w:lvlJc w:val="left"/>
      <w:pPr>
        <w:ind w:left="1209" w:hanging="403"/>
      </w:pPr>
      <w:rPr>
        <w:rFonts w:ascii="Wingdings" w:hAnsi="Wingdings" w:hint="default"/>
      </w:rPr>
    </w:lvl>
    <w:lvl w:ilvl="3">
      <w:start w:val="1"/>
      <w:numFmt w:val="bullet"/>
      <w:lvlText w:val=""/>
      <w:lvlJc w:val="left"/>
      <w:pPr>
        <w:ind w:left="1612" w:hanging="403"/>
      </w:pPr>
      <w:rPr>
        <w:rFonts w:ascii="Symbol" w:hAnsi="Symbol" w:hint="default"/>
      </w:rPr>
    </w:lvl>
    <w:lvl w:ilvl="4">
      <w:start w:val="1"/>
      <w:numFmt w:val="bullet"/>
      <w:lvlText w:val=""/>
      <w:lvlJc w:val="left"/>
      <w:pPr>
        <w:ind w:left="2015" w:hanging="403"/>
      </w:pPr>
      <w:rPr>
        <w:rFonts w:ascii="Symbol" w:hAnsi="Symbol" w:hint="default"/>
      </w:rPr>
    </w:lvl>
    <w:lvl w:ilvl="5">
      <w:start w:val="1"/>
      <w:numFmt w:val="bullet"/>
      <w:lvlText w:val=""/>
      <w:lvlJc w:val="left"/>
      <w:pPr>
        <w:ind w:left="2418" w:hanging="403"/>
      </w:pPr>
      <w:rPr>
        <w:rFonts w:ascii="Wingdings" w:hAnsi="Wingdings" w:hint="default"/>
      </w:rPr>
    </w:lvl>
    <w:lvl w:ilvl="6">
      <w:start w:val="1"/>
      <w:numFmt w:val="bullet"/>
      <w:lvlText w:val=""/>
      <w:lvlJc w:val="left"/>
      <w:pPr>
        <w:ind w:left="2821" w:hanging="403"/>
      </w:pPr>
      <w:rPr>
        <w:rFonts w:ascii="Wingdings" w:hAnsi="Wingdings" w:hint="default"/>
      </w:rPr>
    </w:lvl>
    <w:lvl w:ilvl="7">
      <w:start w:val="1"/>
      <w:numFmt w:val="bullet"/>
      <w:lvlText w:val=""/>
      <w:lvlJc w:val="left"/>
      <w:pPr>
        <w:ind w:left="3224" w:hanging="403"/>
      </w:pPr>
      <w:rPr>
        <w:rFonts w:ascii="Symbol" w:hAnsi="Symbol" w:hint="default"/>
      </w:rPr>
    </w:lvl>
    <w:lvl w:ilvl="8">
      <w:start w:val="1"/>
      <w:numFmt w:val="bullet"/>
      <w:lvlText w:val=""/>
      <w:lvlJc w:val="left"/>
      <w:pPr>
        <w:ind w:left="3627" w:hanging="403"/>
      </w:pPr>
      <w:rPr>
        <w:rFonts w:ascii="Symbol" w:hAnsi="Symbol" w:hint="default"/>
      </w:rPr>
    </w:lvl>
  </w:abstractNum>
  <w:abstractNum w:abstractNumId="37">
    <w:nsid w:val="71273305"/>
    <w:multiLevelType w:val="hybridMultilevel"/>
    <w:tmpl w:val="1DB879D2"/>
    <w:lvl w:ilvl="0" w:tplc="D3842DC2">
      <w:start w:val="1"/>
      <w:numFmt w:val="bullet"/>
      <w:lvlText w:val=""/>
      <w:lvlJc w:val="left"/>
      <w:pPr>
        <w:ind w:left="360" w:hanging="360"/>
      </w:pPr>
      <w:rPr>
        <w:rFonts w:ascii="Symbol" w:hAnsi="Symbol" w:cs="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16F7578"/>
    <w:multiLevelType w:val="multilevel"/>
    <w:tmpl w:val="0F2A156A"/>
    <w:lvl w:ilvl="0">
      <w:start w:val="1"/>
      <w:numFmt w:val="decimal"/>
      <w:lvlRestart w:val="0"/>
      <w:lvlText w:val="%1."/>
      <w:lvlJc w:val="left"/>
      <w:pPr>
        <w:tabs>
          <w:tab w:val="num" w:pos="360"/>
        </w:tabs>
        <w:ind w:left="360" w:hanging="360"/>
      </w:pPr>
    </w:lvl>
    <w:lvl w:ilvl="1">
      <w:start w:val="1"/>
      <w:numFmt w:val="hebrew1"/>
      <w:lvlText w:val="%2."/>
      <w:lvlJc w:val="left"/>
      <w:pPr>
        <w:tabs>
          <w:tab w:val="num" w:pos="504"/>
        </w:tabs>
        <w:ind w:left="706" w:hanging="346"/>
      </w:pPr>
      <w:rPr>
        <w:rFonts w:cs="David"/>
        <w:b w:val="0"/>
        <w:bCs w:val="0"/>
        <w:i w:val="0"/>
        <w:iCs w:val="0"/>
        <w:sz w:val="26"/>
        <w:szCs w:val="26"/>
      </w:rPr>
    </w:lvl>
    <w:lvl w:ilvl="2">
      <w:start w:val="1"/>
      <w:numFmt w:val="none"/>
      <w:lvlText w:val="1)"/>
      <w:lvlJc w:val="left"/>
      <w:pPr>
        <w:tabs>
          <w:tab w:val="num" w:pos="648"/>
        </w:tabs>
        <w:ind w:left="648" w:hanging="144"/>
      </w:pPr>
      <w:rPr>
        <w:rFonts w:cs="David"/>
        <w:bCs w:val="0"/>
        <w:iCs w:val="0"/>
        <w:sz w:val="26"/>
        <w:szCs w:val="26"/>
      </w:rPr>
    </w:lvl>
    <w:lvl w:ilvl="3">
      <w:start w:val="1"/>
      <w:numFmt w:val="none"/>
      <w:lvlText w:val="א)"/>
      <w:lvlJc w:val="left"/>
      <w:pPr>
        <w:tabs>
          <w:tab w:val="num" w:pos="778"/>
        </w:tabs>
        <w:ind w:left="778" w:hanging="130"/>
      </w:pPr>
      <w:rPr>
        <w:rFonts w:cs="David"/>
        <w:bCs w:val="0"/>
        <w:iCs w:val="0"/>
        <w:sz w:val="26"/>
        <w:szCs w:val="26"/>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7600214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D6E2DCF"/>
    <w:multiLevelType w:val="hybridMultilevel"/>
    <w:tmpl w:val="CE52B13C"/>
    <w:lvl w:ilvl="0" w:tplc="A52E4336">
      <w:start w:val="1"/>
      <w:numFmt w:val="hebrew1"/>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F8D1CC4"/>
    <w:multiLevelType w:val="hybridMultilevel"/>
    <w:tmpl w:val="FDA2D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35"/>
  </w:num>
  <w:num w:numId="3">
    <w:abstractNumId w:val="24"/>
  </w:num>
  <w:num w:numId="4">
    <w:abstractNumId w:val="12"/>
  </w:num>
  <w:num w:numId="5">
    <w:abstractNumId w:val="18"/>
  </w:num>
  <w:num w:numId="6">
    <w:abstractNumId w:val="13"/>
  </w:num>
  <w:num w:numId="7">
    <w:abstractNumId w:val="11"/>
  </w:num>
  <w:num w:numId="8">
    <w:abstractNumId w:val="21"/>
  </w:num>
  <w:num w:numId="9">
    <w:abstractNumId w:val="41"/>
  </w:num>
  <w:num w:numId="10">
    <w:abstractNumId w:val="17"/>
  </w:num>
  <w:num w:numId="11">
    <w:abstractNumId w:val="25"/>
  </w:num>
  <w:num w:numId="12">
    <w:abstractNumId w:val="37"/>
  </w:num>
  <w:num w:numId="13">
    <w:abstractNumId w:val="22"/>
  </w:num>
  <w:num w:numId="14">
    <w:abstractNumId w:val="30"/>
  </w:num>
  <w:num w:numId="15">
    <w:abstractNumId w:val="33"/>
  </w:num>
  <w:num w:numId="16">
    <w:abstractNumId w:val="15"/>
  </w:num>
  <w:num w:numId="17">
    <w:abstractNumId w:val="2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28"/>
  </w:num>
  <w:num w:numId="27">
    <w:abstractNumId w:val="19"/>
  </w:num>
  <w:num w:numId="28">
    <w:abstractNumId w:val="36"/>
  </w:num>
  <w:num w:numId="29">
    <w:abstractNumId w:val="10"/>
  </w:num>
  <w:num w:numId="30">
    <w:abstractNumId w:val="23"/>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20"/>
  </w:num>
  <w:num w:numId="42">
    <w:abstractNumId w:val="31"/>
  </w:num>
  <w:num w:numId="43">
    <w:abstractNumId w:val="40"/>
  </w:num>
  <w:num w:numId="44">
    <w:abstractNumId w:val="27"/>
  </w:num>
  <w:num w:numId="45">
    <w:abstractNumId w:val="14"/>
  </w:num>
  <w:num w:numId="46">
    <w:abstractNumId w:val="32"/>
  </w:num>
  <w:num w:numId="47">
    <w:abstractNumId w:val="29"/>
  </w:num>
  <w:num w:numId="48">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C51"/>
    <w:rsid w:val="000006B0"/>
    <w:rsid w:val="0000458E"/>
    <w:rsid w:val="00037241"/>
    <w:rsid w:val="00064088"/>
    <w:rsid w:val="00070183"/>
    <w:rsid w:val="000840B6"/>
    <w:rsid w:val="0009670E"/>
    <w:rsid w:val="000A2A47"/>
    <w:rsid w:val="000B22B1"/>
    <w:rsid w:val="000B426C"/>
    <w:rsid w:val="000C667C"/>
    <w:rsid w:val="000D6BD5"/>
    <w:rsid w:val="000D729C"/>
    <w:rsid w:val="000D7A5A"/>
    <w:rsid w:val="000E37CE"/>
    <w:rsid w:val="000E5497"/>
    <w:rsid w:val="000F3BAC"/>
    <w:rsid w:val="000F480E"/>
    <w:rsid w:val="000F4AF7"/>
    <w:rsid w:val="001009EF"/>
    <w:rsid w:val="00103DE2"/>
    <w:rsid w:val="00110EEF"/>
    <w:rsid w:val="0011209E"/>
    <w:rsid w:val="00134788"/>
    <w:rsid w:val="001348F6"/>
    <w:rsid w:val="00144664"/>
    <w:rsid w:val="00150207"/>
    <w:rsid w:val="0015052B"/>
    <w:rsid w:val="001763E5"/>
    <w:rsid w:val="001842F5"/>
    <w:rsid w:val="001874D6"/>
    <w:rsid w:val="00194BE0"/>
    <w:rsid w:val="00195D2A"/>
    <w:rsid w:val="001A5EF8"/>
    <w:rsid w:val="001B6571"/>
    <w:rsid w:val="001C5661"/>
    <w:rsid w:val="001D1B8A"/>
    <w:rsid w:val="001D4506"/>
    <w:rsid w:val="001F2ACF"/>
    <w:rsid w:val="001F31D9"/>
    <w:rsid w:val="001F4E47"/>
    <w:rsid w:val="00211DC7"/>
    <w:rsid w:val="00213051"/>
    <w:rsid w:val="002147BD"/>
    <w:rsid w:val="002168CB"/>
    <w:rsid w:val="002170DD"/>
    <w:rsid w:val="00237CCC"/>
    <w:rsid w:val="0024163B"/>
    <w:rsid w:val="00246CF1"/>
    <w:rsid w:val="00255D30"/>
    <w:rsid w:val="00256073"/>
    <w:rsid w:val="002570C1"/>
    <w:rsid w:val="00261F53"/>
    <w:rsid w:val="00265364"/>
    <w:rsid w:val="002663F0"/>
    <w:rsid w:val="00267B64"/>
    <w:rsid w:val="002719FB"/>
    <w:rsid w:val="0027767F"/>
    <w:rsid w:val="0028297B"/>
    <w:rsid w:val="00282EA5"/>
    <w:rsid w:val="00285B94"/>
    <w:rsid w:val="00286C07"/>
    <w:rsid w:val="0028717F"/>
    <w:rsid w:val="00291058"/>
    <w:rsid w:val="002966BC"/>
    <w:rsid w:val="0029685B"/>
    <w:rsid w:val="002A0BEB"/>
    <w:rsid w:val="002A1153"/>
    <w:rsid w:val="002A2B47"/>
    <w:rsid w:val="002A7622"/>
    <w:rsid w:val="002B018D"/>
    <w:rsid w:val="002D26B4"/>
    <w:rsid w:val="002D44C0"/>
    <w:rsid w:val="002F0C1B"/>
    <w:rsid w:val="003110AB"/>
    <w:rsid w:val="00322590"/>
    <w:rsid w:val="00323259"/>
    <w:rsid w:val="003241C1"/>
    <w:rsid w:val="003306AA"/>
    <w:rsid w:val="0034527A"/>
    <w:rsid w:val="00357949"/>
    <w:rsid w:val="00365873"/>
    <w:rsid w:val="00365A69"/>
    <w:rsid w:val="00371945"/>
    <w:rsid w:val="00372163"/>
    <w:rsid w:val="00383AB5"/>
    <w:rsid w:val="003A145E"/>
    <w:rsid w:val="003A521C"/>
    <w:rsid w:val="003A5CA0"/>
    <w:rsid w:val="003B33FD"/>
    <w:rsid w:val="003B4C32"/>
    <w:rsid w:val="003C172B"/>
    <w:rsid w:val="003C411E"/>
    <w:rsid w:val="003C7CA5"/>
    <w:rsid w:val="003D580A"/>
    <w:rsid w:val="003E1014"/>
    <w:rsid w:val="003E37CF"/>
    <w:rsid w:val="003E4166"/>
    <w:rsid w:val="003E47A1"/>
    <w:rsid w:val="003E5674"/>
    <w:rsid w:val="003F34AF"/>
    <w:rsid w:val="004054CD"/>
    <w:rsid w:val="00413E04"/>
    <w:rsid w:val="00414709"/>
    <w:rsid w:val="00416E11"/>
    <w:rsid w:val="004355C6"/>
    <w:rsid w:val="00456CEB"/>
    <w:rsid w:val="00461493"/>
    <w:rsid w:val="0048157A"/>
    <w:rsid w:val="0048711D"/>
    <w:rsid w:val="0049455E"/>
    <w:rsid w:val="004975D0"/>
    <w:rsid w:val="004A37ED"/>
    <w:rsid w:val="004B24F5"/>
    <w:rsid w:val="004C0FE2"/>
    <w:rsid w:val="004C1028"/>
    <w:rsid w:val="004C6552"/>
    <w:rsid w:val="004D0A1B"/>
    <w:rsid w:val="004D60CB"/>
    <w:rsid w:val="004E2AFE"/>
    <w:rsid w:val="00503F23"/>
    <w:rsid w:val="00505EB6"/>
    <w:rsid w:val="005060E8"/>
    <w:rsid w:val="0051422D"/>
    <w:rsid w:val="00516D2B"/>
    <w:rsid w:val="00531679"/>
    <w:rsid w:val="00536C5D"/>
    <w:rsid w:val="00545E5C"/>
    <w:rsid w:val="00550B6A"/>
    <w:rsid w:val="00551E41"/>
    <w:rsid w:val="005530ED"/>
    <w:rsid w:val="00554EE6"/>
    <w:rsid w:val="005560DF"/>
    <w:rsid w:val="00556FFC"/>
    <w:rsid w:val="00563577"/>
    <w:rsid w:val="005665DF"/>
    <w:rsid w:val="005735DC"/>
    <w:rsid w:val="005830D1"/>
    <w:rsid w:val="005919B6"/>
    <w:rsid w:val="005941E2"/>
    <w:rsid w:val="00595DEC"/>
    <w:rsid w:val="005A588D"/>
    <w:rsid w:val="005B224B"/>
    <w:rsid w:val="005B7653"/>
    <w:rsid w:val="005C5666"/>
    <w:rsid w:val="005D73E4"/>
    <w:rsid w:val="005E05A3"/>
    <w:rsid w:val="005E2B97"/>
    <w:rsid w:val="005E2CB3"/>
    <w:rsid w:val="005E5907"/>
    <w:rsid w:val="005E7EC1"/>
    <w:rsid w:val="005F3F41"/>
    <w:rsid w:val="006006BA"/>
    <w:rsid w:val="00601E06"/>
    <w:rsid w:val="006103BC"/>
    <w:rsid w:val="00621751"/>
    <w:rsid w:val="0064465B"/>
    <w:rsid w:val="006457AB"/>
    <w:rsid w:val="0065294E"/>
    <w:rsid w:val="00663D0C"/>
    <w:rsid w:val="006645EF"/>
    <w:rsid w:val="006742C6"/>
    <w:rsid w:val="00675174"/>
    <w:rsid w:val="00683323"/>
    <w:rsid w:val="00684457"/>
    <w:rsid w:val="0069108D"/>
    <w:rsid w:val="006A544C"/>
    <w:rsid w:val="006A5CC4"/>
    <w:rsid w:val="006A643F"/>
    <w:rsid w:val="006A6645"/>
    <w:rsid w:val="006B0D4D"/>
    <w:rsid w:val="006D1909"/>
    <w:rsid w:val="006E44AA"/>
    <w:rsid w:val="006F562A"/>
    <w:rsid w:val="0070034D"/>
    <w:rsid w:val="00711B1F"/>
    <w:rsid w:val="00721A65"/>
    <w:rsid w:val="00722634"/>
    <w:rsid w:val="00734E18"/>
    <w:rsid w:val="00735E34"/>
    <w:rsid w:val="0076542F"/>
    <w:rsid w:val="007658CB"/>
    <w:rsid w:val="00780440"/>
    <w:rsid w:val="0079299B"/>
    <w:rsid w:val="00794707"/>
    <w:rsid w:val="00794977"/>
    <w:rsid w:val="007A3B85"/>
    <w:rsid w:val="007A3DBC"/>
    <w:rsid w:val="007A7FE2"/>
    <w:rsid w:val="007B0E7F"/>
    <w:rsid w:val="007C4F5F"/>
    <w:rsid w:val="007C5ED0"/>
    <w:rsid w:val="007E1636"/>
    <w:rsid w:val="007E779E"/>
    <w:rsid w:val="007F19BB"/>
    <w:rsid w:val="007F38D0"/>
    <w:rsid w:val="008066BB"/>
    <w:rsid w:val="0081220B"/>
    <w:rsid w:val="008144ED"/>
    <w:rsid w:val="00820BB6"/>
    <w:rsid w:val="008227C3"/>
    <w:rsid w:val="00836765"/>
    <w:rsid w:val="00860D81"/>
    <w:rsid w:val="0086177A"/>
    <w:rsid w:val="008628D7"/>
    <w:rsid w:val="00865392"/>
    <w:rsid w:val="00873280"/>
    <w:rsid w:val="00876CF3"/>
    <w:rsid w:val="0089458A"/>
    <w:rsid w:val="008B557F"/>
    <w:rsid w:val="008C6DAF"/>
    <w:rsid w:val="008D02B8"/>
    <w:rsid w:val="008D2621"/>
    <w:rsid w:val="008D4AD1"/>
    <w:rsid w:val="008E01B4"/>
    <w:rsid w:val="008E7D21"/>
    <w:rsid w:val="00903622"/>
    <w:rsid w:val="0090439E"/>
    <w:rsid w:val="00904B16"/>
    <w:rsid w:val="00905DC2"/>
    <w:rsid w:val="009151BF"/>
    <w:rsid w:val="00917B83"/>
    <w:rsid w:val="009222DF"/>
    <w:rsid w:val="00930932"/>
    <w:rsid w:val="009432DC"/>
    <w:rsid w:val="009441B9"/>
    <w:rsid w:val="009522D1"/>
    <w:rsid w:val="00960121"/>
    <w:rsid w:val="009727E8"/>
    <w:rsid w:val="00973965"/>
    <w:rsid w:val="00983E4A"/>
    <w:rsid w:val="00985BB3"/>
    <w:rsid w:val="00986ACC"/>
    <w:rsid w:val="009B43FC"/>
    <w:rsid w:val="009D418F"/>
    <w:rsid w:val="009D735B"/>
    <w:rsid w:val="009D7D46"/>
    <w:rsid w:val="009E30DB"/>
    <w:rsid w:val="009E4F66"/>
    <w:rsid w:val="009F2BC0"/>
    <w:rsid w:val="00A14911"/>
    <w:rsid w:val="00A14A9A"/>
    <w:rsid w:val="00A206FB"/>
    <w:rsid w:val="00A20D93"/>
    <w:rsid w:val="00A26EC4"/>
    <w:rsid w:val="00A36A67"/>
    <w:rsid w:val="00A45D59"/>
    <w:rsid w:val="00A81C10"/>
    <w:rsid w:val="00A85F8C"/>
    <w:rsid w:val="00A956B1"/>
    <w:rsid w:val="00A95B03"/>
    <w:rsid w:val="00AA3250"/>
    <w:rsid w:val="00AB09AD"/>
    <w:rsid w:val="00AB407E"/>
    <w:rsid w:val="00AB7855"/>
    <w:rsid w:val="00AC6993"/>
    <w:rsid w:val="00AD77E6"/>
    <w:rsid w:val="00AE1E13"/>
    <w:rsid w:val="00AF0A8A"/>
    <w:rsid w:val="00B00ADA"/>
    <w:rsid w:val="00B00C35"/>
    <w:rsid w:val="00B03D2B"/>
    <w:rsid w:val="00B1258F"/>
    <w:rsid w:val="00B25194"/>
    <w:rsid w:val="00B3568A"/>
    <w:rsid w:val="00B35B51"/>
    <w:rsid w:val="00B46EF6"/>
    <w:rsid w:val="00B54786"/>
    <w:rsid w:val="00B5660C"/>
    <w:rsid w:val="00B56CA5"/>
    <w:rsid w:val="00B96776"/>
    <w:rsid w:val="00BA222A"/>
    <w:rsid w:val="00BB1781"/>
    <w:rsid w:val="00BB2691"/>
    <w:rsid w:val="00BB6461"/>
    <w:rsid w:val="00BC457A"/>
    <w:rsid w:val="00BE1129"/>
    <w:rsid w:val="00BE1BC2"/>
    <w:rsid w:val="00BE49B4"/>
    <w:rsid w:val="00C00689"/>
    <w:rsid w:val="00C00B59"/>
    <w:rsid w:val="00C03B0B"/>
    <w:rsid w:val="00C20BCD"/>
    <w:rsid w:val="00C2162F"/>
    <w:rsid w:val="00C24CD6"/>
    <w:rsid w:val="00C255CC"/>
    <w:rsid w:val="00C32F76"/>
    <w:rsid w:val="00C35528"/>
    <w:rsid w:val="00C36F88"/>
    <w:rsid w:val="00C6497F"/>
    <w:rsid w:val="00C71D87"/>
    <w:rsid w:val="00C74231"/>
    <w:rsid w:val="00CA26D4"/>
    <w:rsid w:val="00CA5E6A"/>
    <w:rsid w:val="00CB1F72"/>
    <w:rsid w:val="00CB321D"/>
    <w:rsid w:val="00CC1052"/>
    <w:rsid w:val="00CC13CE"/>
    <w:rsid w:val="00CC4A81"/>
    <w:rsid w:val="00CE72A5"/>
    <w:rsid w:val="00CF1429"/>
    <w:rsid w:val="00CF3908"/>
    <w:rsid w:val="00D11856"/>
    <w:rsid w:val="00D31CA4"/>
    <w:rsid w:val="00D31E3F"/>
    <w:rsid w:val="00D434FF"/>
    <w:rsid w:val="00D52D81"/>
    <w:rsid w:val="00D714D4"/>
    <w:rsid w:val="00D77D71"/>
    <w:rsid w:val="00D803C1"/>
    <w:rsid w:val="00D843ED"/>
    <w:rsid w:val="00D85923"/>
    <w:rsid w:val="00D878C8"/>
    <w:rsid w:val="00D97490"/>
    <w:rsid w:val="00DB7D39"/>
    <w:rsid w:val="00DC104A"/>
    <w:rsid w:val="00DC3AFC"/>
    <w:rsid w:val="00DE6F51"/>
    <w:rsid w:val="00DF1CBA"/>
    <w:rsid w:val="00DF4728"/>
    <w:rsid w:val="00E0677D"/>
    <w:rsid w:val="00E1364F"/>
    <w:rsid w:val="00E2774A"/>
    <w:rsid w:val="00E361B4"/>
    <w:rsid w:val="00E44053"/>
    <w:rsid w:val="00E71F2E"/>
    <w:rsid w:val="00E81386"/>
    <w:rsid w:val="00E91CEC"/>
    <w:rsid w:val="00E940C6"/>
    <w:rsid w:val="00EA2DA7"/>
    <w:rsid w:val="00EA483E"/>
    <w:rsid w:val="00EB149A"/>
    <w:rsid w:val="00EB1F2B"/>
    <w:rsid w:val="00EB588C"/>
    <w:rsid w:val="00EB7D08"/>
    <w:rsid w:val="00EC0594"/>
    <w:rsid w:val="00EC199B"/>
    <w:rsid w:val="00ED40F2"/>
    <w:rsid w:val="00ED49F0"/>
    <w:rsid w:val="00EE1BB6"/>
    <w:rsid w:val="00F04FCE"/>
    <w:rsid w:val="00F22EA5"/>
    <w:rsid w:val="00F26C39"/>
    <w:rsid w:val="00F34306"/>
    <w:rsid w:val="00F44100"/>
    <w:rsid w:val="00F474C6"/>
    <w:rsid w:val="00F66DC8"/>
    <w:rsid w:val="00F70B56"/>
    <w:rsid w:val="00F729C2"/>
    <w:rsid w:val="00F761F4"/>
    <w:rsid w:val="00F80E16"/>
    <w:rsid w:val="00F85064"/>
    <w:rsid w:val="00F960D9"/>
    <w:rsid w:val="00F97DD4"/>
    <w:rsid w:val="00FA2E67"/>
    <w:rsid w:val="00FB1144"/>
    <w:rsid w:val="00FC4813"/>
    <w:rsid w:val="00FE1254"/>
    <w:rsid w:val="00FE3C51"/>
    <w:rsid w:val="00FE62DC"/>
    <w:rsid w:val="00FE7B99"/>
    <w:rsid w:val="00FF36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Classic 1" w:uiPriority="0"/>
    <w:lsdException w:name="Table Colorful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100"/>
    <w:pPr>
      <w:bidi/>
      <w:spacing w:after="240" w:line="360" w:lineRule="auto"/>
      <w:jc w:val="both"/>
    </w:pPr>
    <w:rPr>
      <w:rFonts w:ascii="Times New Roman" w:eastAsia="Times New Roman" w:hAnsi="Times New Roman" w:cs="David"/>
      <w:sz w:val="24"/>
      <w:szCs w:val="26"/>
      <w:lang w:eastAsia="he-IL"/>
    </w:rPr>
  </w:style>
  <w:style w:type="paragraph" w:styleId="1">
    <w:name w:val="heading 1"/>
    <w:basedOn w:val="a"/>
    <w:next w:val="a"/>
    <w:link w:val="10"/>
    <w:qFormat/>
    <w:rsid w:val="00F44100"/>
    <w:pPr>
      <w:keepNext/>
      <w:jc w:val="left"/>
      <w:outlineLvl w:val="0"/>
    </w:pPr>
    <w:rPr>
      <w:rFonts w:ascii="Arial Bold" w:hAnsi="Arial Bold" w:cs="Arial"/>
      <w:b/>
      <w:bCs/>
      <w:kern w:val="32"/>
      <w:sz w:val="32"/>
      <w:szCs w:val="34"/>
    </w:rPr>
  </w:style>
  <w:style w:type="paragraph" w:styleId="2">
    <w:name w:val="heading 2"/>
    <w:basedOn w:val="a"/>
    <w:next w:val="a"/>
    <w:link w:val="20"/>
    <w:qFormat/>
    <w:rsid w:val="00F44100"/>
    <w:pPr>
      <w:keepNext/>
      <w:spacing w:after="0"/>
      <w:jc w:val="left"/>
      <w:outlineLvl w:val="1"/>
    </w:pPr>
    <w:rPr>
      <w:rFonts w:ascii="Arial Bold" w:hAnsi="Arial Bold" w:cs="Arial"/>
      <w:b/>
      <w:bCs/>
      <w:sz w:val="26"/>
      <w:szCs w:val="28"/>
    </w:rPr>
  </w:style>
  <w:style w:type="paragraph" w:styleId="3">
    <w:name w:val="heading 3"/>
    <w:basedOn w:val="a"/>
    <w:next w:val="a"/>
    <w:link w:val="30"/>
    <w:qFormat/>
    <w:rsid w:val="00F44100"/>
    <w:pPr>
      <w:keepNext/>
      <w:spacing w:after="0"/>
      <w:jc w:val="left"/>
      <w:outlineLvl w:val="2"/>
    </w:pPr>
    <w:rPr>
      <w:b/>
      <w:bCs/>
      <w:sz w:val="25"/>
      <w:szCs w:val="27"/>
    </w:rPr>
  </w:style>
  <w:style w:type="paragraph" w:styleId="4">
    <w:name w:val="heading 4"/>
    <w:basedOn w:val="a"/>
    <w:next w:val="a"/>
    <w:link w:val="40"/>
    <w:qFormat/>
    <w:rsid w:val="00F44100"/>
    <w:pPr>
      <w:keepNext/>
      <w:spacing w:after="0"/>
      <w:jc w:val="left"/>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E3C51"/>
    <w:rPr>
      <w:rFonts w:ascii="Arial Bold" w:eastAsia="Times New Roman" w:hAnsi="Arial Bold" w:cs="Arial"/>
      <w:b/>
      <w:bCs/>
      <w:kern w:val="32"/>
      <w:sz w:val="32"/>
      <w:szCs w:val="34"/>
      <w:lang w:eastAsia="he-IL"/>
    </w:rPr>
  </w:style>
  <w:style w:type="character" w:customStyle="1" w:styleId="20">
    <w:name w:val="כותרת 2 תו"/>
    <w:basedOn w:val="a0"/>
    <w:link w:val="2"/>
    <w:rsid w:val="00FE3C51"/>
    <w:rPr>
      <w:rFonts w:ascii="Arial Bold" w:eastAsia="Times New Roman" w:hAnsi="Arial Bold" w:cs="Arial"/>
      <w:b/>
      <w:bCs/>
      <w:sz w:val="26"/>
      <w:szCs w:val="28"/>
      <w:lang w:eastAsia="he-IL"/>
    </w:rPr>
  </w:style>
  <w:style w:type="character" w:customStyle="1" w:styleId="30">
    <w:name w:val="כותרת 3 תו"/>
    <w:basedOn w:val="a0"/>
    <w:link w:val="3"/>
    <w:rsid w:val="00FE3C51"/>
    <w:rPr>
      <w:rFonts w:ascii="Times New Roman" w:eastAsia="Times New Roman" w:hAnsi="Times New Roman" w:cs="David"/>
      <w:b/>
      <w:bCs/>
      <w:sz w:val="25"/>
      <w:szCs w:val="27"/>
      <w:lang w:eastAsia="he-IL"/>
    </w:rPr>
  </w:style>
  <w:style w:type="character" w:customStyle="1" w:styleId="40">
    <w:name w:val="כותרת 4 תו"/>
    <w:basedOn w:val="a0"/>
    <w:link w:val="4"/>
    <w:rsid w:val="00FE3C51"/>
    <w:rPr>
      <w:rFonts w:ascii="Times New Roman" w:eastAsia="Times New Roman" w:hAnsi="Times New Roman" w:cs="David"/>
      <w:b/>
      <w:bCs/>
      <w:i/>
      <w:iCs/>
      <w:sz w:val="24"/>
      <w:szCs w:val="26"/>
      <w:lang w:eastAsia="he-IL"/>
    </w:rPr>
  </w:style>
  <w:style w:type="paragraph" w:styleId="a3">
    <w:name w:val="table of figures"/>
    <w:basedOn w:val="a"/>
    <w:next w:val="a"/>
    <w:semiHidden/>
    <w:rsid w:val="00F44100"/>
    <w:pPr>
      <w:ind w:left="460" w:hanging="460"/>
      <w:jc w:val="left"/>
    </w:pPr>
    <w:rPr>
      <w:rFonts w:cs="Times New Roman"/>
      <w:szCs w:val="20"/>
    </w:rPr>
  </w:style>
  <w:style w:type="paragraph" w:customStyle="1" w:styleId="chart">
    <w:name w:val="chart"/>
    <w:basedOn w:val="tableheading"/>
    <w:qFormat/>
    <w:rsid w:val="00F44100"/>
    <w:pPr>
      <w:spacing w:after="0" w:line="360" w:lineRule="auto"/>
      <w:jc w:val="both"/>
    </w:pPr>
  </w:style>
  <w:style w:type="paragraph" w:customStyle="1" w:styleId="tableheading">
    <w:name w:val="table heading"/>
    <w:basedOn w:val="a"/>
    <w:next w:val="a"/>
    <w:qFormat/>
    <w:rsid w:val="00F44100"/>
    <w:pPr>
      <w:keepNext/>
      <w:spacing w:line="240" w:lineRule="auto"/>
      <w:ind w:left="922" w:hanging="922"/>
      <w:jc w:val="left"/>
    </w:pPr>
    <w:rPr>
      <w:b/>
      <w:bCs/>
    </w:rPr>
  </w:style>
  <w:style w:type="paragraph" w:styleId="a4">
    <w:name w:val="footnote text"/>
    <w:basedOn w:val="a"/>
    <w:link w:val="a5"/>
    <w:semiHidden/>
    <w:rsid w:val="00F44100"/>
    <w:pPr>
      <w:tabs>
        <w:tab w:val="left" w:pos="284"/>
      </w:tabs>
      <w:spacing w:line="240" w:lineRule="auto"/>
    </w:pPr>
    <w:rPr>
      <w:sz w:val="21"/>
      <w:szCs w:val="23"/>
    </w:rPr>
  </w:style>
  <w:style w:type="character" w:customStyle="1" w:styleId="a5">
    <w:name w:val="טקסט הערת שוליים תו"/>
    <w:basedOn w:val="a0"/>
    <w:link w:val="a4"/>
    <w:semiHidden/>
    <w:rsid w:val="00FE3C51"/>
    <w:rPr>
      <w:rFonts w:ascii="Times New Roman" w:eastAsia="Times New Roman" w:hAnsi="Times New Roman" w:cs="David"/>
      <w:sz w:val="21"/>
      <w:szCs w:val="23"/>
      <w:lang w:eastAsia="he-IL"/>
    </w:rPr>
  </w:style>
  <w:style w:type="paragraph" w:customStyle="1" w:styleId="bulletoutline">
    <w:name w:val="bullet outline"/>
    <w:basedOn w:val="a"/>
    <w:rsid w:val="00F44100"/>
    <w:pPr>
      <w:numPr>
        <w:numId w:val="1"/>
      </w:numPr>
      <w:spacing w:after="0"/>
    </w:pPr>
  </w:style>
  <w:style w:type="paragraph" w:styleId="a6">
    <w:name w:val="footer"/>
    <w:basedOn w:val="a"/>
    <w:link w:val="a7"/>
    <w:uiPriority w:val="99"/>
    <w:rsid w:val="00F44100"/>
    <w:pPr>
      <w:tabs>
        <w:tab w:val="center" w:pos="4153"/>
        <w:tab w:val="right" w:pos="8306"/>
      </w:tabs>
    </w:pPr>
  </w:style>
  <w:style w:type="character" w:customStyle="1" w:styleId="a7">
    <w:name w:val="כותרת תחתונה תו"/>
    <w:basedOn w:val="a0"/>
    <w:link w:val="a6"/>
    <w:uiPriority w:val="99"/>
    <w:rsid w:val="00F44100"/>
    <w:rPr>
      <w:rFonts w:ascii="Times New Roman" w:eastAsia="Times New Roman" w:hAnsi="Times New Roman" w:cs="David"/>
      <w:sz w:val="24"/>
      <w:szCs w:val="26"/>
      <w:lang w:eastAsia="he-IL"/>
    </w:rPr>
  </w:style>
  <w:style w:type="paragraph" w:customStyle="1" w:styleId="numberingoutline">
    <w:name w:val="numbering outline"/>
    <w:basedOn w:val="a"/>
    <w:rsid w:val="00F44100"/>
    <w:pPr>
      <w:numPr>
        <w:numId w:val="2"/>
      </w:numPr>
      <w:spacing w:after="0"/>
    </w:pPr>
  </w:style>
  <w:style w:type="paragraph" w:styleId="TOC1">
    <w:name w:val="toc 1"/>
    <w:basedOn w:val="a"/>
    <w:next w:val="a"/>
    <w:autoRedefine/>
    <w:uiPriority w:val="39"/>
    <w:rsid w:val="00F44100"/>
  </w:style>
  <w:style w:type="character" w:styleId="a8">
    <w:name w:val="page number"/>
    <w:basedOn w:val="a0"/>
    <w:rsid w:val="00F44100"/>
  </w:style>
  <w:style w:type="paragraph" w:styleId="TOC2">
    <w:name w:val="toc 2"/>
    <w:basedOn w:val="a"/>
    <w:next w:val="a"/>
    <w:autoRedefine/>
    <w:semiHidden/>
    <w:rsid w:val="00F44100"/>
    <w:pPr>
      <w:ind w:left="230"/>
    </w:pPr>
  </w:style>
  <w:style w:type="paragraph" w:styleId="TOC3">
    <w:name w:val="toc 3"/>
    <w:basedOn w:val="a"/>
    <w:next w:val="a"/>
    <w:autoRedefine/>
    <w:semiHidden/>
    <w:rsid w:val="00F44100"/>
    <w:pPr>
      <w:ind w:left="460"/>
    </w:pPr>
  </w:style>
  <w:style w:type="paragraph" w:styleId="TOC4">
    <w:name w:val="toc 4"/>
    <w:basedOn w:val="a"/>
    <w:next w:val="a"/>
    <w:autoRedefine/>
    <w:semiHidden/>
    <w:rsid w:val="00F44100"/>
    <w:pPr>
      <w:ind w:left="690"/>
    </w:pPr>
  </w:style>
  <w:style w:type="paragraph" w:styleId="TOC5">
    <w:name w:val="toc 5"/>
    <w:basedOn w:val="a"/>
    <w:next w:val="a"/>
    <w:autoRedefine/>
    <w:semiHidden/>
    <w:rsid w:val="00F44100"/>
    <w:pPr>
      <w:ind w:left="920"/>
    </w:pPr>
  </w:style>
  <w:style w:type="paragraph" w:styleId="TOC6">
    <w:name w:val="toc 6"/>
    <w:basedOn w:val="a"/>
    <w:next w:val="a"/>
    <w:autoRedefine/>
    <w:semiHidden/>
    <w:rsid w:val="00F44100"/>
    <w:pPr>
      <w:ind w:left="1150"/>
    </w:pPr>
  </w:style>
  <w:style w:type="paragraph" w:styleId="TOC7">
    <w:name w:val="toc 7"/>
    <w:basedOn w:val="a"/>
    <w:next w:val="a"/>
    <w:autoRedefine/>
    <w:semiHidden/>
    <w:rsid w:val="00F44100"/>
    <w:pPr>
      <w:ind w:left="1380"/>
    </w:pPr>
  </w:style>
  <w:style w:type="paragraph" w:styleId="TOC8">
    <w:name w:val="toc 8"/>
    <w:basedOn w:val="a"/>
    <w:next w:val="a"/>
    <w:autoRedefine/>
    <w:semiHidden/>
    <w:rsid w:val="00F44100"/>
    <w:pPr>
      <w:ind w:left="1610"/>
    </w:pPr>
  </w:style>
  <w:style w:type="paragraph" w:styleId="TOC9">
    <w:name w:val="toc 9"/>
    <w:basedOn w:val="a"/>
    <w:next w:val="a"/>
    <w:autoRedefine/>
    <w:semiHidden/>
    <w:rsid w:val="00F44100"/>
    <w:pPr>
      <w:ind w:left="1840"/>
    </w:pPr>
  </w:style>
  <w:style w:type="character" w:styleId="Hyperlink">
    <w:name w:val="Hyperlink"/>
    <w:basedOn w:val="a0"/>
    <w:rsid w:val="00F44100"/>
    <w:rPr>
      <w:color w:val="0000FF"/>
      <w:u w:val="single"/>
    </w:rPr>
  </w:style>
  <w:style w:type="paragraph" w:styleId="a9">
    <w:name w:val="Balloon Text"/>
    <w:basedOn w:val="a"/>
    <w:link w:val="aa"/>
    <w:semiHidden/>
    <w:rsid w:val="00F44100"/>
    <w:rPr>
      <w:rFonts w:ascii="Tahoma" w:hAnsi="Tahoma" w:cs="Tahoma"/>
      <w:sz w:val="16"/>
      <w:szCs w:val="16"/>
    </w:rPr>
  </w:style>
  <w:style w:type="character" w:customStyle="1" w:styleId="aa">
    <w:name w:val="טקסט בלונים תו"/>
    <w:basedOn w:val="a0"/>
    <w:link w:val="a9"/>
    <w:semiHidden/>
    <w:rsid w:val="00FE3C51"/>
    <w:rPr>
      <w:rFonts w:ascii="Tahoma" w:eastAsia="Times New Roman" w:hAnsi="Tahoma" w:cs="Tahoma"/>
      <w:sz w:val="16"/>
      <w:szCs w:val="16"/>
      <w:lang w:eastAsia="he-IL"/>
    </w:rPr>
  </w:style>
  <w:style w:type="paragraph" w:styleId="ab">
    <w:name w:val="header"/>
    <w:basedOn w:val="a"/>
    <w:link w:val="ac"/>
    <w:rsid w:val="00F44100"/>
    <w:pPr>
      <w:tabs>
        <w:tab w:val="center" w:pos="4153"/>
        <w:tab w:val="right" w:pos="8306"/>
      </w:tabs>
    </w:pPr>
  </w:style>
  <w:style w:type="character" w:customStyle="1" w:styleId="ac">
    <w:name w:val="כותרת עליונה תו"/>
    <w:basedOn w:val="a0"/>
    <w:link w:val="ab"/>
    <w:rsid w:val="00FE3C51"/>
    <w:rPr>
      <w:rFonts w:ascii="Times New Roman" w:eastAsia="Times New Roman" w:hAnsi="Times New Roman" w:cs="David"/>
      <w:sz w:val="24"/>
      <w:szCs w:val="26"/>
      <w:lang w:eastAsia="he-IL"/>
    </w:rPr>
  </w:style>
  <w:style w:type="paragraph" w:customStyle="1" w:styleId="Normalnospacebefore">
    <w:name w:val="Normal no space before"/>
    <w:basedOn w:val="a"/>
    <w:rsid w:val="00F44100"/>
  </w:style>
  <w:style w:type="character" w:styleId="ad">
    <w:name w:val="footnote reference"/>
    <w:basedOn w:val="a0"/>
    <w:rsid w:val="00F44100"/>
    <w:rPr>
      <w:vertAlign w:val="superscript"/>
    </w:rPr>
  </w:style>
  <w:style w:type="table" w:styleId="ae">
    <w:name w:val="Table Grid"/>
    <w:basedOn w:val="a1"/>
    <w:rsid w:val="00F4410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11">
    <w:name w:val="Table Classic 1"/>
    <w:basedOn w:val="a1"/>
    <w:rsid w:val="00F44100"/>
    <w:pPr>
      <w:bidi/>
      <w:spacing w:after="120" w:line="360" w:lineRule="auto"/>
      <w:jc w:val="both"/>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rookTableFont">
    <w:name w:val="Brook_Table_Font"/>
    <w:basedOn w:val="a"/>
    <w:qFormat/>
    <w:rsid w:val="00F44100"/>
    <w:pPr>
      <w:spacing w:after="0" w:line="288" w:lineRule="auto"/>
      <w:jc w:val="left"/>
    </w:pPr>
    <w:rPr>
      <w:sz w:val="23"/>
      <w:szCs w:val="25"/>
    </w:rPr>
  </w:style>
  <w:style w:type="paragraph" w:styleId="af">
    <w:name w:val="List Paragraph"/>
    <w:basedOn w:val="a"/>
    <w:link w:val="af0"/>
    <w:uiPriority w:val="34"/>
    <w:rsid w:val="00F44100"/>
    <w:pPr>
      <w:ind w:left="720"/>
      <w:contextualSpacing/>
    </w:pPr>
  </w:style>
  <w:style w:type="paragraph" w:customStyle="1" w:styleId="BrookNumbering">
    <w:name w:val="Brook_Numbering"/>
    <w:basedOn w:val="af"/>
    <w:link w:val="BrookNumberingChar"/>
    <w:qFormat/>
    <w:rsid w:val="00F44100"/>
    <w:pPr>
      <w:numPr>
        <w:numId w:val="3"/>
      </w:numPr>
    </w:pPr>
  </w:style>
  <w:style w:type="paragraph" w:customStyle="1" w:styleId="BrookBullets">
    <w:name w:val="Brook_Bullets"/>
    <w:basedOn w:val="BrookNumbering"/>
    <w:link w:val="BrookBulletsChar"/>
    <w:qFormat/>
    <w:rsid w:val="00F44100"/>
    <w:pPr>
      <w:numPr>
        <w:numId w:val="4"/>
      </w:numPr>
    </w:pPr>
  </w:style>
  <w:style w:type="character" w:customStyle="1" w:styleId="af0">
    <w:name w:val="פיסקת רשימה תו"/>
    <w:basedOn w:val="a0"/>
    <w:link w:val="af"/>
    <w:uiPriority w:val="34"/>
    <w:rsid w:val="00F44100"/>
    <w:rPr>
      <w:rFonts w:ascii="Times New Roman" w:eastAsia="Times New Roman" w:hAnsi="Times New Roman" w:cs="David"/>
      <w:sz w:val="24"/>
      <w:szCs w:val="26"/>
      <w:lang w:eastAsia="he-IL"/>
    </w:rPr>
  </w:style>
  <w:style w:type="character" w:customStyle="1" w:styleId="BrookNumberingChar">
    <w:name w:val="Brook_Numbering Char"/>
    <w:basedOn w:val="af0"/>
    <w:link w:val="BrookNumbering"/>
    <w:rsid w:val="00F44100"/>
    <w:rPr>
      <w:rFonts w:ascii="Times New Roman" w:eastAsia="Times New Roman" w:hAnsi="Times New Roman" w:cs="David"/>
      <w:sz w:val="24"/>
      <w:szCs w:val="26"/>
      <w:lang w:eastAsia="he-IL"/>
    </w:rPr>
  </w:style>
  <w:style w:type="character" w:customStyle="1" w:styleId="BrookBulletsChar">
    <w:name w:val="Brook_Bullets Char"/>
    <w:basedOn w:val="BrookNumberingChar"/>
    <w:link w:val="BrookBullets"/>
    <w:rsid w:val="00F44100"/>
    <w:rPr>
      <w:rFonts w:ascii="Times New Roman" w:eastAsia="Times New Roman" w:hAnsi="Times New Roman" w:cs="David"/>
      <w:sz w:val="24"/>
      <w:szCs w:val="26"/>
      <w:lang w:eastAsia="he-IL"/>
    </w:rPr>
  </w:style>
  <w:style w:type="paragraph" w:styleId="af1">
    <w:name w:val="caption"/>
    <w:basedOn w:val="a"/>
    <w:next w:val="a"/>
    <w:unhideWhenUsed/>
    <w:rsid w:val="00F44100"/>
    <w:pPr>
      <w:spacing w:after="40" w:line="240" w:lineRule="auto"/>
    </w:pPr>
    <w:rPr>
      <w:b/>
      <w:bCs/>
      <w:color w:val="4F81BD" w:themeColor="accent1"/>
      <w:sz w:val="18"/>
      <w:szCs w:val="18"/>
    </w:rPr>
  </w:style>
  <w:style w:type="table" w:styleId="12">
    <w:name w:val="Table Colorful 1"/>
    <w:basedOn w:val="a1"/>
    <w:rsid w:val="00F44100"/>
    <w:pPr>
      <w:bidi/>
      <w:spacing w:after="240" w:line="360" w:lineRule="auto"/>
      <w:jc w:val="both"/>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BrookdaleTable">
    <w:name w:val="Brookdale_Table"/>
    <w:basedOn w:val="a1"/>
    <w:uiPriority w:val="99"/>
    <w:qFormat/>
    <w:rsid w:val="00F44100"/>
    <w:pPr>
      <w:spacing w:after="0" w:line="240" w:lineRule="auto"/>
    </w:pPr>
    <w:rPr>
      <w:rFonts w:ascii="Times New Roman" w:eastAsia="Times New Roman" w:hAnsi="Times New Roman" w:cs="Times New Roman"/>
      <w:sz w:val="20"/>
      <w:szCs w:val="20"/>
    </w:rPr>
    <w:tblPr>
      <w:jc w:val="right"/>
      <w:tblInd w:w="0" w:type="dxa"/>
      <w:tblBorders>
        <w:bottom w:val="single" w:sz="4" w:space="0" w:color="auto"/>
      </w:tblBorders>
      <w:tblCellMar>
        <w:top w:w="0" w:type="dxa"/>
        <w:left w:w="108" w:type="dxa"/>
        <w:bottom w:w="0" w:type="dxa"/>
        <w:right w:w="108" w:type="dxa"/>
      </w:tblCellMar>
    </w:tblPr>
    <w:trPr>
      <w:jc w:val="right"/>
    </w:trPr>
    <w:tblStylePr w:type="firstRow">
      <w:tblPr/>
      <w:tcPr>
        <w:tcBorders>
          <w:top w:val="single" w:sz="4" w:space="0" w:color="auto"/>
          <w:bottom w:val="single" w:sz="4" w:space="0" w:color="auto"/>
        </w:tcBorders>
      </w:tcPr>
    </w:tblStylePr>
    <w:tblStylePr w:type="lastRow">
      <w:tblPr/>
      <w:tcPr>
        <w:tcBorders>
          <w:bottom w:val="single" w:sz="4" w:space="0" w:color="auto"/>
        </w:tcBorders>
      </w:tcPr>
    </w:tblStylePr>
  </w:style>
  <w:style w:type="character" w:styleId="af2">
    <w:name w:val="annotation reference"/>
    <w:basedOn w:val="a0"/>
    <w:uiPriority w:val="99"/>
    <w:rsid w:val="00F44100"/>
    <w:rPr>
      <w:rFonts w:cs="Times New Roman"/>
      <w:sz w:val="16"/>
      <w:szCs w:val="16"/>
    </w:rPr>
  </w:style>
  <w:style w:type="paragraph" w:styleId="af3">
    <w:name w:val="annotation text"/>
    <w:basedOn w:val="a"/>
    <w:link w:val="af4"/>
    <w:uiPriority w:val="99"/>
    <w:rsid w:val="00F44100"/>
    <w:rPr>
      <w:sz w:val="20"/>
      <w:szCs w:val="20"/>
    </w:rPr>
  </w:style>
  <w:style w:type="character" w:customStyle="1" w:styleId="af4">
    <w:name w:val="טקסט הערה תו"/>
    <w:basedOn w:val="a0"/>
    <w:link w:val="af3"/>
    <w:uiPriority w:val="99"/>
    <w:rsid w:val="00F44100"/>
    <w:rPr>
      <w:rFonts w:ascii="Times New Roman" w:eastAsia="Times New Roman" w:hAnsi="Times New Roman" w:cs="David"/>
      <w:sz w:val="20"/>
      <w:szCs w:val="20"/>
      <w:lang w:eastAsia="he-IL"/>
    </w:rPr>
  </w:style>
  <w:style w:type="character" w:styleId="af5">
    <w:name w:val="Placeholder Text"/>
    <w:basedOn w:val="a0"/>
    <w:uiPriority w:val="99"/>
    <w:semiHidden/>
    <w:rsid w:val="00F44100"/>
    <w:rPr>
      <w:color w:val="808080"/>
    </w:rPr>
  </w:style>
  <w:style w:type="paragraph" w:styleId="af6">
    <w:name w:val="annotation subject"/>
    <w:basedOn w:val="af3"/>
    <w:next w:val="af3"/>
    <w:link w:val="af7"/>
    <w:uiPriority w:val="99"/>
    <w:semiHidden/>
    <w:unhideWhenUsed/>
    <w:rsid w:val="000D6BD5"/>
    <w:pPr>
      <w:spacing w:line="240" w:lineRule="auto"/>
    </w:pPr>
    <w:rPr>
      <w:b/>
      <w:bCs/>
    </w:rPr>
  </w:style>
  <w:style w:type="character" w:customStyle="1" w:styleId="af7">
    <w:name w:val="נושא הערה תו"/>
    <w:basedOn w:val="af4"/>
    <w:link w:val="af6"/>
    <w:uiPriority w:val="99"/>
    <w:semiHidden/>
    <w:rsid w:val="000D6BD5"/>
    <w:rPr>
      <w:rFonts w:ascii="Times New Roman" w:eastAsia="Times New Roman" w:hAnsi="Times New Roman" w:cs="David"/>
      <w:b/>
      <w:bCs/>
      <w:sz w:val="20"/>
      <w:szCs w:val="20"/>
      <w:lang w:eastAsia="he-IL"/>
    </w:rPr>
  </w:style>
  <w:style w:type="table" w:customStyle="1" w:styleId="13">
    <w:name w:val="רשת טבלה1"/>
    <w:basedOn w:val="a1"/>
    <w:next w:val="ae"/>
    <w:rsid w:val="00595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next w:val="ae"/>
    <w:uiPriority w:val="59"/>
    <w:rsid w:val="00595DE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רשת טבלה2"/>
    <w:basedOn w:val="a1"/>
    <w:next w:val="ae"/>
    <w:rsid w:val="00A45D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Revision"/>
    <w:hidden/>
    <w:uiPriority w:val="99"/>
    <w:semiHidden/>
    <w:rsid w:val="0081220B"/>
    <w:pPr>
      <w:spacing w:after="0" w:line="240" w:lineRule="auto"/>
    </w:pPr>
    <w:rPr>
      <w:rFonts w:ascii="Times New Roman" w:eastAsia="Times New Roman" w:hAnsi="Times New Roman" w:cs="David"/>
      <w:sz w:val="24"/>
      <w:szCs w:val="26"/>
      <w:lang w:eastAsia="he-IL"/>
    </w:rPr>
  </w:style>
  <w:style w:type="table" w:customStyle="1" w:styleId="TableGrid1">
    <w:name w:val="Table Grid1"/>
    <w:basedOn w:val="a1"/>
    <w:next w:val="ae"/>
    <w:rsid w:val="00D77D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a0"/>
    <w:uiPriority w:val="99"/>
    <w:semiHidden/>
    <w:unhideWhenUsed/>
    <w:rsid w:val="00B566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Classic 1" w:uiPriority="0"/>
    <w:lsdException w:name="Table Colorful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100"/>
    <w:pPr>
      <w:bidi/>
      <w:spacing w:after="240" w:line="360" w:lineRule="auto"/>
      <w:jc w:val="both"/>
    </w:pPr>
    <w:rPr>
      <w:rFonts w:ascii="Times New Roman" w:eastAsia="Times New Roman" w:hAnsi="Times New Roman" w:cs="David"/>
      <w:sz w:val="24"/>
      <w:szCs w:val="26"/>
      <w:lang w:eastAsia="he-IL"/>
    </w:rPr>
  </w:style>
  <w:style w:type="paragraph" w:styleId="1">
    <w:name w:val="heading 1"/>
    <w:basedOn w:val="a"/>
    <w:next w:val="a"/>
    <w:link w:val="10"/>
    <w:qFormat/>
    <w:rsid w:val="00F44100"/>
    <w:pPr>
      <w:keepNext/>
      <w:jc w:val="left"/>
      <w:outlineLvl w:val="0"/>
    </w:pPr>
    <w:rPr>
      <w:rFonts w:ascii="Arial Bold" w:hAnsi="Arial Bold" w:cs="Arial"/>
      <w:b/>
      <w:bCs/>
      <w:kern w:val="32"/>
      <w:sz w:val="32"/>
      <w:szCs w:val="34"/>
    </w:rPr>
  </w:style>
  <w:style w:type="paragraph" w:styleId="2">
    <w:name w:val="heading 2"/>
    <w:basedOn w:val="a"/>
    <w:next w:val="a"/>
    <w:link w:val="20"/>
    <w:qFormat/>
    <w:rsid w:val="00F44100"/>
    <w:pPr>
      <w:keepNext/>
      <w:spacing w:after="0"/>
      <w:jc w:val="left"/>
      <w:outlineLvl w:val="1"/>
    </w:pPr>
    <w:rPr>
      <w:rFonts w:ascii="Arial Bold" w:hAnsi="Arial Bold" w:cs="Arial"/>
      <w:b/>
      <w:bCs/>
      <w:sz w:val="26"/>
      <w:szCs w:val="28"/>
    </w:rPr>
  </w:style>
  <w:style w:type="paragraph" w:styleId="3">
    <w:name w:val="heading 3"/>
    <w:basedOn w:val="a"/>
    <w:next w:val="a"/>
    <w:link w:val="30"/>
    <w:qFormat/>
    <w:rsid w:val="00F44100"/>
    <w:pPr>
      <w:keepNext/>
      <w:spacing w:after="0"/>
      <w:jc w:val="left"/>
      <w:outlineLvl w:val="2"/>
    </w:pPr>
    <w:rPr>
      <w:b/>
      <w:bCs/>
      <w:sz w:val="25"/>
      <w:szCs w:val="27"/>
    </w:rPr>
  </w:style>
  <w:style w:type="paragraph" w:styleId="4">
    <w:name w:val="heading 4"/>
    <w:basedOn w:val="a"/>
    <w:next w:val="a"/>
    <w:link w:val="40"/>
    <w:qFormat/>
    <w:rsid w:val="00F44100"/>
    <w:pPr>
      <w:keepNext/>
      <w:spacing w:after="0"/>
      <w:jc w:val="left"/>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E3C51"/>
    <w:rPr>
      <w:rFonts w:ascii="Arial Bold" w:eastAsia="Times New Roman" w:hAnsi="Arial Bold" w:cs="Arial"/>
      <w:b/>
      <w:bCs/>
      <w:kern w:val="32"/>
      <w:sz w:val="32"/>
      <w:szCs w:val="34"/>
      <w:lang w:eastAsia="he-IL"/>
    </w:rPr>
  </w:style>
  <w:style w:type="character" w:customStyle="1" w:styleId="20">
    <w:name w:val="כותרת 2 תו"/>
    <w:basedOn w:val="a0"/>
    <w:link w:val="2"/>
    <w:rsid w:val="00FE3C51"/>
    <w:rPr>
      <w:rFonts w:ascii="Arial Bold" w:eastAsia="Times New Roman" w:hAnsi="Arial Bold" w:cs="Arial"/>
      <w:b/>
      <w:bCs/>
      <w:sz w:val="26"/>
      <w:szCs w:val="28"/>
      <w:lang w:eastAsia="he-IL"/>
    </w:rPr>
  </w:style>
  <w:style w:type="character" w:customStyle="1" w:styleId="30">
    <w:name w:val="כותרת 3 תו"/>
    <w:basedOn w:val="a0"/>
    <w:link w:val="3"/>
    <w:rsid w:val="00FE3C51"/>
    <w:rPr>
      <w:rFonts w:ascii="Times New Roman" w:eastAsia="Times New Roman" w:hAnsi="Times New Roman" w:cs="David"/>
      <w:b/>
      <w:bCs/>
      <w:sz w:val="25"/>
      <w:szCs w:val="27"/>
      <w:lang w:eastAsia="he-IL"/>
    </w:rPr>
  </w:style>
  <w:style w:type="character" w:customStyle="1" w:styleId="40">
    <w:name w:val="כותרת 4 תו"/>
    <w:basedOn w:val="a0"/>
    <w:link w:val="4"/>
    <w:rsid w:val="00FE3C51"/>
    <w:rPr>
      <w:rFonts w:ascii="Times New Roman" w:eastAsia="Times New Roman" w:hAnsi="Times New Roman" w:cs="David"/>
      <w:b/>
      <w:bCs/>
      <w:i/>
      <w:iCs/>
      <w:sz w:val="24"/>
      <w:szCs w:val="26"/>
      <w:lang w:eastAsia="he-IL"/>
    </w:rPr>
  </w:style>
  <w:style w:type="paragraph" w:styleId="a3">
    <w:name w:val="table of figures"/>
    <w:basedOn w:val="a"/>
    <w:next w:val="a"/>
    <w:semiHidden/>
    <w:rsid w:val="00F44100"/>
    <w:pPr>
      <w:ind w:left="460" w:hanging="460"/>
      <w:jc w:val="left"/>
    </w:pPr>
    <w:rPr>
      <w:rFonts w:cs="Times New Roman"/>
      <w:szCs w:val="20"/>
    </w:rPr>
  </w:style>
  <w:style w:type="paragraph" w:customStyle="1" w:styleId="chart">
    <w:name w:val="chart"/>
    <w:basedOn w:val="tableheading"/>
    <w:qFormat/>
    <w:rsid w:val="00F44100"/>
    <w:pPr>
      <w:spacing w:after="0" w:line="360" w:lineRule="auto"/>
      <w:jc w:val="both"/>
    </w:pPr>
  </w:style>
  <w:style w:type="paragraph" w:customStyle="1" w:styleId="tableheading">
    <w:name w:val="table heading"/>
    <w:basedOn w:val="a"/>
    <w:next w:val="a"/>
    <w:qFormat/>
    <w:rsid w:val="00F44100"/>
    <w:pPr>
      <w:keepNext/>
      <w:spacing w:line="240" w:lineRule="auto"/>
      <w:ind w:left="922" w:hanging="922"/>
      <w:jc w:val="left"/>
    </w:pPr>
    <w:rPr>
      <w:b/>
      <w:bCs/>
    </w:rPr>
  </w:style>
  <w:style w:type="paragraph" w:styleId="a4">
    <w:name w:val="footnote text"/>
    <w:basedOn w:val="a"/>
    <w:link w:val="a5"/>
    <w:semiHidden/>
    <w:rsid w:val="00F44100"/>
    <w:pPr>
      <w:tabs>
        <w:tab w:val="left" w:pos="284"/>
      </w:tabs>
      <w:spacing w:line="240" w:lineRule="auto"/>
    </w:pPr>
    <w:rPr>
      <w:sz w:val="21"/>
      <w:szCs w:val="23"/>
    </w:rPr>
  </w:style>
  <w:style w:type="character" w:customStyle="1" w:styleId="a5">
    <w:name w:val="טקסט הערת שוליים תו"/>
    <w:basedOn w:val="a0"/>
    <w:link w:val="a4"/>
    <w:semiHidden/>
    <w:rsid w:val="00FE3C51"/>
    <w:rPr>
      <w:rFonts w:ascii="Times New Roman" w:eastAsia="Times New Roman" w:hAnsi="Times New Roman" w:cs="David"/>
      <w:sz w:val="21"/>
      <w:szCs w:val="23"/>
      <w:lang w:eastAsia="he-IL"/>
    </w:rPr>
  </w:style>
  <w:style w:type="paragraph" w:customStyle="1" w:styleId="bulletoutline">
    <w:name w:val="bullet outline"/>
    <w:basedOn w:val="a"/>
    <w:rsid w:val="00F44100"/>
    <w:pPr>
      <w:numPr>
        <w:numId w:val="1"/>
      </w:numPr>
      <w:spacing w:after="0"/>
    </w:pPr>
  </w:style>
  <w:style w:type="paragraph" w:styleId="a6">
    <w:name w:val="footer"/>
    <w:basedOn w:val="a"/>
    <w:link w:val="a7"/>
    <w:uiPriority w:val="99"/>
    <w:rsid w:val="00F44100"/>
    <w:pPr>
      <w:tabs>
        <w:tab w:val="center" w:pos="4153"/>
        <w:tab w:val="right" w:pos="8306"/>
      </w:tabs>
    </w:pPr>
  </w:style>
  <w:style w:type="character" w:customStyle="1" w:styleId="a7">
    <w:name w:val="כותרת תחתונה תו"/>
    <w:basedOn w:val="a0"/>
    <w:link w:val="a6"/>
    <w:uiPriority w:val="99"/>
    <w:rsid w:val="00F44100"/>
    <w:rPr>
      <w:rFonts w:ascii="Times New Roman" w:eastAsia="Times New Roman" w:hAnsi="Times New Roman" w:cs="David"/>
      <w:sz w:val="24"/>
      <w:szCs w:val="26"/>
      <w:lang w:eastAsia="he-IL"/>
    </w:rPr>
  </w:style>
  <w:style w:type="paragraph" w:customStyle="1" w:styleId="numberingoutline">
    <w:name w:val="numbering outline"/>
    <w:basedOn w:val="a"/>
    <w:rsid w:val="00F44100"/>
    <w:pPr>
      <w:numPr>
        <w:numId w:val="2"/>
      </w:numPr>
      <w:spacing w:after="0"/>
    </w:pPr>
  </w:style>
  <w:style w:type="paragraph" w:styleId="TOC1">
    <w:name w:val="toc 1"/>
    <w:basedOn w:val="a"/>
    <w:next w:val="a"/>
    <w:autoRedefine/>
    <w:uiPriority w:val="39"/>
    <w:rsid w:val="00F44100"/>
  </w:style>
  <w:style w:type="character" w:styleId="a8">
    <w:name w:val="page number"/>
    <w:basedOn w:val="a0"/>
    <w:rsid w:val="00F44100"/>
  </w:style>
  <w:style w:type="paragraph" w:styleId="TOC2">
    <w:name w:val="toc 2"/>
    <w:basedOn w:val="a"/>
    <w:next w:val="a"/>
    <w:autoRedefine/>
    <w:semiHidden/>
    <w:rsid w:val="00F44100"/>
    <w:pPr>
      <w:ind w:left="230"/>
    </w:pPr>
  </w:style>
  <w:style w:type="paragraph" w:styleId="TOC3">
    <w:name w:val="toc 3"/>
    <w:basedOn w:val="a"/>
    <w:next w:val="a"/>
    <w:autoRedefine/>
    <w:semiHidden/>
    <w:rsid w:val="00F44100"/>
    <w:pPr>
      <w:ind w:left="460"/>
    </w:pPr>
  </w:style>
  <w:style w:type="paragraph" w:styleId="TOC4">
    <w:name w:val="toc 4"/>
    <w:basedOn w:val="a"/>
    <w:next w:val="a"/>
    <w:autoRedefine/>
    <w:semiHidden/>
    <w:rsid w:val="00F44100"/>
    <w:pPr>
      <w:ind w:left="690"/>
    </w:pPr>
  </w:style>
  <w:style w:type="paragraph" w:styleId="TOC5">
    <w:name w:val="toc 5"/>
    <w:basedOn w:val="a"/>
    <w:next w:val="a"/>
    <w:autoRedefine/>
    <w:semiHidden/>
    <w:rsid w:val="00F44100"/>
    <w:pPr>
      <w:ind w:left="920"/>
    </w:pPr>
  </w:style>
  <w:style w:type="paragraph" w:styleId="TOC6">
    <w:name w:val="toc 6"/>
    <w:basedOn w:val="a"/>
    <w:next w:val="a"/>
    <w:autoRedefine/>
    <w:semiHidden/>
    <w:rsid w:val="00F44100"/>
    <w:pPr>
      <w:ind w:left="1150"/>
    </w:pPr>
  </w:style>
  <w:style w:type="paragraph" w:styleId="TOC7">
    <w:name w:val="toc 7"/>
    <w:basedOn w:val="a"/>
    <w:next w:val="a"/>
    <w:autoRedefine/>
    <w:semiHidden/>
    <w:rsid w:val="00F44100"/>
    <w:pPr>
      <w:ind w:left="1380"/>
    </w:pPr>
  </w:style>
  <w:style w:type="paragraph" w:styleId="TOC8">
    <w:name w:val="toc 8"/>
    <w:basedOn w:val="a"/>
    <w:next w:val="a"/>
    <w:autoRedefine/>
    <w:semiHidden/>
    <w:rsid w:val="00F44100"/>
    <w:pPr>
      <w:ind w:left="1610"/>
    </w:pPr>
  </w:style>
  <w:style w:type="paragraph" w:styleId="TOC9">
    <w:name w:val="toc 9"/>
    <w:basedOn w:val="a"/>
    <w:next w:val="a"/>
    <w:autoRedefine/>
    <w:semiHidden/>
    <w:rsid w:val="00F44100"/>
    <w:pPr>
      <w:ind w:left="1840"/>
    </w:pPr>
  </w:style>
  <w:style w:type="character" w:styleId="Hyperlink">
    <w:name w:val="Hyperlink"/>
    <w:basedOn w:val="a0"/>
    <w:rsid w:val="00F44100"/>
    <w:rPr>
      <w:color w:val="0000FF"/>
      <w:u w:val="single"/>
    </w:rPr>
  </w:style>
  <w:style w:type="paragraph" w:styleId="a9">
    <w:name w:val="Balloon Text"/>
    <w:basedOn w:val="a"/>
    <w:link w:val="aa"/>
    <w:semiHidden/>
    <w:rsid w:val="00F44100"/>
    <w:rPr>
      <w:rFonts w:ascii="Tahoma" w:hAnsi="Tahoma" w:cs="Tahoma"/>
      <w:sz w:val="16"/>
      <w:szCs w:val="16"/>
    </w:rPr>
  </w:style>
  <w:style w:type="character" w:customStyle="1" w:styleId="aa">
    <w:name w:val="טקסט בלונים תו"/>
    <w:basedOn w:val="a0"/>
    <w:link w:val="a9"/>
    <w:semiHidden/>
    <w:rsid w:val="00FE3C51"/>
    <w:rPr>
      <w:rFonts w:ascii="Tahoma" w:eastAsia="Times New Roman" w:hAnsi="Tahoma" w:cs="Tahoma"/>
      <w:sz w:val="16"/>
      <w:szCs w:val="16"/>
      <w:lang w:eastAsia="he-IL"/>
    </w:rPr>
  </w:style>
  <w:style w:type="paragraph" w:styleId="ab">
    <w:name w:val="header"/>
    <w:basedOn w:val="a"/>
    <w:link w:val="ac"/>
    <w:rsid w:val="00F44100"/>
    <w:pPr>
      <w:tabs>
        <w:tab w:val="center" w:pos="4153"/>
        <w:tab w:val="right" w:pos="8306"/>
      </w:tabs>
    </w:pPr>
  </w:style>
  <w:style w:type="character" w:customStyle="1" w:styleId="ac">
    <w:name w:val="כותרת עליונה תו"/>
    <w:basedOn w:val="a0"/>
    <w:link w:val="ab"/>
    <w:rsid w:val="00FE3C51"/>
    <w:rPr>
      <w:rFonts w:ascii="Times New Roman" w:eastAsia="Times New Roman" w:hAnsi="Times New Roman" w:cs="David"/>
      <w:sz w:val="24"/>
      <w:szCs w:val="26"/>
      <w:lang w:eastAsia="he-IL"/>
    </w:rPr>
  </w:style>
  <w:style w:type="paragraph" w:customStyle="1" w:styleId="Normalnospacebefore">
    <w:name w:val="Normal no space before"/>
    <w:basedOn w:val="a"/>
    <w:rsid w:val="00F44100"/>
  </w:style>
  <w:style w:type="character" w:styleId="ad">
    <w:name w:val="footnote reference"/>
    <w:basedOn w:val="a0"/>
    <w:rsid w:val="00F44100"/>
    <w:rPr>
      <w:vertAlign w:val="superscript"/>
    </w:rPr>
  </w:style>
  <w:style w:type="table" w:styleId="ae">
    <w:name w:val="Table Grid"/>
    <w:basedOn w:val="a1"/>
    <w:rsid w:val="00F4410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11">
    <w:name w:val="Table Classic 1"/>
    <w:basedOn w:val="a1"/>
    <w:rsid w:val="00F44100"/>
    <w:pPr>
      <w:bidi/>
      <w:spacing w:after="120" w:line="360" w:lineRule="auto"/>
      <w:jc w:val="both"/>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rookTableFont">
    <w:name w:val="Brook_Table_Font"/>
    <w:basedOn w:val="a"/>
    <w:qFormat/>
    <w:rsid w:val="00F44100"/>
    <w:pPr>
      <w:spacing w:after="0" w:line="288" w:lineRule="auto"/>
      <w:jc w:val="left"/>
    </w:pPr>
    <w:rPr>
      <w:sz w:val="23"/>
      <w:szCs w:val="25"/>
    </w:rPr>
  </w:style>
  <w:style w:type="paragraph" w:styleId="af">
    <w:name w:val="List Paragraph"/>
    <w:basedOn w:val="a"/>
    <w:link w:val="af0"/>
    <w:uiPriority w:val="34"/>
    <w:rsid w:val="00F44100"/>
    <w:pPr>
      <w:ind w:left="720"/>
      <w:contextualSpacing/>
    </w:pPr>
  </w:style>
  <w:style w:type="paragraph" w:customStyle="1" w:styleId="BrookNumbering">
    <w:name w:val="Brook_Numbering"/>
    <w:basedOn w:val="af"/>
    <w:link w:val="BrookNumberingChar"/>
    <w:qFormat/>
    <w:rsid w:val="00F44100"/>
    <w:pPr>
      <w:numPr>
        <w:numId w:val="3"/>
      </w:numPr>
    </w:pPr>
  </w:style>
  <w:style w:type="paragraph" w:customStyle="1" w:styleId="BrookBullets">
    <w:name w:val="Brook_Bullets"/>
    <w:basedOn w:val="BrookNumbering"/>
    <w:link w:val="BrookBulletsChar"/>
    <w:qFormat/>
    <w:rsid w:val="00F44100"/>
    <w:pPr>
      <w:numPr>
        <w:numId w:val="4"/>
      </w:numPr>
    </w:pPr>
  </w:style>
  <w:style w:type="character" w:customStyle="1" w:styleId="af0">
    <w:name w:val="פיסקת רשימה תו"/>
    <w:basedOn w:val="a0"/>
    <w:link w:val="af"/>
    <w:uiPriority w:val="34"/>
    <w:rsid w:val="00F44100"/>
    <w:rPr>
      <w:rFonts w:ascii="Times New Roman" w:eastAsia="Times New Roman" w:hAnsi="Times New Roman" w:cs="David"/>
      <w:sz w:val="24"/>
      <w:szCs w:val="26"/>
      <w:lang w:eastAsia="he-IL"/>
    </w:rPr>
  </w:style>
  <w:style w:type="character" w:customStyle="1" w:styleId="BrookNumberingChar">
    <w:name w:val="Brook_Numbering Char"/>
    <w:basedOn w:val="af0"/>
    <w:link w:val="BrookNumbering"/>
    <w:rsid w:val="00F44100"/>
    <w:rPr>
      <w:rFonts w:ascii="Times New Roman" w:eastAsia="Times New Roman" w:hAnsi="Times New Roman" w:cs="David"/>
      <w:sz w:val="24"/>
      <w:szCs w:val="26"/>
      <w:lang w:eastAsia="he-IL"/>
    </w:rPr>
  </w:style>
  <w:style w:type="character" w:customStyle="1" w:styleId="BrookBulletsChar">
    <w:name w:val="Brook_Bullets Char"/>
    <w:basedOn w:val="BrookNumberingChar"/>
    <w:link w:val="BrookBullets"/>
    <w:rsid w:val="00F44100"/>
    <w:rPr>
      <w:rFonts w:ascii="Times New Roman" w:eastAsia="Times New Roman" w:hAnsi="Times New Roman" w:cs="David"/>
      <w:sz w:val="24"/>
      <w:szCs w:val="26"/>
      <w:lang w:eastAsia="he-IL"/>
    </w:rPr>
  </w:style>
  <w:style w:type="paragraph" w:styleId="af1">
    <w:name w:val="caption"/>
    <w:basedOn w:val="a"/>
    <w:next w:val="a"/>
    <w:unhideWhenUsed/>
    <w:rsid w:val="00F44100"/>
    <w:pPr>
      <w:spacing w:after="40" w:line="240" w:lineRule="auto"/>
    </w:pPr>
    <w:rPr>
      <w:b/>
      <w:bCs/>
      <w:color w:val="4F81BD" w:themeColor="accent1"/>
      <w:sz w:val="18"/>
      <w:szCs w:val="18"/>
    </w:rPr>
  </w:style>
  <w:style w:type="table" w:styleId="12">
    <w:name w:val="Table Colorful 1"/>
    <w:basedOn w:val="a1"/>
    <w:rsid w:val="00F44100"/>
    <w:pPr>
      <w:bidi/>
      <w:spacing w:after="240" w:line="360" w:lineRule="auto"/>
      <w:jc w:val="both"/>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BrookdaleTable">
    <w:name w:val="Brookdale_Table"/>
    <w:basedOn w:val="a1"/>
    <w:uiPriority w:val="99"/>
    <w:qFormat/>
    <w:rsid w:val="00F44100"/>
    <w:pPr>
      <w:spacing w:after="0" w:line="240" w:lineRule="auto"/>
    </w:pPr>
    <w:rPr>
      <w:rFonts w:ascii="Times New Roman" w:eastAsia="Times New Roman" w:hAnsi="Times New Roman" w:cs="Times New Roman"/>
      <w:sz w:val="20"/>
      <w:szCs w:val="20"/>
    </w:rPr>
    <w:tblPr>
      <w:jc w:val="right"/>
      <w:tblInd w:w="0" w:type="dxa"/>
      <w:tblBorders>
        <w:bottom w:val="single" w:sz="4" w:space="0" w:color="auto"/>
      </w:tblBorders>
      <w:tblCellMar>
        <w:top w:w="0" w:type="dxa"/>
        <w:left w:w="108" w:type="dxa"/>
        <w:bottom w:w="0" w:type="dxa"/>
        <w:right w:w="108" w:type="dxa"/>
      </w:tblCellMar>
    </w:tblPr>
    <w:trPr>
      <w:jc w:val="right"/>
    </w:trPr>
    <w:tblStylePr w:type="firstRow">
      <w:tblPr/>
      <w:tcPr>
        <w:tcBorders>
          <w:top w:val="single" w:sz="4" w:space="0" w:color="auto"/>
          <w:bottom w:val="single" w:sz="4" w:space="0" w:color="auto"/>
        </w:tcBorders>
      </w:tcPr>
    </w:tblStylePr>
    <w:tblStylePr w:type="lastRow">
      <w:tblPr/>
      <w:tcPr>
        <w:tcBorders>
          <w:bottom w:val="single" w:sz="4" w:space="0" w:color="auto"/>
        </w:tcBorders>
      </w:tcPr>
    </w:tblStylePr>
  </w:style>
  <w:style w:type="character" w:styleId="af2">
    <w:name w:val="annotation reference"/>
    <w:basedOn w:val="a0"/>
    <w:uiPriority w:val="99"/>
    <w:rsid w:val="00F44100"/>
    <w:rPr>
      <w:rFonts w:cs="Times New Roman"/>
      <w:sz w:val="16"/>
      <w:szCs w:val="16"/>
    </w:rPr>
  </w:style>
  <w:style w:type="paragraph" w:styleId="af3">
    <w:name w:val="annotation text"/>
    <w:basedOn w:val="a"/>
    <w:link w:val="af4"/>
    <w:uiPriority w:val="99"/>
    <w:rsid w:val="00F44100"/>
    <w:rPr>
      <w:sz w:val="20"/>
      <w:szCs w:val="20"/>
    </w:rPr>
  </w:style>
  <w:style w:type="character" w:customStyle="1" w:styleId="af4">
    <w:name w:val="טקסט הערה תו"/>
    <w:basedOn w:val="a0"/>
    <w:link w:val="af3"/>
    <w:uiPriority w:val="99"/>
    <w:rsid w:val="00F44100"/>
    <w:rPr>
      <w:rFonts w:ascii="Times New Roman" w:eastAsia="Times New Roman" w:hAnsi="Times New Roman" w:cs="David"/>
      <w:sz w:val="20"/>
      <w:szCs w:val="20"/>
      <w:lang w:eastAsia="he-IL"/>
    </w:rPr>
  </w:style>
  <w:style w:type="character" w:styleId="af5">
    <w:name w:val="Placeholder Text"/>
    <w:basedOn w:val="a0"/>
    <w:uiPriority w:val="99"/>
    <w:semiHidden/>
    <w:rsid w:val="00F44100"/>
    <w:rPr>
      <w:color w:val="808080"/>
    </w:rPr>
  </w:style>
  <w:style w:type="paragraph" w:styleId="af6">
    <w:name w:val="annotation subject"/>
    <w:basedOn w:val="af3"/>
    <w:next w:val="af3"/>
    <w:link w:val="af7"/>
    <w:uiPriority w:val="99"/>
    <w:semiHidden/>
    <w:unhideWhenUsed/>
    <w:rsid w:val="000D6BD5"/>
    <w:pPr>
      <w:spacing w:line="240" w:lineRule="auto"/>
    </w:pPr>
    <w:rPr>
      <w:b/>
      <w:bCs/>
    </w:rPr>
  </w:style>
  <w:style w:type="character" w:customStyle="1" w:styleId="af7">
    <w:name w:val="נושא הערה תו"/>
    <w:basedOn w:val="af4"/>
    <w:link w:val="af6"/>
    <w:uiPriority w:val="99"/>
    <w:semiHidden/>
    <w:rsid w:val="000D6BD5"/>
    <w:rPr>
      <w:rFonts w:ascii="Times New Roman" w:eastAsia="Times New Roman" w:hAnsi="Times New Roman" w:cs="David"/>
      <w:b/>
      <w:bCs/>
      <w:sz w:val="20"/>
      <w:szCs w:val="20"/>
      <w:lang w:eastAsia="he-IL"/>
    </w:rPr>
  </w:style>
  <w:style w:type="table" w:customStyle="1" w:styleId="13">
    <w:name w:val="רשת טבלה1"/>
    <w:basedOn w:val="a1"/>
    <w:next w:val="ae"/>
    <w:rsid w:val="00595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next w:val="ae"/>
    <w:uiPriority w:val="59"/>
    <w:rsid w:val="00595DE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רשת טבלה2"/>
    <w:basedOn w:val="a1"/>
    <w:next w:val="ae"/>
    <w:rsid w:val="00A45D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Revision"/>
    <w:hidden/>
    <w:uiPriority w:val="99"/>
    <w:semiHidden/>
    <w:rsid w:val="0081220B"/>
    <w:pPr>
      <w:spacing w:after="0" w:line="240" w:lineRule="auto"/>
    </w:pPr>
    <w:rPr>
      <w:rFonts w:ascii="Times New Roman" w:eastAsia="Times New Roman" w:hAnsi="Times New Roman" w:cs="David"/>
      <w:sz w:val="24"/>
      <w:szCs w:val="26"/>
      <w:lang w:eastAsia="he-IL"/>
    </w:rPr>
  </w:style>
  <w:style w:type="table" w:customStyle="1" w:styleId="TableGrid1">
    <w:name w:val="Table Grid1"/>
    <w:basedOn w:val="a1"/>
    <w:next w:val="ae"/>
    <w:rsid w:val="00D77D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a0"/>
    <w:uiPriority w:val="99"/>
    <w:semiHidden/>
    <w:unhideWhenUsed/>
    <w:rsid w:val="00B566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chart" Target="charts/chart8.xml"/><Relationship Id="rId39" Type="http://schemas.openxmlformats.org/officeDocument/2006/relationships/hyperlink" Target="http://dx.doi.org/10.1080/14675986.2013.867603" TargetMode="External"/><Relationship Id="rId3" Type="http://schemas.openxmlformats.org/officeDocument/2006/relationships/customXml" Target="../customXml/item3.xml"/><Relationship Id="rId21" Type="http://schemas.openxmlformats.org/officeDocument/2006/relationships/chart" Target="charts/chart3.xml"/><Relationship Id="rId34" Type="http://schemas.openxmlformats.org/officeDocument/2006/relationships/hyperlink" Target="http://cms.education.gov.il/NR/rdonlyres/BC73B833-FDB4-4B91-97E8-5103BB3D42AD/156530/nituk1p1.pdf" TargetMode="External"/><Relationship Id="rId42" Type="http://schemas.openxmlformats.org/officeDocument/2006/relationships/hyperlink" Target="http://publications.dcsf.gov.uk/eOrderingDownload/DCSF-RR178.pdf" TargetMode="External"/><Relationship Id="rId47"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chart" Target="charts/chart7.xml"/><Relationship Id="rId33" Type="http://schemas.openxmlformats.org/officeDocument/2006/relationships/hyperlink" Target="http://cms.education.gov.il/EducationCMS/Units/Ntfe/HdochHsofi/DochSofi.htm%20" TargetMode="External"/><Relationship Id="rId38" Type="http://schemas.openxmlformats.org/officeDocument/2006/relationships/hyperlink" Target="http://dera.ioe.ac.uk/570/1/100715disengagementreporten.pdf" TargetMode="Externa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2.xml"/><Relationship Id="rId29" Type="http://schemas.openxmlformats.org/officeDocument/2006/relationships/chart" Target="charts/chart11.xml"/><Relationship Id="rId41" Type="http://schemas.openxmlformats.org/officeDocument/2006/relationships/hyperlink" Target="http://cms.education.gov.il/NR/rdonlyres/582A52BD-382A-4E00-B65D-BCD37FE97773/88667/PISA_OEC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chart" Target="charts/chart6.xml"/><Relationship Id="rId32" Type="http://schemas.openxmlformats.org/officeDocument/2006/relationships/hyperlink" Target="http://meyda.education.gov.il/files/Rama/PISA_2012_Report.pdf" TargetMode="External"/><Relationship Id="rId37" Type="http://schemas.openxmlformats.org/officeDocument/2006/relationships/hyperlink" Target="http://dx.doi.org/10.3102/00346543074001059" TargetMode="External"/><Relationship Id="rId40" Type="http://schemas.openxmlformats.org/officeDocument/2006/relationships/hyperlink" Target="http://nces.ed.gov/surveys/pisa/datafiles.asp" TargetMode="External"/><Relationship Id="rId45"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hyperlink" Target="http://repec.ioe.ac.uk/REPEc/pdf/qsswp1006.pdf" TargetMode="Externa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1.xml"/><Relationship Id="rId31" Type="http://schemas.openxmlformats.org/officeDocument/2006/relationships/hyperlink" Target="http://www.cbs.gov.il/reader/shnaton/text_search_heb_new.html?CYear=2013&amp;Vol=64&amp;input=%f0%f9%e9%f8%e4" TargetMode="External"/><Relationship Id="rId44"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hyperlink" Target="http://www.bsl.org.au/pdfs/Doing_it_differently_outline.pdf" TargetMode="External"/><Relationship Id="rId43" Type="http://schemas.openxmlformats.org/officeDocument/2006/relationships/hyperlink" Target="http://www.oecd.org/edu/school/programmeforinternationalstudentassessmentpisa/33689437.pdf" TargetMode="External"/><Relationship Id="rId48" Type="http://schemas.openxmlformats.org/officeDocument/2006/relationships/fontTable" Target="fontTable.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he.wikipedia.org/wiki/%D7%9E%D7%97%D7%A7%D7%A8" TargetMode="External"/><Relationship Id="rId7" Type="http://schemas.openxmlformats.org/officeDocument/2006/relationships/hyperlink" Target="http://he.wikipedia.org/wiki/%D7%9E%D7%93%D7%99%D7%A0%D7%AA_%D7%99%D7%A9%D7%A8%D7%90%D7%9C" TargetMode="External"/><Relationship Id="rId2" Type="http://schemas.openxmlformats.org/officeDocument/2006/relationships/hyperlink" Target="http://he.wikipedia.org/wiki/%D7%9E%D7%91%D7%97%D7%9F" TargetMode="External"/><Relationship Id="rId1" Type="http://schemas.openxmlformats.org/officeDocument/2006/relationships/hyperlink" Target="http://cms.education.gov.il/EducationCMS/Units/Ntfe/HdochHsofi/DochSofi.htm%20" TargetMode="External"/><Relationship Id="rId6" Type="http://schemas.openxmlformats.org/officeDocument/2006/relationships/hyperlink" Target="http://he.wikipedia.org/wiki/%D7%A2%D7%9E%D7%93%D7%94_(%D7%A4%D7%A1%D7%99%D7%9B%D7%95%D7%9C%D7%95%D7%92%D7%99%D7%94)" TargetMode="External"/><Relationship Id="rId5" Type="http://schemas.openxmlformats.org/officeDocument/2006/relationships/hyperlink" Target="http://he.wikipedia.org/wiki/%D7%94%D7%90%D7%A8%D7%92%D7%95%D7%9F_%D7%9C%D7%A9%D7%99%D7%AA%D7%95%D7%A3_%D7%A4%D7%A2%D7%95%D7%9C%D7%94_%D7%95%D7%9C%D7%A4%D7%99%D7%AA%D7%95%D7%97_%D7%9B%D7%9C%D7%9B%D7%9C%D7%99" TargetMode="External"/><Relationship Id="rId4" Type="http://schemas.openxmlformats.org/officeDocument/2006/relationships/hyperlink" Target="http://he.wikipedia.org/wiki/%D7%97%D7%99%D7%A0%D7%95%D7%9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vitalam\Application%20Data\Microsoft\Templates\Brook%20Hebrew.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1248387213466617"/>
          <c:y val="0.14139226511493364"/>
          <c:w val="0.57299495296625436"/>
          <c:h val="0.75975183629429688"/>
        </c:manualLayout>
      </c:layout>
      <c:barChart>
        <c:barDir val="col"/>
        <c:grouping val="stacked"/>
        <c:varyColors val="0"/>
        <c:ser>
          <c:idx val="0"/>
          <c:order val="0"/>
          <c:tx>
            <c:strRef>
              <c:f>Sheet1!$B$1</c:f>
              <c:strCache>
                <c:ptCount val="1"/>
                <c:pt idx="0">
                  <c:v>אין ממדי ניתוק</c:v>
                </c:pt>
              </c:strCache>
            </c:strRef>
          </c:tx>
          <c:spPr>
            <a:solidFill>
              <a:schemeClr val="bg1">
                <a:lumMod val="95000"/>
              </a:schemeClr>
            </a:solidFill>
            <a:ln>
              <a:solidFill>
                <a:schemeClr val="tx1"/>
              </a:solid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ישראל</c:v>
                </c:pt>
                <c:pt idx="1">
                  <c:v>מדינות הOECD</c:v>
                </c:pt>
              </c:strCache>
            </c:strRef>
          </c:cat>
          <c:val>
            <c:numRef>
              <c:f>Sheet1!$B$2:$B$3</c:f>
              <c:numCache>
                <c:formatCode>General</c:formatCode>
                <c:ptCount val="2"/>
                <c:pt idx="0">
                  <c:v>58</c:v>
                </c:pt>
                <c:pt idx="1">
                  <c:v>52</c:v>
                </c:pt>
              </c:numCache>
            </c:numRef>
          </c:val>
        </c:ser>
        <c:ser>
          <c:idx val="1"/>
          <c:order val="1"/>
          <c:tx>
            <c:strRef>
              <c:f>Sheet1!$C$1</c:f>
              <c:strCache>
                <c:ptCount val="1"/>
                <c:pt idx="0">
                  <c:v>ממד 1</c:v>
                </c:pt>
              </c:strCache>
            </c:strRef>
          </c:tx>
          <c:spPr>
            <a:solidFill>
              <a:schemeClr val="dk1">
                <a:tint val="5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ישראל</c:v>
                </c:pt>
                <c:pt idx="1">
                  <c:v>מדינות הOECD</c:v>
                </c:pt>
              </c:strCache>
            </c:strRef>
          </c:cat>
          <c:val>
            <c:numRef>
              <c:f>Sheet1!$C$2:$C$3</c:f>
              <c:numCache>
                <c:formatCode>General</c:formatCode>
                <c:ptCount val="2"/>
                <c:pt idx="0">
                  <c:v>26</c:v>
                </c:pt>
                <c:pt idx="1">
                  <c:v>31</c:v>
                </c:pt>
              </c:numCache>
            </c:numRef>
          </c:val>
        </c:ser>
        <c:ser>
          <c:idx val="2"/>
          <c:order val="2"/>
          <c:tx>
            <c:strRef>
              <c:f>Sheet1!$D$1</c:f>
              <c:strCache>
                <c:ptCount val="1"/>
                <c:pt idx="0">
                  <c:v>2 ממדים</c:v>
                </c:pt>
              </c:strCache>
            </c:strRef>
          </c:tx>
          <c:spPr>
            <a:solidFill>
              <a:schemeClr val="dk1">
                <a:tint val="7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ישראל</c:v>
                </c:pt>
                <c:pt idx="1">
                  <c:v>מדינות הOECD</c:v>
                </c:pt>
              </c:strCache>
            </c:strRef>
          </c:cat>
          <c:val>
            <c:numRef>
              <c:f>Sheet1!$D$2:$D$3</c:f>
              <c:numCache>
                <c:formatCode>General</c:formatCode>
                <c:ptCount val="2"/>
                <c:pt idx="0">
                  <c:v>13</c:v>
                </c:pt>
                <c:pt idx="1">
                  <c:v>15</c:v>
                </c:pt>
              </c:numCache>
            </c:numRef>
          </c:val>
        </c:ser>
        <c:ser>
          <c:idx val="3"/>
          <c:order val="3"/>
          <c:tx>
            <c:strRef>
              <c:f>Sheet1!$E$1</c:f>
              <c:strCache>
                <c:ptCount val="1"/>
                <c:pt idx="0">
                  <c:v>3 ממדים</c:v>
                </c:pt>
              </c:strCache>
            </c:strRef>
          </c:tx>
          <c:spPr>
            <a:solidFill>
              <a:schemeClr val="tx1"/>
            </a:solidFill>
            <a:ln>
              <a:solidFill>
                <a:schemeClr val="tx1"/>
              </a:solidFill>
            </a:ln>
            <a:effectLst/>
          </c:spPr>
          <c:invertIfNegative val="0"/>
          <c:dLbls>
            <c:dLbl>
              <c:idx val="0"/>
              <c:layout>
                <c:manualLayout>
                  <c:x val="-3.1194693802192936E-17"/>
                  <c:y val="-3.968253968253968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3.1746031746031751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ישראל</c:v>
                </c:pt>
                <c:pt idx="1">
                  <c:v>מדינות הOECD</c:v>
                </c:pt>
              </c:strCache>
            </c:strRef>
          </c:cat>
          <c:val>
            <c:numRef>
              <c:f>Sheet1!$E$2:$E$3</c:f>
              <c:numCache>
                <c:formatCode>General</c:formatCode>
                <c:ptCount val="2"/>
                <c:pt idx="0">
                  <c:v>3</c:v>
                </c:pt>
                <c:pt idx="1">
                  <c:v>2</c:v>
                </c:pt>
              </c:numCache>
            </c:numRef>
          </c:val>
        </c:ser>
        <c:dLbls>
          <c:showLegendKey val="0"/>
          <c:showVal val="0"/>
          <c:showCatName val="0"/>
          <c:showSerName val="0"/>
          <c:showPercent val="0"/>
          <c:showBubbleSize val="0"/>
        </c:dLbls>
        <c:gapWidth val="219"/>
        <c:overlap val="100"/>
        <c:axId val="126299136"/>
        <c:axId val="126313216"/>
      </c:barChart>
      <c:catAx>
        <c:axId val="12629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26313216"/>
        <c:crosses val="autoZero"/>
        <c:auto val="1"/>
        <c:lblAlgn val="ctr"/>
        <c:lblOffset val="100"/>
        <c:noMultiLvlLbl val="0"/>
      </c:catAx>
      <c:valAx>
        <c:axId val="12631321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26299136"/>
        <c:crosses val="autoZero"/>
        <c:crossBetween val="between"/>
      </c:valAx>
      <c:spPr>
        <a:noFill/>
        <a:ln>
          <a:noFill/>
        </a:ln>
        <a:effectLst/>
      </c:spPr>
    </c:plotArea>
    <c:legend>
      <c:legendPos val="r"/>
      <c:layout>
        <c:manualLayout>
          <c:xMode val="edge"/>
          <c:yMode val="edge"/>
          <c:x val="0.67359371720146533"/>
          <c:y val="0.54856707820244577"/>
          <c:w val="0.30235336638241922"/>
          <c:h val="0.31756010214747499"/>
        </c:manualLayou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Arial" panose="020B0604020202020204" pitchFamily="34" charset="0"/>
          <a:cs typeface="Arial" panose="020B0604020202020204" pitchFamily="34" charset="0"/>
        </a:defRPr>
      </a:pPr>
      <a:endParaRPr lang="he-I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ישראל</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ניתוק התנהגותי</c:v>
                </c:pt>
                <c:pt idx="1">
                  <c:v>ניתוק רגשי</c:v>
                </c:pt>
                <c:pt idx="2">
                  <c:v>ניתוק קוגניטיבי</c:v>
                </c:pt>
              </c:strCache>
            </c:strRef>
          </c:cat>
          <c:val>
            <c:numRef>
              <c:f>Sheet1!$B$2:$B$4</c:f>
              <c:numCache>
                <c:formatCode>General</c:formatCode>
                <c:ptCount val="3"/>
                <c:pt idx="0">
                  <c:v>15</c:v>
                </c:pt>
                <c:pt idx="1">
                  <c:v>24</c:v>
                </c:pt>
                <c:pt idx="2">
                  <c:v>22</c:v>
                </c:pt>
              </c:numCache>
            </c:numRef>
          </c:val>
        </c:ser>
        <c:ser>
          <c:idx val="1"/>
          <c:order val="1"/>
          <c:tx>
            <c:strRef>
              <c:f>Sheet1!$C$1</c:f>
              <c:strCache>
                <c:ptCount val="1"/>
                <c:pt idx="0">
                  <c:v>מדינות הOECD</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ניתוק התנהגותי</c:v>
                </c:pt>
                <c:pt idx="1">
                  <c:v>ניתוק רגשי</c:v>
                </c:pt>
                <c:pt idx="2">
                  <c:v>ניתוק קוגניטיבי</c:v>
                </c:pt>
              </c:strCache>
            </c:strRef>
          </c:cat>
          <c:val>
            <c:numRef>
              <c:f>Sheet1!$C$2:$C$4</c:f>
              <c:numCache>
                <c:formatCode>General</c:formatCode>
                <c:ptCount val="3"/>
                <c:pt idx="0">
                  <c:v>8</c:v>
                </c:pt>
                <c:pt idx="1">
                  <c:v>35</c:v>
                </c:pt>
                <c:pt idx="2">
                  <c:v>24</c:v>
                </c:pt>
              </c:numCache>
            </c:numRef>
          </c:val>
        </c:ser>
        <c:dLbls>
          <c:showLegendKey val="0"/>
          <c:showVal val="0"/>
          <c:showCatName val="0"/>
          <c:showSerName val="0"/>
          <c:showPercent val="0"/>
          <c:showBubbleSize val="0"/>
        </c:dLbls>
        <c:gapWidth val="219"/>
        <c:overlap val="-27"/>
        <c:axId val="131401600"/>
        <c:axId val="131403136"/>
      </c:barChart>
      <c:catAx>
        <c:axId val="13140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403136"/>
        <c:crosses val="autoZero"/>
        <c:auto val="1"/>
        <c:lblAlgn val="ctr"/>
        <c:lblOffset val="100"/>
        <c:noMultiLvlLbl val="0"/>
      </c:catAx>
      <c:valAx>
        <c:axId val="13140313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40160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Arial" panose="020B0604020202020204" pitchFamily="34" charset="0"/>
          <a:cs typeface="Arial" panose="020B0604020202020204" pitchFamily="34" charset="0"/>
        </a:defRPr>
      </a:pPr>
      <a:endParaRPr lang="he-I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בנים בחינוך הערבי</c:v>
                </c:pt>
              </c:strCache>
            </c:strRef>
          </c:tx>
          <c:spPr>
            <a:solidFill>
              <a:schemeClr val="bg1">
                <a:lumMod val="9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ניתוק התנהגותי</c:v>
                </c:pt>
                <c:pt idx="1">
                  <c:v>ניתוק רגשי</c:v>
                </c:pt>
                <c:pt idx="2">
                  <c:v>ניתוק קוגניטיבי</c:v>
                </c:pt>
                <c:pt idx="3">
                  <c:v>2-3 ממדי ניתוק</c:v>
                </c:pt>
              </c:strCache>
            </c:strRef>
          </c:cat>
          <c:val>
            <c:numRef>
              <c:f>Sheet1!$B$2:$B$5</c:f>
              <c:numCache>
                <c:formatCode>General</c:formatCode>
                <c:ptCount val="4"/>
                <c:pt idx="0">
                  <c:v>17</c:v>
                </c:pt>
                <c:pt idx="1">
                  <c:v>32</c:v>
                </c:pt>
                <c:pt idx="2">
                  <c:v>29</c:v>
                </c:pt>
                <c:pt idx="3">
                  <c:v>26</c:v>
                </c:pt>
              </c:numCache>
            </c:numRef>
          </c:val>
        </c:ser>
        <c:ser>
          <c:idx val="1"/>
          <c:order val="1"/>
          <c:tx>
            <c:strRef>
              <c:f>Sheet1!$C$1</c:f>
              <c:strCache>
                <c:ptCount val="1"/>
                <c:pt idx="0">
                  <c:v>בנות בחינוך הערבי</c:v>
                </c:pt>
              </c:strCache>
            </c:strRef>
          </c:tx>
          <c:spPr>
            <a:solidFill>
              <a:schemeClr val="bg1">
                <a:lumMod val="7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ניתוק התנהגותי</c:v>
                </c:pt>
                <c:pt idx="1">
                  <c:v>ניתוק רגשי</c:v>
                </c:pt>
                <c:pt idx="2">
                  <c:v>ניתוק קוגניטיבי</c:v>
                </c:pt>
                <c:pt idx="3">
                  <c:v>2-3 ממדי ניתוק</c:v>
                </c:pt>
              </c:strCache>
            </c:strRef>
          </c:cat>
          <c:val>
            <c:numRef>
              <c:f>Sheet1!$C$2:$C$5</c:f>
              <c:numCache>
                <c:formatCode>General</c:formatCode>
                <c:ptCount val="4"/>
                <c:pt idx="0">
                  <c:v>9</c:v>
                </c:pt>
                <c:pt idx="1">
                  <c:v>20</c:v>
                </c:pt>
                <c:pt idx="2">
                  <c:v>12</c:v>
                </c:pt>
                <c:pt idx="3">
                  <c:v>10</c:v>
                </c:pt>
              </c:numCache>
            </c:numRef>
          </c:val>
        </c:ser>
        <c:ser>
          <c:idx val="2"/>
          <c:order val="2"/>
          <c:tx>
            <c:strRef>
              <c:f>Sheet1!$D$1</c:f>
              <c:strCache>
                <c:ptCount val="1"/>
                <c:pt idx="0">
                  <c:v>בנים בחינוך העברי</c:v>
                </c:pt>
              </c:strCache>
            </c:strRef>
          </c:tx>
          <c:spPr>
            <a:solidFill>
              <a:schemeClr val="tx1">
                <a:lumMod val="65000"/>
                <a:lumOff val="3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ניתוק התנהגותי</c:v>
                </c:pt>
                <c:pt idx="1">
                  <c:v>ניתוק רגשי</c:v>
                </c:pt>
                <c:pt idx="2">
                  <c:v>ניתוק קוגניטיבי</c:v>
                </c:pt>
                <c:pt idx="3">
                  <c:v>2-3 ממדי ניתוק</c:v>
                </c:pt>
              </c:strCache>
            </c:strRef>
          </c:cat>
          <c:val>
            <c:numRef>
              <c:f>Sheet1!$D$2:$D$5</c:f>
              <c:numCache>
                <c:formatCode>General</c:formatCode>
                <c:ptCount val="4"/>
                <c:pt idx="0">
                  <c:v>15</c:v>
                </c:pt>
                <c:pt idx="1">
                  <c:v>22</c:v>
                </c:pt>
                <c:pt idx="2">
                  <c:v>25</c:v>
                </c:pt>
                <c:pt idx="3">
                  <c:v>16</c:v>
                </c:pt>
              </c:numCache>
            </c:numRef>
          </c:val>
        </c:ser>
        <c:ser>
          <c:idx val="3"/>
          <c:order val="3"/>
          <c:tx>
            <c:strRef>
              <c:f>Sheet1!$E$1</c:f>
              <c:strCache>
                <c:ptCount val="1"/>
                <c:pt idx="0">
                  <c:v>בנות בחינוך העברי</c:v>
                </c:pt>
              </c:strCache>
            </c:strRef>
          </c:tx>
          <c:spPr>
            <a:solidFill>
              <a:schemeClr val="dk1">
                <a:tint val="985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ניתוק התנהגותי</c:v>
                </c:pt>
                <c:pt idx="1">
                  <c:v>ניתוק רגשי</c:v>
                </c:pt>
                <c:pt idx="2">
                  <c:v>ניתוק קוגניטיבי</c:v>
                </c:pt>
                <c:pt idx="3">
                  <c:v>2-3 ממדי ניתוק</c:v>
                </c:pt>
              </c:strCache>
            </c:strRef>
          </c:cat>
          <c:val>
            <c:numRef>
              <c:f>Sheet1!$E$2:$E$5</c:f>
              <c:numCache>
                <c:formatCode>General</c:formatCode>
                <c:ptCount val="4"/>
                <c:pt idx="0">
                  <c:v>17</c:v>
                </c:pt>
                <c:pt idx="1">
                  <c:v>24</c:v>
                </c:pt>
                <c:pt idx="2">
                  <c:v>20</c:v>
                </c:pt>
                <c:pt idx="3">
                  <c:v>15</c:v>
                </c:pt>
              </c:numCache>
            </c:numRef>
          </c:val>
        </c:ser>
        <c:dLbls>
          <c:showLegendKey val="0"/>
          <c:showVal val="0"/>
          <c:showCatName val="0"/>
          <c:showSerName val="0"/>
          <c:showPercent val="0"/>
          <c:showBubbleSize val="0"/>
        </c:dLbls>
        <c:gapWidth val="219"/>
        <c:overlap val="-27"/>
        <c:axId val="131482368"/>
        <c:axId val="131483904"/>
      </c:barChart>
      <c:catAx>
        <c:axId val="131482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he-IL"/>
          </a:p>
        </c:txPr>
        <c:crossAx val="131483904"/>
        <c:crosses val="autoZero"/>
        <c:auto val="1"/>
        <c:lblAlgn val="ctr"/>
        <c:lblOffset val="100"/>
        <c:noMultiLvlLbl val="0"/>
      </c:catAx>
      <c:valAx>
        <c:axId val="131483904"/>
        <c:scaling>
          <c:orientation val="minMax"/>
          <c:max val="5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he-IL"/>
          </a:p>
        </c:txPr>
        <c:crossAx val="1314823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he-I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he-I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אין ממדי ניתוק</c:v>
                </c:pt>
              </c:strCache>
            </c:strRef>
          </c:tx>
          <c:spPr>
            <a:solidFill>
              <a:schemeClr val="bg1">
                <a:lumMod val="95000"/>
              </a:schemeClr>
            </a:solidFill>
            <a:ln>
              <a:solidFill>
                <a:schemeClr val="tx1"/>
              </a:solidFill>
            </a:ln>
            <a:effectLst/>
          </c:spPr>
          <c:invertIfNegative val="0"/>
          <c:dPt>
            <c:idx val="3"/>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מתמטיקה**</c:v>
                </c:pt>
                <c:pt idx="1">
                  <c:v>קריאה בשפת אם**</c:v>
                </c:pt>
                <c:pt idx="2">
                  <c:v>מדעים**</c:v>
                </c:pt>
              </c:strCache>
            </c:strRef>
          </c:cat>
          <c:val>
            <c:numRef>
              <c:f>Sheet1!$B$2:$B$4</c:f>
              <c:numCache>
                <c:formatCode>General</c:formatCode>
                <c:ptCount val="3"/>
                <c:pt idx="0">
                  <c:v>28</c:v>
                </c:pt>
                <c:pt idx="1">
                  <c:v>16</c:v>
                </c:pt>
                <c:pt idx="2">
                  <c:v>22</c:v>
                </c:pt>
              </c:numCache>
            </c:numRef>
          </c:val>
        </c:ser>
        <c:ser>
          <c:idx val="1"/>
          <c:order val="1"/>
          <c:tx>
            <c:strRef>
              <c:f>Sheet1!$C$1</c:f>
              <c:strCache>
                <c:ptCount val="1"/>
                <c:pt idx="0">
                  <c:v>ממד 1</c:v>
                </c:pt>
              </c:strCache>
            </c:strRef>
          </c:tx>
          <c:spPr>
            <a:solidFill>
              <a:schemeClr val="bg1">
                <a:lumMod val="50000"/>
              </a:schemeClr>
            </a:solidFill>
            <a:ln>
              <a:solidFill>
                <a:schemeClr val="tx1"/>
              </a:solidFill>
            </a:ln>
            <a:effectLst/>
          </c:spPr>
          <c:invertIfNegative val="0"/>
          <c:dPt>
            <c:idx val="3"/>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מתמטיקה**</c:v>
                </c:pt>
                <c:pt idx="1">
                  <c:v>קריאה בשפת אם**</c:v>
                </c:pt>
                <c:pt idx="2">
                  <c:v>מדעים**</c:v>
                </c:pt>
              </c:strCache>
            </c:strRef>
          </c:cat>
          <c:val>
            <c:numRef>
              <c:f>Sheet1!$C$2:$C$4</c:f>
              <c:numCache>
                <c:formatCode>General</c:formatCode>
                <c:ptCount val="3"/>
                <c:pt idx="0">
                  <c:v>31</c:v>
                </c:pt>
                <c:pt idx="1">
                  <c:v>21</c:v>
                </c:pt>
                <c:pt idx="2">
                  <c:v>26</c:v>
                </c:pt>
              </c:numCache>
            </c:numRef>
          </c:val>
        </c:ser>
        <c:ser>
          <c:idx val="2"/>
          <c:order val="2"/>
          <c:tx>
            <c:strRef>
              <c:f>Sheet1!$D$1</c:f>
              <c:strCache>
                <c:ptCount val="1"/>
                <c:pt idx="0">
                  <c:v>2-3 ממדים</c:v>
                </c:pt>
              </c:strCache>
            </c:strRef>
          </c:tx>
          <c:spPr>
            <a:solidFill>
              <a:schemeClr val="tx1"/>
            </a:solidFill>
            <a:ln>
              <a:solidFill>
                <a:schemeClr val="tx1"/>
              </a:solidFill>
            </a:ln>
            <a:effectLst/>
          </c:spPr>
          <c:invertIfNegative val="0"/>
          <c:dPt>
            <c:idx val="3"/>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מתמטיקה**</c:v>
                </c:pt>
                <c:pt idx="1">
                  <c:v>קריאה בשפת אם**</c:v>
                </c:pt>
                <c:pt idx="2">
                  <c:v>מדעים**</c:v>
                </c:pt>
              </c:strCache>
            </c:strRef>
          </c:cat>
          <c:val>
            <c:numRef>
              <c:f>Sheet1!$D$2:$D$4</c:f>
              <c:numCache>
                <c:formatCode>General</c:formatCode>
                <c:ptCount val="3"/>
                <c:pt idx="0">
                  <c:v>41</c:v>
                </c:pt>
                <c:pt idx="1">
                  <c:v>35</c:v>
                </c:pt>
                <c:pt idx="2">
                  <c:v>39</c:v>
                </c:pt>
              </c:numCache>
            </c:numRef>
          </c:val>
        </c:ser>
        <c:dLbls>
          <c:showLegendKey val="0"/>
          <c:showVal val="0"/>
          <c:showCatName val="0"/>
          <c:showSerName val="0"/>
          <c:showPercent val="0"/>
          <c:showBubbleSize val="0"/>
        </c:dLbls>
        <c:gapWidth val="219"/>
        <c:overlap val="-27"/>
        <c:axId val="131638784"/>
        <c:axId val="131640320"/>
      </c:barChart>
      <c:catAx>
        <c:axId val="131638784"/>
        <c:scaling>
          <c:orientation val="minMax"/>
        </c:scaling>
        <c:delete val="0"/>
        <c:axPos val="b"/>
        <c:numFmt formatCode="General" sourceLinked="1"/>
        <c:majorTickMark val="none"/>
        <c:minorTickMark val="none"/>
        <c:tickLblPos val="nextTo"/>
        <c:spPr>
          <a:noFill/>
          <a:ln w="9525" cap="flat" cmpd="sng" algn="ctr">
            <a:solidFill>
              <a:srgbClr val="000000"/>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640320"/>
        <c:crosses val="autoZero"/>
        <c:auto val="1"/>
        <c:lblAlgn val="ctr"/>
        <c:lblOffset val="100"/>
        <c:noMultiLvlLbl val="0"/>
      </c:catAx>
      <c:valAx>
        <c:axId val="131640320"/>
        <c:scaling>
          <c:orientation val="minMax"/>
          <c:min val="0"/>
        </c:scaling>
        <c:delete val="0"/>
        <c:axPos val="l"/>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6387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Arial" panose="020B0604020202020204" pitchFamily="34" charset="0"/>
          <a:cs typeface="Arial" panose="020B0604020202020204" pitchFamily="34" charset="0"/>
        </a:defRPr>
      </a:pPr>
      <a:endParaRPr lang="he-I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r>
              <a:rPr lang="he-IL" sz="1200"/>
              <a:t>תלמידים שלא דיווחו על דעות שליליות לגבי מוריהם</a:t>
            </a:r>
          </a:p>
        </c:rich>
      </c:tx>
      <c:layout/>
      <c:overlay val="0"/>
      <c:spPr>
        <a:noFill/>
        <a:ln>
          <a:noFill/>
        </a:ln>
        <a:effectLst/>
      </c:spPr>
    </c:title>
    <c:autoTitleDeleted val="0"/>
    <c:plotArea>
      <c:layout/>
      <c:pieChart>
        <c:varyColors val="1"/>
        <c:ser>
          <c:idx val="0"/>
          <c:order val="0"/>
          <c:tx>
            <c:strRef>
              <c:f>Sheet1!$B$1</c:f>
              <c:strCache>
                <c:ptCount val="1"/>
                <c:pt idx="0">
                  <c:v>תלמידים שלא דיווחו על דעות שליליות כלפי מוריהם</c:v>
                </c:pt>
              </c:strCache>
            </c:strRef>
          </c:tx>
          <c:dPt>
            <c:idx val="0"/>
            <c:bubble3D val="0"/>
            <c:spPr>
              <a:solidFill>
                <a:schemeClr val="bg2"/>
              </a:solidFill>
              <a:ln>
                <a:solidFill>
                  <a:schemeClr val="tx1"/>
                </a:solidFill>
              </a:ln>
              <a:effectLst/>
            </c:spPr>
          </c:dPt>
          <c:dPt>
            <c:idx val="1"/>
            <c:bubble3D val="0"/>
            <c:spPr>
              <a:solidFill>
                <a:schemeClr val="tx1">
                  <a:lumMod val="50000"/>
                  <a:lumOff val="50000"/>
                </a:schemeClr>
              </a:solidFill>
              <a:ln>
                <a:solidFill>
                  <a:schemeClr val="tx1"/>
                </a:solidFill>
              </a:ln>
              <a:effectLst/>
            </c:spPr>
          </c:dPt>
          <c:dPt>
            <c:idx val="2"/>
            <c:bubble3D val="0"/>
            <c:spPr>
              <a:solidFill>
                <a:schemeClr val="tx1"/>
              </a:solidFill>
              <a:ln>
                <a:solidFill>
                  <a:schemeClr val="tx1"/>
                </a:solidFill>
              </a:ln>
              <a:effectLst/>
            </c:spPr>
          </c:dPt>
          <c:dLbls>
            <c:dLbl>
              <c:idx val="2"/>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he-IL"/>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he-IL"/>
              </a:p>
            </c:txPr>
            <c:showLegendKey val="0"/>
            <c:showVal val="1"/>
            <c:showCatName val="0"/>
            <c:showSerName val="0"/>
            <c:showPercent val="0"/>
            <c:showBubbleSize val="0"/>
            <c:showLeaderLines val="1"/>
            <c:leaderLines>
              <c:spPr>
                <a:ln w="9525" cap="flat" cmpd="sng" algn="ctr">
                  <a:solidFill>
                    <a:schemeClr val="tx1">
                      <a:shade val="95000"/>
                      <a:satMod val="105000"/>
                    </a:schemeClr>
                  </a:solidFill>
                  <a:prstDash val="solid"/>
                  <a:round/>
                </a:ln>
                <a:effectLst/>
              </c:spPr>
            </c:leaderLines>
            <c:extLst>
              <c:ext xmlns:c15="http://schemas.microsoft.com/office/drawing/2012/chart" uri="{CE6537A1-D6FC-4f65-9D91-7224C49458BB}">
                <c15:layout/>
              </c:ext>
            </c:extLst>
          </c:dLbls>
          <c:cat>
            <c:strRef>
              <c:f>Sheet1!$A$2:$A$4</c:f>
              <c:strCache>
                <c:ptCount val="3"/>
                <c:pt idx="0">
                  <c:v>אין ממדי ניתוק</c:v>
                </c:pt>
                <c:pt idx="1">
                  <c:v>ממד ניתוק 1</c:v>
                </c:pt>
                <c:pt idx="2">
                  <c:v>2-3 ממדי ניתוק</c:v>
                </c:pt>
              </c:strCache>
            </c:strRef>
          </c:cat>
          <c:val>
            <c:numRef>
              <c:f>Sheet1!$B$2:$B$4</c:f>
              <c:numCache>
                <c:formatCode>General</c:formatCode>
                <c:ptCount val="3"/>
                <c:pt idx="0">
                  <c:v>72</c:v>
                </c:pt>
                <c:pt idx="1">
                  <c:v>21</c:v>
                </c:pt>
                <c:pt idx="2">
                  <c:v>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he-IL"/>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he-I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he-IL" sz="1200"/>
              <a:t>תלמידים שדיווחו על לפחות שתי דעות שליליות לגבי</a:t>
            </a:r>
            <a:r>
              <a:rPr lang="he-IL" sz="1200" baseline="0"/>
              <a:t> מוריהם</a:t>
            </a:r>
            <a:r>
              <a:rPr lang="he-IL" sz="1200" baseline="30000"/>
              <a:t>1</a:t>
            </a:r>
          </a:p>
        </c:rich>
      </c:tx>
      <c:layout/>
      <c:overlay val="0"/>
    </c:title>
    <c:autoTitleDeleted val="0"/>
    <c:plotArea>
      <c:layout/>
      <c:pieChart>
        <c:varyColors val="1"/>
        <c:ser>
          <c:idx val="0"/>
          <c:order val="0"/>
          <c:tx>
            <c:strRef>
              <c:f>Sheet1!$B$1</c:f>
              <c:strCache>
                <c:ptCount val="1"/>
                <c:pt idx="0">
                  <c:v>תלמידים שלא דיווחו על דעות שליליות כלפי מוריהם</c:v>
                </c:pt>
              </c:strCache>
            </c:strRef>
          </c:tx>
          <c:dPt>
            <c:idx val="0"/>
            <c:bubble3D val="0"/>
            <c:spPr>
              <a:solidFill>
                <a:schemeClr val="bg2"/>
              </a:solidFill>
              <a:ln>
                <a:solidFill>
                  <a:schemeClr val="tx1"/>
                </a:solidFill>
              </a:ln>
            </c:spPr>
          </c:dPt>
          <c:dPt>
            <c:idx val="1"/>
            <c:bubble3D val="0"/>
            <c:spPr>
              <a:solidFill>
                <a:schemeClr val="tx1">
                  <a:lumMod val="50000"/>
                  <a:lumOff val="50000"/>
                </a:schemeClr>
              </a:solidFill>
              <a:ln>
                <a:solidFill>
                  <a:schemeClr val="tx1"/>
                </a:solidFill>
              </a:ln>
            </c:spPr>
          </c:dPt>
          <c:dPt>
            <c:idx val="2"/>
            <c:bubble3D val="0"/>
            <c:spPr>
              <a:solidFill>
                <a:schemeClr val="tx1"/>
              </a:solidFill>
              <a:ln>
                <a:solidFill>
                  <a:schemeClr val="tx1"/>
                </a:solidFill>
              </a:ln>
            </c:spPr>
          </c:dPt>
          <c:dLbls>
            <c:dLbl>
              <c:idx val="2"/>
              <c:spPr>
                <a:noFill/>
                <a:ln>
                  <a:noFill/>
                </a:ln>
                <a:effectLst/>
              </c:spPr>
              <c:txPr>
                <a:bodyPr wrap="square" lIns="38100" tIns="19050" rIns="38100" bIns="19050" anchor="ctr">
                  <a:spAutoFit/>
                </a:bodyPr>
                <a:lstStyle/>
                <a:p>
                  <a:pPr>
                    <a:defRPr sz="1100" b="1">
                      <a:solidFill>
                        <a:schemeClr val="bg1"/>
                      </a:solidFill>
                    </a:defRPr>
                  </a:pPr>
                  <a:endParaRPr lang="he-IL"/>
                </a:p>
              </c:txPr>
              <c:showLegendKey val="0"/>
              <c:showVal val="1"/>
              <c:showCatName val="0"/>
              <c:showSerName val="0"/>
              <c:showPercent val="0"/>
              <c:showBubbleSize val="0"/>
            </c:dLbl>
            <c:spPr>
              <a:noFill/>
              <a:ln>
                <a:noFill/>
              </a:ln>
              <a:effectLst/>
            </c:spPr>
            <c:txPr>
              <a:bodyPr wrap="square" lIns="38100" tIns="19050" rIns="38100" bIns="19050" anchor="ctr">
                <a:spAutoFit/>
              </a:bodyPr>
              <a:lstStyle/>
              <a:p>
                <a:pPr>
                  <a:defRPr sz="1100" b="1"/>
                </a:pPr>
                <a:endParaRPr lang="he-IL"/>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Sheet1!$A$2:$A$4</c:f>
              <c:strCache>
                <c:ptCount val="3"/>
                <c:pt idx="0">
                  <c:v>אין ממדי ניתוק</c:v>
                </c:pt>
                <c:pt idx="1">
                  <c:v>ממד ניתוק 1</c:v>
                </c:pt>
                <c:pt idx="2">
                  <c:v>2-3 ממדי ניתוק</c:v>
                </c:pt>
              </c:strCache>
            </c:strRef>
          </c:cat>
          <c:val>
            <c:numRef>
              <c:f>Sheet1!$B$2:$B$4</c:f>
              <c:numCache>
                <c:formatCode>General</c:formatCode>
                <c:ptCount val="3"/>
                <c:pt idx="0">
                  <c:v>35</c:v>
                </c:pt>
                <c:pt idx="1">
                  <c:v>34</c:v>
                </c:pt>
                <c:pt idx="2">
                  <c:v>31</c:v>
                </c:pt>
              </c:numCache>
            </c:numRef>
          </c:val>
        </c:ser>
        <c:dLbls>
          <c:showLegendKey val="0"/>
          <c:showVal val="0"/>
          <c:showCatName val="0"/>
          <c:showSerName val="0"/>
          <c:showPercent val="0"/>
          <c:showBubbleSize val="0"/>
          <c:showLeaderLines val="1"/>
        </c:dLbls>
        <c:firstSliceAng val="0"/>
      </c:pieChart>
    </c:plotArea>
    <c:legend>
      <c:legendPos val="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גיליון1!$B$1</c:f>
              <c:strCache>
                <c:ptCount val="1"/>
                <c:pt idx="0">
                  <c:v>אין ממדי ניתוק</c:v>
                </c:pt>
              </c:strCache>
            </c:strRef>
          </c:tx>
          <c:spPr>
            <a:solidFill>
              <a:schemeClr val="bg1">
                <a:lumMod val="9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גיליון1!$A$2:$A$5</c:f>
              <c:strCache>
                <c:ptCount val="4"/>
                <c:pt idx="0">
                  <c:v>עישון סיגריות**1</c:v>
                </c:pt>
                <c:pt idx="1">
                  <c:v>שתיית אלכוהול**1</c:v>
                </c:pt>
                <c:pt idx="2">
                  <c:v>שימוש בסמים**2</c:v>
                </c:pt>
                <c:pt idx="3">
                  <c:v>מעורבות באלימות בין אישית**3</c:v>
                </c:pt>
              </c:strCache>
            </c:strRef>
          </c:cat>
          <c:val>
            <c:numRef>
              <c:f>גיליון1!$B$2:$B$5</c:f>
              <c:numCache>
                <c:formatCode>General</c:formatCode>
                <c:ptCount val="4"/>
                <c:pt idx="0">
                  <c:v>5</c:v>
                </c:pt>
                <c:pt idx="1">
                  <c:v>13</c:v>
                </c:pt>
                <c:pt idx="2">
                  <c:v>6</c:v>
                </c:pt>
                <c:pt idx="3">
                  <c:v>11</c:v>
                </c:pt>
              </c:numCache>
            </c:numRef>
          </c:val>
        </c:ser>
        <c:ser>
          <c:idx val="1"/>
          <c:order val="1"/>
          <c:tx>
            <c:strRef>
              <c:f>גיליון1!$C$1</c:f>
              <c:strCache>
                <c:ptCount val="1"/>
                <c:pt idx="0">
                  <c:v>ממד 1</c:v>
                </c:pt>
              </c:strCache>
            </c:strRef>
          </c:tx>
          <c:spPr>
            <a:solidFill>
              <a:schemeClr val="bg1">
                <a:lumMod val="50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גיליון1!$A$2:$A$5</c:f>
              <c:strCache>
                <c:ptCount val="4"/>
                <c:pt idx="0">
                  <c:v>עישון סיגריות**1</c:v>
                </c:pt>
                <c:pt idx="1">
                  <c:v>שתיית אלכוהול**1</c:v>
                </c:pt>
                <c:pt idx="2">
                  <c:v>שימוש בסמים**2</c:v>
                </c:pt>
                <c:pt idx="3">
                  <c:v>מעורבות באלימות בין אישית**3</c:v>
                </c:pt>
              </c:strCache>
            </c:strRef>
          </c:cat>
          <c:val>
            <c:numRef>
              <c:f>גיליון1!$C$2:$C$5</c:f>
              <c:numCache>
                <c:formatCode>General</c:formatCode>
                <c:ptCount val="4"/>
                <c:pt idx="0">
                  <c:v>16</c:v>
                </c:pt>
                <c:pt idx="1">
                  <c:v>25</c:v>
                </c:pt>
                <c:pt idx="2">
                  <c:v>13</c:v>
                </c:pt>
                <c:pt idx="3">
                  <c:v>24</c:v>
                </c:pt>
              </c:numCache>
            </c:numRef>
          </c:val>
        </c:ser>
        <c:ser>
          <c:idx val="2"/>
          <c:order val="2"/>
          <c:tx>
            <c:strRef>
              <c:f>גיליון1!$D$1</c:f>
              <c:strCache>
                <c:ptCount val="1"/>
                <c:pt idx="0">
                  <c:v>2 ממדים</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גיליון1!$A$2:$A$5</c:f>
              <c:strCache>
                <c:ptCount val="4"/>
                <c:pt idx="0">
                  <c:v>עישון סיגריות**1</c:v>
                </c:pt>
                <c:pt idx="1">
                  <c:v>שתיית אלכוהול**1</c:v>
                </c:pt>
                <c:pt idx="2">
                  <c:v>שימוש בסמים**2</c:v>
                </c:pt>
                <c:pt idx="3">
                  <c:v>מעורבות באלימות בין אישית**3</c:v>
                </c:pt>
              </c:strCache>
            </c:strRef>
          </c:cat>
          <c:val>
            <c:numRef>
              <c:f>גיליון1!$D$2:$D$5</c:f>
              <c:numCache>
                <c:formatCode>General</c:formatCode>
                <c:ptCount val="4"/>
                <c:pt idx="0">
                  <c:v>30</c:v>
                </c:pt>
                <c:pt idx="1">
                  <c:v>42</c:v>
                </c:pt>
                <c:pt idx="2">
                  <c:v>25</c:v>
                </c:pt>
                <c:pt idx="3">
                  <c:v>39</c:v>
                </c:pt>
              </c:numCache>
            </c:numRef>
          </c:val>
        </c:ser>
        <c:dLbls>
          <c:showLegendKey val="0"/>
          <c:showVal val="0"/>
          <c:showCatName val="0"/>
          <c:showSerName val="0"/>
          <c:showPercent val="0"/>
          <c:showBubbleSize val="0"/>
        </c:dLbls>
        <c:gapWidth val="150"/>
        <c:axId val="131735936"/>
        <c:axId val="131737472"/>
      </c:barChart>
      <c:catAx>
        <c:axId val="131735936"/>
        <c:scaling>
          <c:orientation val="minMax"/>
        </c:scaling>
        <c:delete val="0"/>
        <c:axPos val="b"/>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737472"/>
        <c:crosses val="autoZero"/>
        <c:auto val="1"/>
        <c:lblAlgn val="ctr"/>
        <c:lblOffset val="100"/>
        <c:noMultiLvlLbl val="0"/>
      </c:catAx>
      <c:valAx>
        <c:axId val="131737472"/>
        <c:scaling>
          <c:orientation val="minMax"/>
          <c:max val="50"/>
        </c:scaling>
        <c:delete val="0"/>
        <c:axPos val="l"/>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735936"/>
        <c:crosses val="autoZero"/>
        <c:crossBetween val="between"/>
      </c:valAx>
      <c:spPr>
        <a:solidFill>
          <a:schemeClr val="bg1"/>
        </a:solidFill>
        <a:ln>
          <a:noFill/>
        </a:ln>
        <a:effectLst/>
      </c:spPr>
    </c:plotArea>
    <c:legend>
      <c:legendPos val="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sz="1050">
          <a:solidFill>
            <a:sysClr val="windowText" lastClr="000000"/>
          </a:solidFill>
          <a:latin typeface="Arial" panose="020B0604020202020204" pitchFamily="34" charset="0"/>
          <a:cs typeface="Arial" panose="020B0604020202020204" pitchFamily="34" charset="0"/>
        </a:defRPr>
      </a:pPr>
      <a:endParaRPr lang="he-I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אין ממדי ניתוק</c:v>
                </c:pt>
              </c:strCache>
            </c:strRef>
          </c:tx>
          <c:spPr>
            <a:solidFill>
              <a:schemeClr val="bg1">
                <a:lumMod val="95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תחושת בדידות (1) **</c:v>
                </c:pt>
                <c:pt idx="1">
                  <c:v>סימפטומים גופניים (2)** </c:v>
                </c:pt>
                <c:pt idx="2">
                  <c:v>סימפטומים נפשיים( 3) **</c:v>
                </c:pt>
                <c:pt idx="3">
                  <c:v>קשה לשוחח עם שני ההורים**</c:v>
                </c:pt>
              </c:strCache>
            </c:strRef>
          </c:cat>
          <c:val>
            <c:numRef>
              <c:f>Sheet1!$B$2:$B$5</c:f>
              <c:numCache>
                <c:formatCode>General</c:formatCode>
                <c:ptCount val="4"/>
                <c:pt idx="0">
                  <c:v>7</c:v>
                </c:pt>
                <c:pt idx="1">
                  <c:v>17</c:v>
                </c:pt>
                <c:pt idx="2">
                  <c:v>17</c:v>
                </c:pt>
                <c:pt idx="3">
                  <c:v>5</c:v>
                </c:pt>
              </c:numCache>
            </c:numRef>
          </c:val>
        </c:ser>
        <c:ser>
          <c:idx val="1"/>
          <c:order val="1"/>
          <c:tx>
            <c:strRef>
              <c:f>Sheet1!$C$1</c:f>
              <c:strCache>
                <c:ptCount val="1"/>
                <c:pt idx="0">
                  <c:v>ממד 1</c:v>
                </c:pt>
              </c:strCache>
            </c:strRef>
          </c:tx>
          <c:spPr>
            <a:solidFill>
              <a:schemeClr val="bg1">
                <a:lumMod val="50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תחושת בדידות (1) **</c:v>
                </c:pt>
                <c:pt idx="1">
                  <c:v>סימפטומים גופניים (2)** </c:v>
                </c:pt>
                <c:pt idx="2">
                  <c:v>סימפטומים נפשיים( 3) **</c:v>
                </c:pt>
                <c:pt idx="3">
                  <c:v>קשה לשוחח עם שני ההורים**</c:v>
                </c:pt>
              </c:strCache>
            </c:strRef>
          </c:cat>
          <c:val>
            <c:numRef>
              <c:f>Sheet1!$C$2:$C$5</c:f>
              <c:numCache>
                <c:formatCode>General</c:formatCode>
                <c:ptCount val="4"/>
                <c:pt idx="0">
                  <c:v>15</c:v>
                </c:pt>
                <c:pt idx="1">
                  <c:v>23</c:v>
                </c:pt>
                <c:pt idx="2">
                  <c:v>29</c:v>
                </c:pt>
                <c:pt idx="3">
                  <c:v>9</c:v>
                </c:pt>
              </c:numCache>
            </c:numRef>
          </c:val>
        </c:ser>
        <c:ser>
          <c:idx val="2"/>
          <c:order val="2"/>
          <c:tx>
            <c:strRef>
              <c:f>Sheet1!$E$1</c:f>
              <c:strCache>
                <c:ptCount val="1"/>
                <c:pt idx="0">
                  <c:v>2 ממדים</c:v>
                </c:pt>
              </c:strCache>
            </c:strRef>
          </c:tx>
          <c:spPr>
            <a:solidFill>
              <a:schemeClr val="tx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תחושת בדידות (1) **</c:v>
                </c:pt>
                <c:pt idx="1">
                  <c:v>סימפטומים גופניים (2)** </c:v>
                </c:pt>
                <c:pt idx="2">
                  <c:v>סימפטומים נפשיים( 3) **</c:v>
                </c:pt>
                <c:pt idx="3">
                  <c:v>קשה לשוחח עם שני ההורים**</c:v>
                </c:pt>
              </c:strCache>
            </c:strRef>
          </c:cat>
          <c:val>
            <c:numRef>
              <c:f>Sheet1!$E$2:$E$5</c:f>
              <c:numCache>
                <c:formatCode>General</c:formatCode>
                <c:ptCount val="4"/>
                <c:pt idx="0">
                  <c:v>18</c:v>
                </c:pt>
                <c:pt idx="1">
                  <c:v>31</c:v>
                </c:pt>
                <c:pt idx="2">
                  <c:v>37</c:v>
                </c:pt>
                <c:pt idx="3">
                  <c:v>15</c:v>
                </c:pt>
              </c:numCache>
            </c:numRef>
          </c:val>
        </c:ser>
        <c:dLbls>
          <c:showLegendKey val="0"/>
          <c:showVal val="0"/>
          <c:showCatName val="0"/>
          <c:showSerName val="0"/>
          <c:showPercent val="0"/>
          <c:showBubbleSize val="0"/>
        </c:dLbls>
        <c:gapWidth val="219"/>
        <c:overlap val="-27"/>
        <c:axId val="131780992"/>
        <c:axId val="131782528"/>
      </c:barChart>
      <c:catAx>
        <c:axId val="131780992"/>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782528"/>
        <c:crosses val="autoZero"/>
        <c:auto val="1"/>
        <c:lblAlgn val="ctr"/>
        <c:lblOffset val="100"/>
        <c:noMultiLvlLbl val="0"/>
      </c:catAx>
      <c:valAx>
        <c:axId val="131782528"/>
        <c:scaling>
          <c:orientation val="minMax"/>
        </c:scaling>
        <c:delete val="0"/>
        <c:axPos val="l"/>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crossAx val="1317809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he-I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Arial" panose="020B0604020202020204" pitchFamily="34" charset="0"/>
          <a:cs typeface="Arial" panose="020B0604020202020204" pitchFamily="34" charset="0"/>
        </a:defRPr>
      </a:pPr>
      <a:endParaRPr lang="he-I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bg1">
                <a:lumMod val="95000"/>
              </a:schemeClr>
            </a:solidFill>
            <a:ln>
              <a:solidFill>
                <a:schemeClr val="tx1"/>
              </a:solidFill>
            </a:ln>
          </c:spPr>
          <c:invertIfNegative val="0"/>
          <c:dPt>
            <c:idx val="14"/>
            <c:invertIfNegative val="0"/>
            <c:bubble3D val="0"/>
            <c:spPr>
              <a:solidFill>
                <a:schemeClr val="tx1"/>
              </a:solidFill>
              <a:ln>
                <a:solidFill>
                  <a:schemeClr val="tx1"/>
                </a:solidFill>
              </a:ln>
            </c:spPr>
          </c:dPt>
          <c:dPt>
            <c:idx val="21"/>
            <c:invertIfNegative val="0"/>
            <c:bubble3D val="0"/>
            <c:spPr>
              <a:solidFill>
                <a:schemeClr val="tx1">
                  <a:lumMod val="50000"/>
                  <a:lumOff val="50000"/>
                </a:schemeClr>
              </a:solidFill>
              <a:ln>
                <a:solidFill>
                  <a:schemeClr val="tx1"/>
                </a:solidFill>
              </a:ln>
            </c:spPr>
          </c:dPt>
          <c:dLbls>
            <c:dLbl>
              <c:idx val="14"/>
              <c:layout>
                <c:manualLayout>
                  <c:x val="0"/>
                  <c:y val="-0.11907597046915933"/>
                </c:manualLayout>
              </c:layout>
              <c:spPr>
                <a:noFill/>
                <a:ln>
                  <a:noFill/>
                </a:ln>
                <a:effectLst/>
              </c:spPr>
              <c:txPr>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dLbl>
              <c:idx val="21"/>
              <c:layout>
                <c:manualLayout>
                  <c:x val="-1.9723865877711308E-3"/>
                  <c:y val="-0.10002381519409383"/>
                </c:manualLayout>
              </c:layout>
              <c:spPr>
                <a:noFill/>
                <a:ln>
                  <a:noFill/>
                </a:ln>
                <a:effectLst/>
              </c:spPr>
              <c:txPr>
                <a:bodyPr/>
                <a:lstStyle/>
                <a:p>
                  <a:pPr>
                    <a:defRPr sz="1000" b="1">
                      <a:solidFill>
                        <a:sysClr val="windowText" lastClr="000000"/>
                      </a:solidFill>
                    </a:defRPr>
                  </a:pPr>
                  <a:endParaRPr lang="he-IL"/>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700"/>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Sheet1!$A$2:$A$36</c:f>
              <c:strCache>
                <c:ptCount val="35"/>
                <c:pt idx="0">
                  <c:v>שוויץ</c:v>
                </c:pt>
                <c:pt idx="1">
                  <c:v>צ'ילה</c:v>
                </c:pt>
                <c:pt idx="2">
                  <c:v>אוסטריה</c:v>
                </c:pt>
                <c:pt idx="3">
                  <c:v>איסלנד</c:v>
                </c:pt>
                <c:pt idx="4">
                  <c:v>מקסיקו</c:v>
                </c:pt>
                <c:pt idx="5">
                  <c:v>הונגריה</c:v>
                </c:pt>
                <c:pt idx="6">
                  <c:v>ספרד</c:v>
                </c:pt>
                <c:pt idx="7">
                  <c:v>גרמניה</c:v>
                </c:pt>
                <c:pt idx="8">
                  <c:v>אירלנד</c:v>
                </c:pt>
                <c:pt idx="9">
                  <c:v>בריטניה</c:v>
                </c:pt>
                <c:pt idx="10">
                  <c:v>פורטוגל</c:v>
                </c:pt>
                <c:pt idx="11">
                  <c:v>לוקסמבורג</c:v>
                </c:pt>
                <c:pt idx="12">
                  <c:v>ארה"ב</c:v>
                </c:pt>
                <c:pt idx="13">
                  <c:v>דנמרק</c:v>
                </c:pt>
                <c:pt idx="14">
                  <c:v>ישראל</c:v>
                </c:pt>
                <c:pt idx="15">
                  <c:v>צרפת</c:v>
                </c:pt>
                <c:pt idx="16">
                  <c:v>שוודיה</c:v>
                </c:pt>
                <c:pt idx="17">
                  <c:v>ניו-זילנד</c:v>
                </c:pt>
                <c:pt idx="18">
                  <c:v>בלגיה</c:v>
                </c:pt>
                <c:pt idx="19">
                  <c:v>קנדה</c:v>
                </c:pt>
                <c:pt idx="20">
                  <c:v>נורבגיה</c:v>
                </c:pt>
                <c:pt idx="21">
                  <c:v>ממוצע OECD</c:v>
                </c:pt>
                <c:pt idx="22">
                  <c:v>אוסטרליה</c:v>
                </c:pt>
                <c:pt idx="23">
                  <c:v>פינלנד</c:v>
                </c:pt>
                <c:pt idx="24">
                  <c:v>סלובניה</c:v>
                </c:pt>
                <c:pt idx="25">
                  <c:v>הולנד</c:v>
                </c:pt>
                <c:pt idx="26">
                  <c:v>אסטוניה</c:v>
                </c:pt>
                <c:pt idx="27">
                  <c:v>איטליה</c:v>
                </c:pt>
                <c:pt idx="28">
                  <c:v>טורקיה</c:v>
                </c:pt>
                <c:pt idx="29">
                  <c:v>צ'כיה</c:v>
                </c:pt>
                <c:pt idx="30">
                  <c:v>קוריאה</c:v>
                </c:pt>
                <c:pt idx="31">
                  <c:v>סלובקיה</c:v>
                </c:pt>
                <c:pt idx="32">
                  <c:v>יפן</c:v>
                </c:pt>
                <c:pt idx="33">
                  <c:v>יוון</c:v>
                </c:pt>
                <c:pt idx="34">
                  <c:v>פולין</c:v>
                </c:pt>
              </c:strCache>
            </c:strRef>
          </c:cat>
          <c:val>
            <c:numRef>
              <c:f>Sheet1!$B$2:$B$36</c:f>
              <c:numCache>
                <c:formatCode>General</c:formatCode>
                <c:ptCount val="35"/>
                <c:pt idx="0">
                  <c:v>9.1</c:v>
                </c:pt>
                <c:pt idx="1">
                  <c:v>9.1999999999999993</c:v>
                </c:pt>
                <c:pt idx="2">
                  <c:v>9.6999999999999993</c:v>
                </c:pt>
                <c:pt idx="3">
                  <c:v>10.5</c:v>
                </c:pt>
                <c:pt idx="4">
                  <c:v>11.2</c:v>
                </c:pt>
                <c:pt idx="5">
                  <c:v>11.7</c:v>
                </c:pt>
                <c:pt idx="6">
                  <c:v>11.8</c:v>
                </c:pt>
                <c:pt idx="7">
                  <c:v>11.8</c:v>
                </c:pt>
                <c:pt idx="8">
                  <c:v>12.9</c:v>
                </c:pt>
                <c:pt idx="9">
                  <c:v>13</c:v>
                </c:pt>
                <c:pt idx="10">
                  <c:v>13.8</c:v>
                </c:pt>
                <c:pt idx="11">
                  <c:v>14.1</c:v>
                </c:pt>
                <c:pt idx="12">
                  <c:v>14.2</c:v>
                </c:pt>
                <c:pt idx="13">
                  <c:v>15.3</c:v>
                </c:pt>
                <c:pt idx="14">
                  <c:v>15.8</c:v>
                </c:pt>
                <c:pt idx="15">
                  <c:v>15.9</c:v>
                </c:pt>
                <c:pt idx="16">
                  <c:v>16.2</c:v>
                </c:pt>
                <c:pt idx="17">
                  <c:v>16.5</c:v>
                </c:pt>
                <c:pt idx="18">
                  <c:v>16.600000000000001</c:v>
                </c:pt>
                <c:pt idx="19">
                  <c:v>16.899999999999999</c:v>
                </c:pt>
                <c:pt idx="20">
                  <c:v>17</c:v>
                </c:pt>
                <c:pt idx="21">
                  <c:v>17.100000000000001</c:v>
                </c:pt>
                <c:pt idx="22">
                  <c:v>17.8</c:v>
                </c:pt>
                <c:pt idx="23">
                  <c:v>18.100000000000001</c:v>
                </c:pt>
                <c:pt idx="24">
                  <c:v>18.3</c:v>
                </c:pt>
                <c:pt idx="25">
                  <c:v>18.3</c:v>
                </c:pt>
                <c:pt idx="26">
                  <c:v>20</c:v>
                </c:pt>
                <c:pt idx="27">
                  <c:v>21.1</c:v>
                </c:pt>
                <c:pt idx="28">
                  <c:v>23.1</c:v>
                </c:pt>
                <c:pt idx="29">
                  <c:v>23.6</c:v>
                </c:pt>
                <c:pt idx="30">
                  <c:v>25.7</c:v>
                </c:pt>
                <c:pt idx="31">
                  <c:v>26.2</c:v>
                </c:pt>
                <c:pt idx="32">
                  <c:v>26.2</c:v>
                </c:pt>
                <c:pt idx="33">
                  <c:v>27.3</c:v>
                </c:pt>
                <c:pt idx="34">
                  <c:v>31.5</c:v>
                </c:pt>
              </c:numCache>
            </c:numRef>
          </c:val>
        </c:ser>
        <c:dLbls>
          <c:showLegendKey val="0"/>
          <c:showVal val="0"/>
          <c:showCatName val="0"/>
          <c:showSerName val="0"/>
          <c:showPercent val="0"/>
          <c:showBubbleSize val="0"/>
        </c:dLbls>
        <c:gapWidth val="150"/>
        <c:axId val="131270144"/>
        <c:axId val="131271680"/>
      </c:barChart>
      <c:catAx>
        <c:axId val="131270144"/>
        <c:scaling>
          <c:orientation val="minMax"/>
        </c:scaling>
        <c:delete val="0"/>
        <c:axPos val="b"/>
        <c:numFmt formatCode="General" sourceLinked="0"/>
        <c:majorTickMark val="out"/>
        <c:minorTickMark val="none"/>
        <c:tickLblPos val="nextTo"/>
        <c:crossAx val="131271680"/>
        <c:crosses val="autoZero"/>
        <c:auto val="1"/>
        <c:lblAlgn val="ctr"/>
        <c:lblOffset val="100"/>
        <c:noMultiLvlLbl val="0"/>
      </c:catAx>
      <c:valAx>
        <c:axId val="131271680"/>
        <c:scaling>
          <c:orientation val="minMax"/>
          <c:max val="50"/>
        </c:scaling>
        <c:delete val="0"/>
        <c:axPos val="l"/>
        <c:numFmt formatCode="General" sourceLinked="1"/>
        <c:majorTickMark val="out"/>
        <c:minorTickMark val="none"/>
        <c:tickLblPos val="nextTo"/>
        <c:crossAx val="131270144"/>
        <c:crosses val="autoZero"/>
        <c:crossBetween val="between"/>
      </c:valAx>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he-I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bg1">
                <a:lumMod val="95000"/>
              </a:schemeClr>
            </a:solidFill>
            <a:ln>
              <a:solidFill>
                <a:schemeClr val="tx1"/>
              </a:solidFill>
            </a:ln>
          </c:spPr>
          <c:invertIfNegative val="0"/>
          <c:dPt>
            <c:idx val="14"/>
            <c:invertIfNegative val="0"/>
            <c:bubble3D val="0"/>
          </c:dPt>
          <c:dPt>
            <c:idx val="21"/>
            <c:invertIfNegative val="0"/>
            <c:bubble3D val="0"/>
          </c:dPt>
          <c:dPt>
            <c:idx val="22"/>
            <c:invertIfNegative val="0"/>
            <c:bubble3D val="0"/>
            <c:spPr>
              <a:solidFill>
                <a:schemeClr val="tx1">
                  <a:lumMod val="50000"/>
                  <a:lumOff val="50000"/>
                </a:schemeClr>
              </a:solidFill>
              <a:ln>
                <a:solidFill>
                  <a:schemeClr val="tx1"/>
                </a:solidFill>
              </a:ln>
            </c:spPr>
          </c:dPt>
          <c:dPt>
            <c:idx val="32"/>
            <c:invertIfNegative val="0"/>
            <c:bubble3D val="0"/>
            <c:spPr>
              <a:solidFill>
                <a:schemeClr val="tx1"/>
              </a:solidFill>
              <a:ln>
                <a:solidFill>
                  <a:schemeClr val="tx1"/>
                </a:solidFill>
              </a:ln>
            </c:spPr>
          </c:dPt>
          <c:dLbls>
            <c:dLbl>
              <c:idx val="22"/>
              <c:layout>
                <c:manualLayout>
                  <c:x val="-3.941663381947254E-3"/>
                  <c:y val="-0.20957370802572042"/>
                </c:manualLayout>
              </c:layout>
              <c:spPr>
                <a:noFill/>
                <a:ln>
                  <a:noFill/>
                </a:ln>
                <a:effectLst/>
              </c:spPr>
              <c:txPr>
                <a:bodyPr wrap="square" lIns="38100" tIns="19050" rIns="38100" bIns="19050" anchor="ctr">
                  <a:spAutoFit/>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dLbl>
              <c:idx val="32"/>
              <c:layout>
                <c:manualLayout>
                  <c:x val="0"/>
                  <c:y val="-0.10002381519409383"/>
                </c:manualLayout>
              </c:layout>
              <c:spPr>
                <a:noFill/>
                <a:ln>
                  <a:noFill/>
                </a:ln>
                <a:effectLst/>
              </c:spPr>
              <c:txPr>
                <a:bodyPr wrap="square" lIns="38100" tIns="19050" rIns="38100" bIns="19050" anchor="ctr">
                  <a:spAutoFit/>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Sheet1!$A$2:$A$36</c:f>
              <c:strCache>
                <c:ptCount val="35"/>
                <c:pt idx="0">
                  <c:v>יפן</c:v>
                </c:pt>
                <c:pt idx="1">
                  <c:v>קוריאה</c:v>
                </c:pt>
                <c:pt idx="2">
                  <c:v>איסלנד</c:v>
                </c:pt>
                <c:pt idx="3">
                  <c:v>הולנד</c:v>
                </c:pt>
                <c:pt idx="4">
                  <c:v>בלגיה</c:v>
                </c:pt>
                <c:pt idx="5">
                  <c:v>גרמניה</c:v>
                </c:pt>
                <c:pt idx="6">
                  <c:v>שוויץ</c:v>
                </c:pt>
                <c:pt idx="7">
                  <c:v>אירלנד</c:v>
                </c:pt>
                <c:pt idx="8">
                  <c:v>אוסטריה</c:v>
                </c:pt>
                <c:pt idx="9">
                  <c:v>צ'כיה</c:v>
                </c:pt>
                <c:pt idx="10">
                  <c:v>לוקסמבורג</c:v>
                </c:pt>
                <c:pt idx="11">
                  <c:v>נורבגיה</c:v>
                </c:pt>
                <c:pt idx="12">
                  <c:v>הונגריה</c:v>
                </c:pt>
                <c:pt idx="13">
                  <c:v>סלובקיה</c:v>
                </c:pt>
                <c:pt idx="14">
                  <c:v>צ'ילה</c:v>
                </c:pt>
                <c:pt idx="15">
                  <c:v>צרפת</c:v>
                </c:pt>
                <c:pt idx="16">
                  <c:v>דנמרק</c:v>
                </c:pt>
                <c:pt idx="17">
                  <c:v>פינלנד</c:v>
                </c:pt>
                <c:pt idx="18">
                  <c:v>בריטניה</c:v>
                </c:pt>
                <c:pt idx="19">
                  <c:v>שוודיה</c:v>
                </c:pt>
                <c:pt idx="20">
                  <c:v>ארה"ב</c:v>
                </c:pt>
                <c:pt idx="21">
                  <c:v>מקסיקו</c:v>
                </c:pt>
                <c:pt idx="22">
                  <c:v>ממוצע OECD</c:v>
                </c:pt>
                <c:pt idx="23">
                  <c:v>פולין</c:v>
                </c:pt>
                <c:pt idx="24">
                  <c:v>ניו-זילנד</c:v>
                </c:pt>
                <c:pt idx="25">
                  <c:v>סלובניה</c:v>
                </c:pt>
                <c:pt idx="26">
                  <c:v>אוסטרליה</c:v>
                </c:pt>
                <c:pt idx="27">
                  <c:v>קנדה</c:v>
                </c:pt>
                <c:pt idx="28">
                  <c:v>אסטוניה</c:v>
                </c:pt>
                <c:pt idx="29">
                  <c:v>ספרד</c:v>
                </c:pt>
                <c:pt idx="30">
                  <c:v>פורטוגל</c:v>
                </c:pt>
                <c:pt idx="31">
                  <c:v>יוון</c:v>
                </c:pt>
                <c:pt idx="32">
                  <c:v>ישראל</c:v>
                </c:pt>
                <c:pt idx="33">
                  <c:v>איטליה</c:v>
                </c:pt>
                <c:pt idx="34">
                  <c:v>טורקיה</c:v>
                </c:pt>
              </c:strCache>
            </c:strRef>
          </c:cat>
          <c:val>
            <c:numRef>
              <c:f>Sheet1!$B$2:$B$36</c:f>
              <c:numCache>
                <c:formatCode>General</c:formatCode>
                <c:ptCount val="35"/>
                <c:pt idx="0">
                  <c:v>0.8</c:v>
                </c:pt>
                <c:pt idx="1">
                  <c:v>1.4</c:v>
                </c:pt>
                <c:pt idx="2">
                  <c:v>1.5</c:v>
                </c:pt>
                <c:pt idx="3">
                  <c:v>1.7</c:v>
                </c:pt>
                <c:pt idx="4">
                  <c:v>2.1</c:v>
                </c:pt>
                <c:pt idx="5">
                  <c:v>2.2000000000000002</c:v>
                </c:pt>
                <c:pt idx="6">
                  <c:v>2.2999999999999998</c:v>
                </c:pt>
                <c:pt idx="7">
                  <c:v>2.2999999999999998</c:v>
                </c:pt>
                <c:pt idx="8">
                  <c:v>2.8</c:v>
                </c:pt>
                <c:pt idx="9">
                  <c:v>3.2</c:v>
                </c:pt>
                <c:pt idx="10">
                  <c:v>3.2</c:v>
                </c:pt>
                <c:pt idx="11">
                  <c:v>3.3</c:v>
                </c:pt>
                <c:pt idx="12">
                  <c:v>3.4</c:v>
                </c:pt>
                <c:pt idx="13">
                  <c:v>3.8</c:v>
                </c:pt>
                <c:pt idx="14">
                  <c:v>3.9</c:v>
                </c:pt>
                <c:pt idx="15">
                  <c:v>5</c:v>
                </c:pt>
                <c:pt idx="16">
                  <c:v>5.2</c:v>
                </c:pt>
                <c:pt idx="17">
                  <c:v>5.3</c:v>
                </c:pt>
                <c:pt idx="18">
                  <c:v>5.5</c:v>
                </c:pt>
                <c:pt idx="19">
                  <c:v>5.9</c:v>
                </c:pt>
                <c:pt idx="20">
                  <c:v>6.7</c:v>
                </c:pt>
                <c:pt idx="21">
                  <c:v>7.8</c:v>
                </c:pt>
                <c:pt idx="22">
                  <c:v>7.9</c:v>
                </c:pt>
                <c:pt idx="23">
                  <c:v>8.5</c:v>
                </c:pt>
                <c:pt idx="24">
                  <c:v>8.8000000000000007</c:v>
                </c:pt>
                <c:pt idx="25">
                  <c:v>9.1</c:v>
                </c:pt>
                <c:pt idx="26">
                  <c:v>9.6999999999999993</c:v>
                </c:pt>
                <c:pt idx="27">
                  <c:v>10.1</c:v>
                </c:pt>
                <c:pt idx="28">
                  <c:v>10.4</c:v>
                </c:pt>
                <c:pt idx="29">
                  <c:v>11.4</c:v>
                </c:pt>
                <c:pt idx="30">
                  <c:v>12.9</c:v>
                </c:pt>
                <c:pt idx="31">
                  <c:v>14.1</c:v>
                </c:pt>
                <c:pt idx="32">
                  <c:v>15.2</c:v>
                </c:pt>
                <c:pt idx="33">
                  <c:v>16.100000000000001</c:v>
                </c:pt>
                <c:pt idx="34">
                  <c:v>31.9</c:v>
                </c:pt>
              </c:numCache>
            </c:numRef>
          </c:val>
        </c:ser>
        <c:dLbls>
          <c:showLegendKey val="0"/>
          <c:showVal val="0"/>
          <c:showCatName val="0"/>
          <c:showSerName val="0"/>
          <c:showPercent val="0"/>
          <c:showBubbleSize val="0"/>
        </c:dLbls>
        <c:gapWidth val="150"/>
        <c:axId val="131323776"/>
        <c:axId val="131325312"/>
      </c:barChart>
      <c:catAx>
        <c:axId val="131323776"/>
        <c:scaling>
          <c:orientation val="minMax"/>
        </c:scaling>
        <c:delete val="0"/>
        <c:axPos val="b"/>
        <c:numFmt formatCode="General" sourceLinked="0"/>
        <c:majorTickMark val="out"/>
        <c:minorTickMark val="none"/>
        <c:tickLblPos val="nextTo"/>
        <c:crossAx val="131325312"/>
        <c:crosses val="autoZero"/>
        <c:auto val="1"/>
        <c:lblAlgn val="ctr"/>
        <c:lblOffset val="100"/>
        <c:noMultiLvlLbl val="0"/>
      </c:catAx>
      <c:valAx>
        <c:axId val="131325312"/>
        <c:scaling>
          <c:orientation val="minMax"/>
          <c:max val="50"/>
        </c:scaling>
        <c:delete val="0"/>
        <c:axPos val="l"/>
        <c:numFmt formatCode="General" sourceLinked="1"/>
        <c:majorTickMark val="out"/>
        <c:minorTickMark val="none"/>
        <c:tickLblPos val="nextTo"/>
        <c:crossAx val="131323776"/>
        <c:crosses val="autoZero"/>
        <c:crossBetween val="between"/>
      </c:valAx>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he-IL"/>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bg1">
                <a:lumMod val="95000"/>
              </a:schemeClr>
            </a:solidFill>
            <a:ln>
              <a:solidFill>
                <a:schemeClr val="tx1"/>
              </a:solidFill>
            </a:ln>
          </c:spPr>
          <c:invertIfNegative val="0"/>
          <c:dPt>
            <c:idx val="4"/>
            <c:invertIfNegative val="0"/>
            <c:bubble3D val="0"/>
            <c:spPr>
              <a:solidFill>
                <a:schemeClr val="tx1"/>
              </a:solidFill>
              <a:ln>
                <a:solidFill>
                  <a:schemeClr val="tx1"/>
                </a:solidFill>
              </a:ln>
            </c:spPr>
          </c:dPt>
          <c:dPt>
            <c:idx val="14"/>
            <c:invertIfNegative val="0"/>
            <c:bubble3D val="0"/>
          </c:dPt>
          <c:dPt>
            <c:idx val="18"/>
            <c:invertIfNegative val="0"/>
            <c:bubble3D val="0"/>
            <c:spPr>
              <a:solidFill>
                <a:schemeClr val="tx1">
                  <a:lumMod val="50000"/>
                  <a:lumOff val="50000"/>
                </a:schemeClr>
              </a:solidFill>
              <a:ln>
                <a:solidFill>
                  <a:schemeClr val="tx1"/>
                </a:solidFill>
              </a:ln>
            </c:spPr>
          </c:dPt>
          <c:dPt>
            <c:idx val="21"/>
            <c:invertIfNegative val="0"/>
            <c:bubble3D val="0"/>
          </c:dPt>
          <c:dLbls>
            <c:dLbl>
              <c:idx val="4"/>
              <c:layout>
                <c:manualLayout>
                  <c:x val="-1.8065748470189978E-17"/>
                  <c:y val="-0.29968066814050609"/>
                </c:manualLayout>
              </c:layout>
              <c:spPr>
                <a:noFill/>
                <a:ln>
                  <a:noFill/>
                </a:ln>
                <a:effectLst/>
              </c:spPr>
              <c:txPr>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dLbl>
              <c:idx val="18"/>
              <c:layout>
                <c:manualLayout>
                  <c:x val="0"/>
                  <c:y val="-0.13264554163596168"/>
                </c:manualLayout>
              </c:layout>
              <c:spPr>
                <a:noFill/>
                <a:ln>
                  <a:noFill/>
                </a:ln>
                <a:effectLst/>
              </c:spPr>
              <c:txPr>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700"/>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Sheet1!$A$2:$A$36</c:f>
              <c:strCache>
                <c:ptCount val="35"/>
                <c:pt idx="0">
                  <c:v>אוסטריה</c:v>
                </c:pt>
                <c:pt idx="1">
                  <c:v>שוויץ</c:v>
                </c:pt>
                <c:pt idx="2">
                  <c:v>ספרד</c:v>
                </c:pt>
                <c:pt idx="3">
                  <c:v>איסלנד</c:v>
                </c:pt>
                <c:pt idx="4">
                  <c:v>ישראל</c:v>
                </c:pt>
                <c:pt idx="5">
                  <c:v>גרמניה</c:v>
                </c:pt>
                <c:pt idx="6">
                  <c:v>הונגריה</c:v>
                </c:pt>
                <c:pt idx="7">
                  <c:v>לוקסמבורג</c:v>
                </c:pt>
                <c:pt idx="8">
                  <c:v>צ'ילה</c:v>
                </c:pt>
                <c:pt idx="9">
                  <c:v>הולנד</c:v>
                </c:pt>
                <c:pt idx="10">
                  <c:v>נורבגיה</c:v>
                </c:pt>
                <c:pt idx="11">
                  <c:v>מקסיקו</c:v>
                </c:pt>
                <c:pt idx="12">
                  <c:v>פורטוגל</c:v>
                </c:pt>
                <c:pt idx="13">
                  <c:v>בלגיה</c:v>
                </c:pt>
                <c:pt idx="14">
                  <c:v>בריטניה</c:v>
                </c:pt>
                <c:pt idx="15">
                  <c:v>טורקיה</c:v>
                </c:pt>
                <c:pt idx="16">
                  <c:v>אירלנד</c:v>
                </c:pt>
                <c:pt idx="17">
                  <c:v>סלובניה</c:v>
                </c:pt>
                <c:pt idx="18">
                  <c:v>ממוצע OECD</c:v>
                </c:pt>
                <c:pt idx="19">
                  <c:v>דנמרק</c:v>
                </c:pt>
                <c:pt idx="20">
                  <c:v>ארה"ב</c:v>
                </c:pt>
                <c:pt idx="21">
                  <c:v>קנדה</c:v>
                </c:pt>
                <c:pt idx="22">
                  <c:v>שוודיה</c:v>
                </c:pt>
                <c:pt idx="23">
                  <c:v>ניו-זילנד</c:v>
                </c:pt>
                <c:pt idx="24">
                  <c:v>אוסטרליה</c:v>
                </c:pt>
                <c:pt idx="25">
                  <c:v>צרפת</c:v>
                </c:pt>
                <c:pt idx="26">
                  <c:v>פינלנד</c:v>
                </c:pt>
                <c:pt idx="27">
                  <c:v>יוון</c:v>
                </c:pt>
                <c:pt idx="28">
                  <c:v>איטליה</c:v>
                </c:pt>
                <c:pt idx="29">
                  <c:v>יפן</c:v>
                </c:pt>
                <c:pt idx="30">
                  <c:v>סלובקיה</c:v>
                </c:pt>
                <c:pt idx="31">
                  <c:v>אסטוניה</c:v>
                </c:pt>
                <c:pt idx="32">
                  <c:v>קוריאה</c:v>
                </c:pt>
                <c:pt idx="33">
                  <c:v>פולין</c:v>
                </c:pt>
                <c:pt idx="34">
                  <c:v>צ'כיה</c:v>
                </c:pt>
              </c:strCache>
            </c:strRef>
          </c:cat>
          <c:val>
            <c:numRef>
              <c:f>Sheet1!$B$2:$B$36</c:f>
              <c:numCache>
                <c:formatCode>General</c:formatCode>
                <c:ptCount val="35"/>
                <c:pt idx="0">
                  <c:v>18.100000000000001</c:v>
                </c:pt>
                <c:pt idx="1">
                  <c:v>19</c:v>
                </c:pt>
                <c:pt idx="2">
                  <c:v>21.1</c:v>
                </c:pt>
                <c:pt idx="3">
                  <c:v>23.8</c:v>
                </c:pt>
                <c:pt idx="4">
                  <c:v>23.9</c:v>
                </c:pt>
                <c:pt idx="5">
                  <c:v>24.6</c:v>
                </c:pt>
                <c:pt idx="6">
                  <c:v>26.8</c:v>
                </c:pt>
                <c:pt idx="7">
                  <c:v>28.9</c:v>
                </c:pt>
                <c:pt idx="8">
                  <c:v>29.1</c:v>
                </c:pt>
                <c:pt idx="9">
                  <c:v>30.2</c:v>
                </c:pt>
                <c:pt idx="10">
                  <c:v>30.4</c:v>
                </c:pt>
                <c:pt idx="11">
                  <c:v>31</c:v>
                </c:pt>
                <c:pt idx="12">
                  <c:v>31.6</c:v>
                </c:pt>
                <c:pt idx="13">
                  <c:v>32.299999999999997</c:v>
                </c:pt>
                <c:pt idx="14">
                  <c:v>32.9</c:v>
                </c:pt>
                <c:pt idx="15">
                  <c:v>32.9</c:v>
                </c:pt>
                <c:pt idx="16">
                  <c:v>34.299999999999997</c:v>
                </c:pt>
                <c:pt idx="17">
                  <c:v>35.4</c:v>
                </c:pt>
                <c:pt idx="18">
                  <c:v>35.799999999999997</c:v>
                </c:pt>
                <c:pt idx="19">
                  <c:v>35.9</c:v>
                </c:pt>
                <c:pt idx="20">
                  <c:v>35.9</c:v>
                </c:pt>
                <c:pt idx="21">
                  <c:v>36.4</c:v>
                </c:pt>
                <c:pt idx="22">
                  <c:v>36.6</c:v>
                </c:pt>
                <c:pt idx="23">
                  <c:v>38</c:v>
                </c:pt>
                <c:pt idx="24">
                  <c:v>38.700000000000003</c:v>
                </c:pt>
                <c:pt idx="25">
                  <c:v>38.9</c:v>
                </c:pt>
                <c:pt idx="26">
                  <c:v>40.9</c:v>
                </c:pt>
                <c:pt idx="27">
                  <c:v>41.5</c:v>
                </c:pt>
                <c:pt idx="28">
                  <c:v>42.2</c:v>
                </c:pt>
                <c:pt idx="29">
                  <c:v>44.2</c:v>
                </c:pt>
                <c:pt idx="30">
                  <c:v>46.6</c:v>
                </c:pt>
                <c:pt idx="31">
                  <c:v>46.6</c:v>
                </c:pt>
                <c:pt idx="32">
                  <c:v>47.4</c:v>
                </c:pt>
                <c:pt idx="33">
                  <c:v>49.8</c:v>
                </c:pt>
                <c:pt idx="34">
                  <c:v>49.9</c:v>
                </c:pt>
              </c:numCache>
            </c:numRef>
          </c:val>
        </c:ser>
        <c:dLbls>
          <c:showLegendKey val="0"/>
          <c:showVal val="0"/>
          <c:showCatName val="0"/>
          <c:showSerName val="0"/>
          <c:showPercent val="0"/>
          <c:showBubbleSize val="0"/>
        </c:dLbls>
        <c:gapWidth val="150"/>
        <c:axId val="131794048"/>
        <c:axId val="131795584"/>
      </c:barChart>
      <c:catAx>
        <c:axId val="131794048"/>
        <c:scaling>
          <c:orientation val="minMax"/>
        </c:scaling>
        <c:delete val="0"/>
        <c:axPos val="b"/>
        <c:numFmt formatCode="General" sourceLinked="0"/>
        <c:majorTickMark val="out"/>
        <c:minorTickMark val="none"/>
        <c:tickLblPos val="nextTo"/>
        <c:crossAx val="131795584"/>
        <c:crosses val="autoZero"/>
        <c:auto val="1"/>
        <c:lblAlgn val="ctr"/>
        <c:lblOffset val="100"/>
        <c:noMultiLvlLbl val="0"/>
      </c:catAx>
      <c:valAx>
        <c:axId val="131795584"/>
        <c:scaling>
          <c:orientation val="minMax"/>
          <c:max val="50"/>
        </c:scaling>
        <c:delete val="0"/>
        <c:axPos val="l"/>
        <c:numFmt formatCode="General" sourceLinked="1"/>
        <c:majorTickMark val="out"/>
        <c:minorTickMark val="none"/>
        <c:tickLblPos val="nextTo"/>
        <c:crossAx val="131794048"/>
        <c:crosses val="autoZero"/>
        <c:crossBetween val="between"/>
      </c:valAx>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he-IL"/>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bg1">
                <a:lumMod val="95000"/>
              </a:schemeClr>
            </a:solidFill>
            <a:ln>
              <a:solidFill>
                <a:schemeClr val="tx1"/>
              </a:solidFill>
            </a:ln>
          </c:spPr>
          <c:invertIfNegative val="0"/>
          <c:dPt>
            <c:idx val="14"/>
            <c:invertIfNegative val="0"/>
            <c:bubble3D val="0"/>
          </c:dPt>
          <c:dPt>
            <c:idx val="16"/>
            <c:invertIfNegative val="0"/>
            <c:bubble3D val="0"/>
            <c:spPr>
              <a:solidFill>
                <a:schemeClr val="tx1"/>
              </a:solidFill>
              <a:ln>
                <a:solidFill>
                  <a:schemeClr val="tx1"/>
                </a:solidFill>
              </a:ln>
            </c:spPr>
          </c:dPt>
          <c:dPt>
            <c:idx val="20"/>
            <c:invertIfNegative val="0"/>
            <c:bubble3D val="0"/>
            <c:spPr>
              <a:solidFill>
                <a:schemeClr val="tx1">
                  <a:lumMod val="50000"/>
                  <a:lumOff val="50000"/>
                </a:schemeClr>
              </a:solidFill>
              <a:ln>
                <a:solidFill>
                  <a:schemeClr val="tx1"/>
                </a:solidFill>
              </a:ln>
            </c:spPr>
          </c:dPt>
          <c:dPt>
            <c:idx val="21"/>
            <c:invertIfNegative val="0"/>
            <c:bubble3D val="0"/>
          </c:dPt>
          <c:dLbls>
            <c:dLbl>
              <c:idx val="16"/>
              <c:layout>
                <c:manualLayout>
                  <c:x val="0"/>
                  <c:y val="-0.14289116456299122"/>
                </c:manualLayout>
              </c:layout>
              <c:spPr>
                <a:noFill/>
                <a:ln>
                  <a:noFill/>
                </a:ln>
                <a:effectLst/>
              </c:spPr>
              <c:txPr>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dLbl>
              <c:idx val="20"/>
              <c:layout>
                <c:manualLayout>
                  <c:x val="0"/>
                  <c:y val="-0.12860204810669207"/>
                </c:manualLayout>
              </c:layout>
              <c:spPr>
                <a:noFill/>
                <a:ln>
                  <a:noFill/>
                </a:ln>
                <a:effectLst/>
              </c:spPr>
              <c:txPr>
                <a:bodyPr/>
                <a:lstStyle/>
                <a:p>
                  <a:pPr>
                    <a:defRPr sz="1000" b="1"/>
                  </a:pPr>
                  <a:endParaRPr lang="he-IL"/>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700"/>
                </a:pPr>
                <a:endParaRPr lang="he-IL"/>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Sheet1!$A$2:$A$36</c:f>
              <c:strCache>
                <c:ptCount val="35"/>
                <c:pt idx="0">
                  <c:v>צ'ילה</c:v>
                </c:pt>
                <c:pt idx="1">
                  <c:v>מקסיקו</c:v>
                </c:pt>
                <c:pt idx="2">
                  <c:v>פורטוגל</c:v>
                </c:pt>
                <c:pt idx="3">
                  <c:v>בריטניה</c:v>
                </c:pt>
                <c:pt idx="4">
                  <c:v>ספרד</c:v>
                </c:pt>
                <c:pt idx="5">
                  <c:v>איסלנד</c:v>
                </c:pt>
                <c:pt idx="6">
                  <c:v>אירלנד</c:v>
                </c:pt>
                <c:pt idx="7">
                  <c:v>ארה"ב</c:v>
                </c:pt>
                <c:pt idx="8">
                  <c:v>אוסטריה</c:v>
                </c:pt>
                <c:pt idx="9">
                  <c:v>ניו-זילנד</c:v>
                </c:pt>
                <c:pt idx="10">
                  <c:v>הונגריה</c:v>
                </c:pt>
                <c:pt idx="11">
                  <c:v>אוסטרליה</c:v>
                </c:pt>
                <c:pt idx="12">
                  <c:v>קנדה</c:v>
                </c:pt>
                <c:pt idx="13">
                  <c:v>שוויץ</c:v>
                </c:pt>
                <c:pt idx="14">
                  <c:v>דנמרק</c:v>
                </c:pt>
                <c:pt idx="15">
                  <c:v>טורקיה</c:v>
                </c:pt>
                <c:pt idx="16">
                  <c:v>ישראל</c:v>
                </c:pt>
                <c:pt idx="17">
                  <c:v>סלובניה</c:v>
                </c:pt>
                <c:pt idx="18">
                  <c:v>גרמניה</c:v>
                </c:pt>
                <c:pt idx="19">
                  <c:v>אסטוניה</c:v>
                </c:pt>
                <c:pt idx="20">
                  <c:v>ממוצע OECD</c:v>
                </c:pt>
                <c:pt idx="21">
                  <c:v>צרפת</c:v>
                </c:pt>
                <c:pt idx="22">
                  <c:v>שוודיה</c:v>
                </c:pt>
                <c:pt idx="23">
                  <c:v>איטליה</c:v>
                </c:pt>
                <c:pt idx="24">
                  <c:v>פינלנד</c:v>
                </c:pt>
                <c:pt idx="25">
                  <c:v>לוקסמבורג</c:v>
                </c:pt>
                <c:pt idx="26">
                  <c:v>בלגיה</c:v>
                </c:pt>
                <c:pt idx="27">
                  <c:v>נורבגיה</c:v>
                </c:pt>
                <c:pt idx="28">
                  <c:v>צ'כיה</c:v>
                </c:pt>
                <c:pt idx="29">
                  <c:v>יוון</c:v>
                </c:pt>
                <c:pt idx="30">
                  <c:v>הולנד</c:v>
                </c:pt>
                <c:pt idx="31">
                  <c:v>סלובקיה</c:v>
                </c:pt>
                <c:pt idx="32">
                  <c:v>קוריאה</c:v>
                </c:pt>
                <c:pt idx="33">
                  <c:v>יפן</c:v>
                </c:pt>
                <c:pt idx="34">
                  <c:v>פולין</c:v>
                </c:pt>
              </c:strCache>
            </c:strRef>
          </c:cat>
          <c:val>
            <c:numRef>
              <c:f>Sheet1!$B$2:$B$36</c:f>
              <c:numCache>
                <c:formatCode>General</c:formatCode>
                <c:ptCount val="35"/>
                <c:pt idx="0">
                  <c:v>12.8</c:v>
                </c:pt>
                <c:pt idx="1">
                  <c:v>13.6</c:v>
                </c:pt>
                <c:pt idx="2">
                  <c:v>15.2</c:v>
                </c:pt>
                <c:pt idx="3">
                  <c:v>17.100000000000001</c:v>
                </c:pt>
                <c:pt idx="4">
                  <c:v>17.600000000000001</c:v>
                </c:pt>
                <c:pt idx="5">
                  <c:v>17.7</c:v>
                </c:pt>
                <c:pt idx="6">
                  <c:v>18.3</c:v>
                </c:pt>
                <c:pt idx="7">
                  <c:v>18.3</c:v>
                </c:pt>
                <c:pt idx="8">
                  <c:v>18.600000000000001</c:v>
                </c:pt>
                <c:pt idx="9">
                  <c:v>18.600000000000001</c:v>
                </c:pt>
                <c:pt idx="10">
                  <c:v>19.5</c:v>
                </c:pt>
                <c:pt idx="11">
                  <c:v>20.6</c:v>
                </c:pt>
                <c:pt idx="12">
                  <c:v>20.8</c:v>
                </c:pt>
                <c:pt idx="13">
                  <c:v>20.9</c:v>
                </c:pt>
                <c:pt idx="14">
                  <c:v>21</c:v>
                </c:pt>
                <c:pt idx="15">
                  <c:v>21.4</c:v>
                </c:pt>
                <c:pt idx="16">
                  <c:v>22</c:v>
                </c:pt>
                <c:pt idx="17">
                  <c:v>22.7</c:v>
                </c:pt>
                <c:pt idx="18">
                  <c:v>22.8</c:v>
                </c:pt>
                <c:pt idx="19">
                  <c:v>22.9</c:v>
                </c:pt>
                <c:pt idx="20">
                  <c:v>23</c:v>
                </c:pt>
                <c:pt idx="21">
                  <c:v>23</c:v>
                </c:pt>
                <c:pt idx="22">
                  <c:v>23.2</c:v>
                </c:pt>
                <c:pt idx="23">
                  <c:v>23.7</c:v>
                </c:pt>
                <c:pt idx="24">
                  <c:v>24.2</c:v>
                </c:pt>
                <c:pt idx="25">
                  <c:v>24.9</c:v>
                </c:pt>
                <c:pt idx="26">
                  <c:v>29.5</c:v>
                </c:pt>
                <c:pt idx="27">
                  <c:v>30.3</c:v>
                </c:pt>
                <c:pt idx="28">
                  <c:v>30.6</c:v>
                </c:pt>
                <c:pt idx="29">
                  <c:v>35.299999999999997</c:v>
                </c:pt>
                <c:pt idx="30">
                  <c:v>35.6</c:v>
                </c:pt>
                <c:pt idx="31">
                  <c:v>36.200000000000003</c:v>
                </c:pt>
                <c:pt idx="32">
                  <c:v>37</c:v>
                </c:pt>
                <c:pt idx="33">
                  <c:v>40.799999999999997</c:v>
                </c:pt>
                <c:pt idx="34">
                  <c:v>42.7</c:v>
                </c:pt>
              </c:numCache>
            </c:numRef>
          </c:val>
        </c:ser>
        <c:dLbls>
          <c:showLegendKey val="0"/>
          <c:showVal val="0"/>
          <c:showCatName val="0"/>
          <c:showSerName val="0"/>
          <c:showPercent val="0"/>
          <c:showBubbleSize val="0"/>
        </c:dLbls>
        <c:gapWidth val="150"/>
        <c:axId val="131844352"/>
        <c:axId val="131854336"/>
      </c:barChart>
      <c:catAx>
        <c:axId val="131844352"/>
        <c:scaling>
          <c:orientation val="minMax"/>
        </c:scaling>
        <c:delete val="0"/>
        <c:axPos val="b"/>
        <c:numFmt formatCode="General" sourceLinked="0"/>
        <c:majorTickMark val="out"/>
        <c:minorTickMark val="none"/>
        <c:tickLblPos val="nextTo"/>
        <c:crossAx val="131854336"/>
        <c:crosses val="autoZero"/>
        <c:auto val="1"/>
        <c:lblAlgn val="ctr"/>
        <c:lblOffset val="100"/>
        <c:noMultiLvlLbl val="0"/>
      </c:catAx>
      <c:valAx>
        <c:axId val="131854336"/>
        <c:scaling>
          <c:orientation val="minMax"/>
          <c:max val="50"/>
        </c:scaling>
        <c:delete val="0"/>
        <c:axPos val="l"/>
        <c:numFmt formatCode="General" sourceLinked="1"/>
        <c:majorTickMark val="out"/>
        <c:minorTickMark val="none"/>
        <c:tickLblPos val="nextTo"/>
        <c:crossAx val="131844352"/>
        <c:crosses val="autoZero"/>
        <c:crossBetween val="between"/>
      </c:valAx>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he-IL"/>
    </a:p>
  </c:txPr>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0.48482</cdr:x>
      <cdr:y>0.29293</cdr:y>
    </cdr:from>
    <cdr:to>
      <cdr:x>0.48482</cdr:x>
      <cdr:y>0.4251</cdr:y>
    </cdr:to>
    <cdr:cxnSp macro="">
      <cdr:nvCxnSpPr>
        <cdr:cNvPr id="3" name="Straight Arrow Connector 2"/>
        <cdr:cNvCxnSpPr/>
      </cdr:nvCxnSpPr>
      <cdr:spPr>
        <a:xfrm xmlns:a="http://schemas.openxmlformats.org/drawingml/2006/main">
          <a:off x="3124200" y="781050"/>
          <a:ext cx="1" cy="352425"/>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DF9CE-4951-47C6-88E1-E68C7BF9B30B}"/>
</file>

<file path=customXml/itemProps2.xml><?xml version="1.0" encoding="utf-8"?>
<ds:datastoreItem xmlns:ds="http://schemas.openxmlformats.org/officeDocument/2006/customXml" ds:itemID="{F05BD285-D334-4272-BCFD-0D7F1CC1C802}"/>
</file>

<file path=customXml/itemProps3.xml><?xml version="1.0" encoding="utf-8"?>
<ds:datastoreItem xmlns:ds="http://schemas.openxmlformats.org/officeDocument/2006/customXml" ds:itemID="{C5237A99-DC4D-4D3C-BE69-FDBEC49444F4}"/>
</file>

<file path=customXml/itemProps4.xml><?xml version="1.0" encoding="utf-8"?>
<ds:datastoreItem xmlns:ds="http://schemas.openxmlformats.org/officeDocument/2006/customXml" ds:itemID="{CB70D8D8-F156-4531-8626-F92CEC74D853}"/>
</file>

<file path=docProps/app.xml><?xml version="1.0" encoding="utf-8"?>
<Properties xmlns="http://schemas.openxmlformats.org/officeDocument/2006/extended-properties" xmlns:vt="http://schemas.openxmlformats.org/officeDocument/2006/docPropsVTypes">
  <Template>Brook Hebrew</Template>
  <TotalTime>0</TotalTime>
  <Pages>6</Pages>
  <Words>3436</Words>
  <Characters>18661</Characters>
  <Application>Microsoft Office Word</Application>
  <DocSecurity>0</DocSecurity>
  <Lines>424</Lines>
  <Paragraphs>176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JDC in Israel</Company>
  <LinksUpToDate>false</LinksUpToDate>
  <CharactersWithSpaces>21921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נשירה סמויה </dc:title>
  <dc:creator>Ruth Baruj</dc:creator>
  <cp:lastModifiedBy>עאליה עודה</cp:lastModifiedBy>
  <cp:revision>3</cp:revision>
  <cp:lastPrinted>2014-07-10T06:24:00Z</cp:lastPrinted>
  <dcterms:created xsi:type="dcterms:W3CDTF">2014-07-14T06:07:00Z</dcterms:created>
  <dcterms:modified xsi:type="dcterms:W3CDTF">2014-07-14T13:38:00Z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7" name="ContentTypeId">
    <vt:lpwstr>0x010100F931E205BBB08441AEFFEBF8ABB23DF1</vt:lpwstr>
  </property>
  <property fmtid="{D5CDD505-2E9C-101B-9397-08002B2CF9AE}" pid="9" name="ContentType">
    <vt:lpwstr>ועדה לקידום הילד - Dept_v_Yeled</vt:lpwstr>
  </property>
  <property fmtid="{D5CDD505-2E9C-101B-9397-08002B2CF9AE}" pid="10" name="SDCategoryID">
    <vt:lpwstr>7f73964d143a;#</vt:lpwstr>
  </property>
  <property fmtid="{D5CDD505-2E9C-101B-9397-08002B2CF9AE}" pid="11" name="z">
    <vt:lpwstr>#RowsetSchema</vt:lpwstr>
  </property>
  <property fmtid="{D5CDD505-2E9C-101B-9397-08002B2CF9AE}" pid="12" name="FileLeafRef">
    <vt:lpwstr>1936;#03064114.docx</vt:lpwstr>
  </property>
  <property fmtid="{D5CDD505-2E9C-101B-9397-08002B2CF9AE}" pid="13" name="Modified_x0020_By">
    <vt:lpwstr>LAN_KNESSET\kaz_alia</vt:lpwstr>
  </property>
  <property fmtid="{D5CDD505-2E9C-101B-9397-08002B2CF9AE}" pid="14" name="Created_x0020_By">
    <vt:lpwstr>LAN_KNESSET\kaz_alia</vt:lpwstr>
  </property>
  <property fmtid="{D5CDD505-2E9C-101B-9397-08002B2CF9AE}" pid="15" name="File_x0020_Type">
    <vt:lpwstr>docx</vt:lpwstr>
  </property>
  <property fmtid="{D5CDD505-2E9C-101B-9397-08002B2CF9AE}" pid="16" name="AutoNumber">
    <vt:lpwstr>03064114</vt:lpwstr>
  </property>
  <property fmtid="{D5CDD505-2E9C-101B-9397-08002B2CF9AE}" pid="17" name="SDCategories">
    <vt:lpwstr>:ועדות:ועדה לקידום הילד:זכויות הילד כנסת 19:חומר רקע שהועבר לוועדה;#</vt:lpwstr>
  </property>
  <property fmtid="{D5CDD505-2E9C-101B-9397-08002B2CF9AE}" pid="18" name="SDAuthor">
    <vt:lpwstr>עאליה עודה</vt:lpwstr>
  </property>
  <property fmtid="{D5CDD505-2E9C-101B-9397-08002B2CF9AE}" pid="19" name="SDDocDate">
    <vt:lpwstr>14/07/2014</vt:lpwstr>
  </property>
  <property fmtid="{D5CDD505-2E9C-101B-9397-08002B2CF9AE}" pid="20" name="SDHebDate">
    <vt:lpwstr>ט"ז בתמוז, התשע"ד</vt:lpwstr>
  </property>
  <property fmtid="{D5CDD505-2E9C-101B-9397-08002B2CF9AE}" pid="21" name="SDImportance">
    <vt:lpwstr>0</vt:lpwstr>
  </property>
  <property fmtid="{D5CDD505-2E9C-101B-9397-08002B2CF9AE}" pid="22" name="SDDocumentSource">
    <vt:lpwstr>OfficeAddIn</vt:lpwstr>
  </property>
  <property fmtid="{D5CDD505-2E9C-101B-9397-08002B2CF9AE}" pid="23" name="ID">
    <vt:lpwstr>1936</vt:lpwstr>
  </property>
  <property fmtid="{D5CDD505-2E9C-101B-9397-08002B2CF9AE}" pid="24" name="Created">
    <vt:lpwstr>14/07/2014</vt:lpwstr>
  </property>
  <property fmtid="{D5CDD505-2E9C-101B-9397-08002B2CF9AE}" pid="25" name="Author">
    <vt:lpwstr>227;#עאליה עודה</vt:lpwstr>
  </property>
  <property fmtid="{D5CDD505-2E9C-101B-9397-08002B2CF9AE}" pid="26" name="Modified">
    <vt:lpwstr>14/07/2014</vt:lpwstr>
  </property>
  <property fmtid="{D5CDD505-2E9C-101B-9397-08002B2CF9AE}" pid="27" name="Editor">
    <vt:lpwstr>227;#עאליה עודה</vt:lpwstr>
  </property>
  <property fmtid="{D5CDD505-2E9C-101B-9397-08002B2CF9AE}" pid="28" name="_ModerationStatus">
    <vt:lpwstr>0</vt:lpwstr>
  </property>
  <property fmtid="{D5CDD505-2E9C-101B-9397-08002B2CF9AE}" pid="29" name="FileRef">
    <vt:lpwstr>1936;#sites/VEADOT/KidomHayeled/DocLib1/DocLib1 automatically created by sharedocs 1/03064114.docx</vt:lpwstr>
  </property>
  <property fmtid="{D5CDD505-2E9C-101B-9397-08002B2CF9AE}" pid="30" name="FileDirRef">
    <vt:lpwstr>1936;#sites/VEADOT/KidomHayeled/DocLib1/DocLib1 automatically created by sharedocs 1</vt:lpwstr>
  </property>
  <property fmtid="{D5CDD505-2E9C-101B-9397-08002B2CF9AE}" pid="31" name="Last_x0020_Modified">
    <vt:lpwstr>1936;#2014-07-14 09:39:03</vt:lpwstr>
  </property>
  <property fmtid="{D5CDD505-2E9C-101B-9397-08002B2CF9AE}" pid="32" name="Created_x0020_Date">
    <vt:lpwstr>1936;#2014-07-14 09:39:03</vt:lpwstr>
  </property>
  <property fmtid="{D5CDD505-2E9C-101B-9397-08002B2CF9AE}" pid="33" name="File_x0020_Size">
    <vt:lpwstr>1936;#306376</vt:lpwstr>
  </property>
  <property fmtid="{D5CDD505-2E9C-101B-9397-08002B2CF9AE}" pid="34" name="FSObjType">
    <vt:lpwstr>1936;#0</vt:lpwstr>
  </property>
  <property fmtid="{D5CDD505-2E9C-101B-9397-08002B2CF9AE}" pid="35" name="PermMask">
    <vt:lpwstr>0x7fffffffffffffff</vt:lpwstr>
  </property>
  <property fmtid="{D5CDD505-2E9C-101B-9397-08002B2CF9AE}" pid="36" name="CheckedOutUserId">
    <vt:lpwstr>1936;#</vt:lpwstr>
  </property>
  <property fmtid="{D5CDD505-2E9C-101B-9397-08002B2CF9AE}" pid="37" name="IsCheckedoutToLocal">
    <vt:lpwstr>1936;#0</vt:lpwstr>
  </property>
  <property fmtid="{D5CDD505-2E9C-101B-9397-08002B2CF9AE}" pid="38" name="UniqueId">
    <vt:lpwstr>1936;#{6E91D43A-1B11-4F8D-B46D-6C4CBD1965E0}</vt:lpwstr>
  </property>
  <property fmtid="{D5CDD505-2E9C-101B-9397-08002B2CF9AE}" pid="39" name="ProgId">
    <vt:lpwstr>1936;#</vt:lpwstr>
  </property>
  <property fmtid="{D5CDD505-2E9C-101B-9397-08002B2CF9AE}" pid="40" name="ScopeId">
    <vt:lpwstr>1936;#{1A218678-2C70-4EFA-A92A-2F6F5DA90F5E}</vt:lpwstr>
  </property>
  <property fmtid="{D5CDD505-2E9C-101B-9397-08002B2CF9AE}" pid="41" name="VirusStatus">
    <vt:lpwstr>1936;#306376</vt:lpwstr>
  </property>
  <property fmtid="{D5CDD505-2E9C-101B-9397-08002B2CF9AE}" pid="42" name="CheckedOutTitle">
    <vt:lpwstr>1936;#</vt:lpwstr>
  </property>
  <property fmtid="{D5CDD505-2E9C-101B-9397-08002B2CF9AE}" pid="43" name="_CheckinComment">
    <vt:lpwstr>1936;#</vt:lpwstr>
  </property>
  <property fmtid="{D5CDD505-2E9C-101B-9397-08002B2CF9AE}" pid="44" name="_EditMenuTableStart">
    <vt:lpwstr>03064114.docx</vt:lpwstr>
  </property>
  <property fmtid="{D5CDD505-2E9C-101B-9397-08002B2CF9AE}" pid="45" name="_EditMenuTableEnd">
    <vt:lpwstr>1936</vt:lpwstr>
  </property>
  <property fmtid="{D5CDD505-2E9C-101B-9397-08002B2CF9AE}" pid="46" name="LinkFilenameNoMenu">
    <vt:lpwstr>03064114.docx</vt:lpwstr>
  </property>
  <property fmtid="{D5CDD505-2E9C-101B-9397-08002B2CF9AE}" pid="47" name="LinkFilename">
    <vt:lpwstr>03064114.docx</vt:lpwstr>
  </property>
  <property fmtid="{D5CDD505-2E9C-101B-9397-08002B2CF9AE}" pid="48" name="DocIcon">
    <vt:lpwstr>docx</vt:lpwstr>
  </property>
  <property fmtid="{D5CDD505-2E9C-101B-9397-08002B2CF9AE}" pid="49" name="ServerUrl">
    <vt:lpwstr>/sites/VEADOT/KidomHayeled/DocLib1/DocLib1 automatically created by sharedocs 1/03064114.docx</vt:lpwstr>
  </property>
  <property fmtid="{D5CDD505-2E9C-101B-9397-08002B2CF9AE}" pid="50" name="EncodedAbsUrl">
    <vt:lpwstr>http://sd3portal/sites/VEADOT/KidomHayeled/DocLib1/DocLib1%20automatically%20created%20by%20sharedocs%201/03064114.docx</vt:lpwstr>
  </property>
  <property fmtid="{D5CDD505-2E9C-101B-9397-08002B2CF9AE}" pid="51" name="BaseName">
    <vt:lpwstr>03064114</vt:lpwstr>
  </property>
  <property fmtid="{D5CDD505-2E9C-101B-9397-08002B2CF9AE}" pid="52" name="FileSizeDisplay">
    <vt:lpwstr>306376</vt:lpwstr>
  </property>
  <property fmtid="{D5CDD505-2E9C-101B-9397-08002B2CF9AE}" pid="53" name="MetaInfo">
    <vt:lpwstr>1936;#vti_parserversion:SR|12.0.0.6662
_Category:EW|
_AuthorEmail:SW|DaliaB@jdc.org
SDLastSigningDate:EW|
NoseB:EW|
MechaberMismach:EW|
SDAuthor:SW|עאליה עודה
SDOfflineTo:EW|
vti_author:SR|LAN_KNESSET\\kaz_alia
SDDocumentSource:SW|OfficeAddIn
From:EW|
To1</vt:lpwstr>
  </property>
  <property fmtid="{D5CDD505-2E9C-101B-9397-08002B2CF9AE}" pid="54" name="_Level">
    <vt:lpwstr>1</vt:lpwstr>
  </property>
  <property fmtid="{D5CDD505-2E9C-101B-9397-08002B2CF9AE}" pid="55" name="_IsCurrentVersion">
    <vt:lpwstr>1</vt:lpwstr>
  </property>
  <property fmtid="{D5CDD505-2E9C-101B-9397-08002B2CF9AE}" pid="56" name="SelectTitle">
    <vt:lpwstr>1936</vt:lpwstr>
  </property>
  <property fmtid="{D5CDD505-2E9C-101B-9397-08002B2CF9AE}" pid="57" name="SelectFilename">
    <vt:lpwstr>1936</vt:lpwstr>
  </property>
  <property fmtid="{D5CDD505-2E9C-101B-9397-08002B2CF9AE}" pid="58" name="Edit">
    <vt:lpwstr>0</vt:lpwstr>
  </property>
  <property fmtid="{D5CDD505-2E9C-101B-9397-08002B2CF9AE}" pid="59" name="owshiddenversion">
    <vt:lpwstr>1</vt:lpwstr>
  </property>
  <property fmtid="{D5CDD505-2E9C-101B-9397-08002B2CF9AE}" pid="60" name="_UIVersion">
    <vt:lpwstr>512</vt:lpwstr>
  </property>
  <property fmtid="{D5CDD505-2E9C-101B-9397-08002B2CF9AE}" pid="61" name="_UIVersionString">
    <vt:lpwstr>1.0</vt:lpwstr>
  </property>
  <property fmtid="{D5CDD505-2E9C-101B-9397-08002B2CF9AE}" pid="62" name="Order">
    <vt:lpwstr>193600.000000000</vt:lpwstr>
  </property>
  <property fmtid="{D5CDD505-2E9C-101B-9397-08002B2CF9AE}" pid="63" name="GUID">
    <vt:lpwstr>{636AC5CF-F8CB-4136-8E94-25C490247F37}</vt:lpwstr>
  </property>
  <property fmtid="{D5CDD505-2E9C-101B-9397-08002B2CF9AE}" pid="64" name="WorkflowVersion">
    <vt:lpwstr>1</vt:lpwstr>
  </property>
  <property fmtid="{D5CDD505-2E9C-101B-9397-08002B2CF9AE}" pid="65" name="ParentVersionString">
    <vt:lpwstr>1936;#</vt:lpwstr>
  </property>
  <property fmtid="{D5CDD505-2E9C-101B-9397-08002B2CF9AE}" pid="66" name="ParentLeafName">
    <vt:lpwstr>1936;#</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1936;#2014-07-14 09:39:03</vt:lpwstr>
  </property>
  <property fmtid="{D5CDD505-2E9C-101B-9397-08002B2CF9AE}" pid="71" name="Created Date">
    <vt:lpwstr>1936;#2014-07-14 09:39:03</vt:lpwstr>
  </property>
  <property fmtid="{D5CDD505-2E9C-101B-9397-08002B2CF9AE}" pid="72" name="Created By">
    <vt:lpwstr>LAN_KNESSET\kaz_alia</vt:lpwstr>
  </property>
  <property fmtid="{D5CDD505-2E9C-101B-9397-08002B2CF9AE}" pid="73" name="File Type">
    <vt:lpwstr>docx</vt:lpwstr>
  </property>
  <property fmtid="{D5CDD505-2E9C-101B-9397-08002B2CF9AE}" pid="74" name="File Size">
    <vt:lpwstr>1936;#306376</vt:lpwstr>
  </property>
  <property fmtid="{D5CDD505-2E9C-101B-9397-08002B2CF9AE}" pid="75" name="Modified By">
    <vt:lpwstr>LAN_KNESSET\kaz_alia</vt:lpwstr>
  </property>
</Properties>
</file>