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EE2" w:rsidRDefault="00787EE2" w:rsidP="003861E0">
      <w:pPr>
        <w:spacing w:line="360" w:lineRule="auto"/>
        <w:jc w:val="center"/>
        <w:rPr>
          <w:rFonts w:cs="David" w:hint="cs"/>
          <w:b/>
          <w:bCs/>
          <w:sz w:val="24"/>
          <w:szCs w:val="24"/>
          <w:u w:val="single"/>
          <w:rtl/>
        </w:rPr>
      </w:pPr>
      <w:bookmarkStart w:id="0" w:name="_GoBack"/>
      <w:bookmarkEnd w:id="0"/>
    </w:p>
    <w:p w:rsidR="00787EE2" w:rsidRPr="004B3CF7" w:rsidRDefault="004B3CF7" w:rsidP="00F85747">
      <w:pPr>
        <w:spacing w:line="360" w:lineRule="auto"/>
        <w:jc w:val="center"/>
        <w:rPr>
          <w:rFonts w:cs="David"/>
          <w:b/>
          <w:bCs/>
          <w:sz w:val="24"/>
          <w:szCs w:val="24"/>
          <w:u w:val="single"/>
          <w:rtl/>
        </w:rPr>
      </w:pPr>
      <w:r w:rsidRPr="004B3CF7">
        <w:rPr>
          <w:rFonts w:cs="David" w:hint="cs"/>
          <w:b/>
          <w:bCs/>
          <w:sz w:val="24"/>
          <w:szCs w:val="24"/>
          <w:u w:val="single"/>
          <w:rtl/>
        </w:rPr>
        <w:t xml:space="preserve">רקע לדיון בוועדה </w:t>
      </w:r>
      <w:r w:rsidRPr="004B3CF7">
        <w:rPr>
          <w:rFonts w:cs="David"/>
          <w:b/>
          <w:bCs/>
          <w:sz w:val="24"/>
          <w:szCs w:val="24"/>
          <w:u w:val="single"/>
          <w:rtl/>
        </w:rPr>
        <w:t>–</w:t>
      </w:r>
      <w:r w:rsidRPr="004B3CF7">
        <w:rPr>
          <w:rFonts w:cs="David" w:hint="cs"/>
          <w:b/>
          <w:bCs/>
          <w:sz w:val="24"/>
          <w:szCs w:val="24"/>
          <w:u w:val="single"/>
          <w:rtl/>
        </w:rPr>
        <w:t xml:space="preserve"> הצעת חוק הסיוע המשפ</w:t>
      </w:r>
      <w:r w:rsidR="00787EE2" w:rsidRPr="004B3CF7">
        <w:rPr>
          <w:rFonts w:cs="David" w:hint="cs"/>
          <w:b/>
          <w:bCs/>
          <w:sz w:val="24"/>
          <w:szCs w:val="24"/>
          <w:u w:val="single"/>
          <w:rtl/>
        </w:rPr>
        <w:t>טי (תיקון מס' 12) (סיוע משפטי לחושפי מעשי שחיתות, עבירות ופגיעה בטוהר המידות או במי</w:t>
      </w:r>
      <w:r w:rsidR="004070AC">
        <w:rPr>
          <w:rFonts w:cs="David" w:hint="cs"/>
          <w:b/>
          <w:bCs/>
          <w:sz w:val="24"/>
          <w:szCs w:val="24"/>
          <w:u w:val="single"/>
          <w:rtl/>
        </w:rPr>
        <w:t>נהל התקין, במקום עבודתם), התשע"ה</w:t>
      </w:r>
      <w:r w:rsidR="00787EE2" w:rsidRPr="004B3CF7">
        <w:rPr>
          <w:rFonts w:cs="David" w:hint="cs"/>
          <w:b/>
          <w:bCs/>
          <w:sz w:val="24"/>
          <w:szCs w:val="24"/>
          <w:u w:val="single"/>
          <w:rtl/>
        </w:rPr>
        <w:t>-2014</w:t>
      </w:r>
      <w:r w:rsidR="00F85747">
        <w:rPr>
          <w:rFonts w:cs="David" w:hint="cs"/>
          <w:b/>
          <w:bCs/>
          <w:sz w:val="24"/>
          <w:szCs w:val="24"/>
          <w:u w:val="single"/>
          <w:rtl/>
        </w:rPr>
        <w:t xml:space="preserve"> </w:t>
      </w:r>
      <w:r w:rsidR="0092355D">
        <w:rPr>
          <w:rFonts w:cs="David"/>
          <w:b/>
          <w:bCs/>
          <w:sz w:val="24"/>
          <w:szCs w:val="24"/>
          <w:u w:val="single"/>
          <w:rtl/>
        </w:rPr>
        <w:t>–</w:t>
      </w:r>
      <w:r w:rsidR="0092355D">
        <w:rPr>
          <w:rFonts w:cs="David" w:hint="cs"/>
          <w:b/>
          <w:bCs/>
          <w:sz w:val="24"/>
          <w:szCs w:val="24"/>
          <w:u w:val="single"/>
          <w:rtl/>
        </w:rPr>
        <w:t xml:space="preserve"> הכנה לקריאה שנייה ושלישית</w:t>
      </w:r>
    </w:p>
    <w:tbl>
      <w:tblPr>
        <w:tblStyle w:val="a4"/>
        <w:tblpPr w:leftFromText="180" w:rightFromText="180" w:vertAnchor="page" w:horzAnchor="page" w:tblpX="5641" w:tblpY="81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9"/>
        <w:gridCol w:w="3119"/>
      </w:tblGrid>
      <w:tr w:rsidR="00787EE2" w:rsidTr="000B7724">
        <w:tc>
          <w:tcPr>
            <w:tcW w:w="759" w:type="dxa"/>
          </w:tcPr>
          <w:p w:rsidR="00787EE2" w:rsidRDefault="00787EE2" w:rsidP="003861E0">
            <w:pPr>
              <w:pStyle w:val="big-header"/>
              <w:spacing w:before="0" w:after="0" w:line="360" w:lineRule="auto"/>
              <w:ind w:left="0"/>
              <w:jc w:val="both"/>
              <w:rPr>
                <w:rFonts w:cs="David"/>
                <w:sz w:val="12"/>
                <w:szCs w:val="24"/>
                <w:rtl/>
              </w:rPr>
            </w:pPr>
            <w:r w:rsidRPr="004026D7">
              <w:rPr>
                <w:rFonts w:cs="David" w:hint="cs"/>
                <w:sz w:val="12"/>
                <w:szCs w:val="24"/>
                <w:u w:val="single"/>
                <w:rtl/>
              </w:rPr>
              <w:t>אל</w:t>
            </w:r>
            <w:r w:rsidRPr="00500589">
              <w:rPr>
                <w:rFonts w:cs="David" w:hint="cs"/>
                <w:sz w:val="12"/>
                <w:szCs w:val="24"/>
                <w:rtl/>
              </w:rPr>
              <w:t>:</w:t>
            </w:r>
          </w:p>
        </w:tc>
        <w:tc>
          <w:tcPr>
            <w:tcW w:w="3119" w:type="dxa"/>
          </w:tcPr>
          <w:p w:rsidR="00787EE2" w:rsidRDefault="00787EE2" w:rsidP="003861E0">
            <w:pPr>
              <w:pStyle w:val="big-header"/>
              <w:spacing w:before="0" w:after="0" w:line="360" w:lineRule="auto"/>
              <w:ind w:left="0"/>
              <w:jc w:val="both"/>
              <w:rPr>
                <w:rFonts w:cs="David"/>
                <w:sz w:val="12"/>
                <w:szCs w:val="24"/>
                <w:rtl/>
              </w:rPr>
            </w:pPr>
            <w:r w:rsidRPr="00500589">
              <w:rPr>
                <w:rFonts w:cs="David" w:hint="cs"/>
                <w:sz w:val="12"/>
                <w:szCs w:val="24"/>
                <w:rtl/>
              </w:rPr>
              <w:t xml:space="preserve">חברי ועדת החוקה, חוק ומשפט </w:t>
            </w:r>
          </w:p>
        </w:tc>
      </w:tr>
      <w:tr w:rsidR="00787EE2" w:rsidTr="000B7724">
        <w:tc>
          <w:tcPr>
            <w:tcW w:w="759" w:type="dxa"/>
          </w:tcPr>
          <w:p w:rsidR="00787EE2" w:rsidRDefault="00787EE2" w:rsidP="003861E0">
            <w:pPr>
              <w:pStyle w:val="big-header"/>
              <w:spacing w:before="0" w:after="0" w:line="360" w:lineRule="auto"/>
              <w:ind w:left="0"/>
              <w:jc w:val="both"/>
              <w:rPr>
                <w:rFonts w:cs="David"/>
                <w:sz w:val="12"/>
                <w:szCs w:val="24"/>
                <w:rtl/>
              </w:rPr>
            </w:pPr>
            <w:r w:rsidRPr="004026D7">
              <w:rPr>
                <w:rFonts w:cs="David" w:hint="cs"/>
                <w:sz w:val="12"/>
                <w:szCs w:val="24"/>
                <w:u w:val="single"/>
                <w:rtl/>
              </w:rPr>
              <w:t>מאת</w:t>
            </w:r>
            <w:r w:rsidRPr="00500589">
              <w:rPr>
                <w:rFonts w:cs="David" w:hint="cs"/>
                <w:sz w:val="12"/>
                <w:szCs w:val="24"/>
                <w:rtl/>
              </w:rPr>
              <w:t>:</w:t>
            </w:r>
          </w:p>
        </w:tc>
        <w:tc>
          <w:tcPr>
            <w:tcW w:w="3119" w:type="dxa"/>
          </w:tcPr>
          <w:p w:rsidR="00787EE2" w:rsidRPr="00A00D18" w:rsidRDefault="00787EE2" w:rsidP="003861E0">
            <w:pPr>
              <w:spacing w:line="360" w:lineRule="auto"/>
              <w:rPr>
                <w:rFonts w:cs="David"/>
                <w:b/>
                <w:bCs/>
                <w:sz w:val="24"/>
                <w:szCs w:val="24"/>
                <w:u w:val="single"/>
                <w:rtl/>
              </w:rPr>
            </w:pPr>
            <w:r w:rsidRPr="00500589">
              <w:rPr>
                <w:rFonts w:cs="David" w:hint="cs"/>
                <w:sz w:val="12"/>
                <w:szCs w:val="24"/>
                <w:rtl/>
              </w:rPr>
              <w:t>הייעוץ המשפטי לוועדה</w:t>
            </w:r>
          </w:p>
        </w:tc>
      </w:tr>
    </w:tbl>
    <w:p w:rsidR="004B3CF7" w:rsidRDefault="00057E29" w:rsidP="00F85747">
      <w:pPr>
        <w:spacing w:line="360" w:lineRule="auto"/>
        <w:jc w:val="both"/>
        <w:rPr>
          <w:rFonts w:cs="David"/>
          <w:sz w:val="24"/>
          <w:szCs w:val="24"/>
          <w:rtl/>
        </w:rPr>
      </w:pPr>
      <w:r>
        <w:rPr>
          <w:rFonts w:cs="David" w:hint="cs"/>
          <w:sz w:val="24"/>
          <w:szCs w:val="24"/>
          <w:rtl/>
        </w:rPr>
        <w:t xml:space="preserve">הצעת חוק </w:t>
      </w:r>
      <w:r w:rsidR="004B3CF7">
        <w:rPr>
          <w:rFonts w:cs="David" w:hint="cs"/>
          <w:sz w:val="24"/>
          <w:szCs w:val="24"/>
          <w:rtl/>
        </w:rPr>
        <w:t>ממשלתית (מ/</w:t>
      </w:r>
      <w:r>
        <w:rPr>
          <w:rFonts w:cs="David" w:hint="cs"/>
          <w:sz w:val="24"/>
          <w:szCs w:val="24"/>
          <w:rtl/>
        </w:rPr>
        <w:t>865) והצעת חוק פרטית (פ/</w:t>
      </w:r>
      <w:r w:rsidR="00B03141">
        <w:rPr>
          <w:rFonts w:cs="David" w:hint="cs"/>
          <w:sz w:val="24"/>
          <w:szCs w:val="24"/>
          <w:rtl/>
        </w:rPr>
        <w:t>2171/19</w:t>
      </w:r>
      <w:r>
        <w:rPr>
          <w:rFonts w:cs="David" w:hint="cs"/>
          <w:sz w:val="24"/>
          <w:szCs w:val="24"/>
          <w:rtl/>
        </w:rPr>
        <w:t>) של חברי</w:t>
      </w:r>
      <w:r w:rsidR="0068326F">
        <w:rPr>
          <w:rFonts w:cs="David" w:hint="cs"/>
          <w:sz w:val="24"/>
          <w:szCs w:val="24"/>
          <w:rtl/>
        </w:rPr>
        <w:t xml:space="preserve"> הכנסת מיקי רוזנטל ומשה מזרחי.</w:t>
      </w:r>
    </w:p>
    <w:p w:rsidR="00B03141" w:rsidRPr="008A616C" w:rsidRDefault="00B03141" w:rsidP="003861E0">
      <w:pPr>
        <w:spacing w:line="360" w:lineRule="auto"/>
        <w:jc w:val="both"/>
        <w:rPr>
          <w:rFonts w:cs="David"/>
          <w:b/>
          <w:bCs/>
          <w:sz w:val="24"/>
          <w:szCs w:val="24"/>
          <w:u w:val="single"/>
          <w:rtl/>
        </w:rPr>
      </w:pPr>
      <w:r w:rsidRPr="008A616C">
        <w:rPr>
          <w:rFonts w:cs="David" w:hint="cs"/>
          <w:b/>
          <w:bCs/>
          <w:sz w:val="24"/>
          <w:szCs w:val="24"/>
          <w:u w:val="single"/>
          <w:rtl/>
        </w:rPr>
        <w:t>רקע</w:t>
      </w:r>
    </w:p>
    <w:p w:rsidR="00B41BAD" w:rsidRDefault="00B03141" w:rsidP="00662245">
      <w:pPr>
        <w:spacing w:line="360" w:lineRule="auto"/>
        <w:jc w:val="both"/>
        <w:rPr>
          <w:rFonts w:cs="David"/>
          <w:sz w:val="24"/>
          <w:szCs w:val="24"/>
          <w:rtl/>
        </w:rPr>
      </w:pPr>
      <w:r>
        <w:rPr>
          <w:rFonts w:cs="David" w:hint="cs"/>
          <w:sz w:val="24"/>
          <w:szCs w:val="24"/>
          <w:rtl/>
        </w:rPr>
        <w:t>חוק הסיוע המשפטי</w:t>
      </w:r>
      <w:r w:rsidR="00AC0B2C">
        <w:rPr>
          <w:rFonts w:cs="David" w:hint="cs"/>
          <w:sz w:val="24"/>
          <w:szCs w:val="24"/>
          <w:rtl/>
        </w:rPr>
        <w:t>, התשל"ב-1972 (</w:t>
      </w:r>
      <w:r w:rsidR="00DB6D70">
        <w:rPr>
          <w:rFonts w:cs="David" w:hint="cs"/>
          <w:sz w:val="24"/>
          <w:szCs w:val="24"/>
          <w:rtl/>
        </w:rPr>
        <w:t xml:space="preserve">להלן </w:t>
      </w:r>
      <w:r w:rsidR="00DB6D70">
        <w:rPr>
          <w:rFonts w:cs="David"/>
          <w:sz w:val="24"/>
          <w:szCs w:val="24"/>
          <w:rtl/>
        </w:rPr>
        <w:t>–</w:t>
      </w:r>
      <w:r w:rsidR="00DB6D70">
        <w:rPr>
          <w:rFonts w:cs="David" w:hint="cs"/>
          <w:sz w:val="24"/>
          <w:szCs w:val="24"/>
          <w:rtl/>
        </w:rPr>
        <w:t xml:space="preserve"> </w:t>
      </w:r>
      <w:r w:rsidR="00AC0B2C">
        <w:rPr>
          <w:rFonts w:cs="David" w:hint="cs"/>
          <w:sz w:val="24"/>
          <w:szCs w:val="24"/>
          <w:rtl/>
        </w:rPr>
        <w:t xml:space="preserve">"חוק הסיוע המשפטי") </w:t>
      </w:r>
      <w:r w:rsidR="0046340A">
        <w:rPr>
          <w:rFonts w:cs="David" w:hint="cs"/>
          <w:sz w:val="24"/>
          <w:szCs w:val="24"/>
          <w:rtl/>
        </w:rPr>
        <w:t>קובע</w:t>
      </w:r>
      <w:r w:rsidR="00AC0B2C">
        <w:rPr>
          <w:rFonts w:cs="David" w:hint="cs"/>
          <w:sz w:val="24"/>
          <w:szCs w:val="24"/>
          <w:rtl/>
        </w:rPr>
        <w:t xml:space="preserve"> את המסגרת להקמת לשכות סיוע משפטי</w:t>
      </w:r>
      <w:r w:rsidR="00B41BAD">
        <w:rPr>
          <w:rFonts w:cs="David" w:hint="cs"/>
          <w:sz w:val="24"/>
          <w:szCs w:val="24"/>
          <w:rtl/>
        </w:rPr>
        <w:t>. הלשכו</w:t>
      </w:r>
      <w:r w:rsidR="00DD087E">
        <w:rPr>
          <w:rFonts w:cs="David" w:hint="cs"/>
          <w:sz w:val="24"/>
          <w:szCs w:val="24"/>
          <w:rtl/>
        </w:rPr>
        <w:t>ת יתנו שירות משפטי למי שידו אינה</w:t>
      </w:r>
      <w:r w:rsidR="00B41BAD">
        <w:rPr>
          <w:rFonts w:cs="David" w:hint="cs"/>
          <w:sz w:val="24"/>
          <w:szCs w:val="24"/>
          <w:rtl/>
        </w:rPr>
        <w:t xml:space="preserve"> משגת לשאת בעלות השירות לפי מבחן </w:t>
      </w:r>
      <w:r w:rsidR="000C0D8A">
        <w:rPr>
          <w:rFonts w:cs="David" w:hint="cs"/>
          <w:sz w:val="24"/>
          <w:szCs w:val="24"/>
          <w:rtl/>
        </w:rPr>
        <w:t>יכולת כלכלית</w:t>
      </w:r>
      <w:r w:rsidR="00B41BAD">
        <w:rPr>
          <w:rFonts w:cs="David" w:hint="cs"/>
          <w:sz w:val="24"/>
          <w:szCs w:val="24"/>
          <w:rtl/>
        </w:rPr>
        <w:t xml:space="preserve">, וכן, יוענקו שירותים משפטיים גם ללא בדיקה של יכולת כלכלית במקרים מסוימים שנקבעו בתוספת לחוק. </w:t>
      </w:r>
    </w:p>
    <w:p w:rsidR="00DB6D70" w:rsidRDefault="000C0D8A" w:rsidP="003861E0">
      <w:pPr>
        <w:spacing w:line="360" w:lineRule="auto"/>
        <w:jc w:val="both"/>
        <w:rPr>
          <w:rFonts w:cs="David"/>
          <w:sz w:val="24"/>
          <w:szCs w:val="24"/>
          <w:rtl/>
        </w:rPr>
      </w:pPr>
      <w:r>
        <w:rPr>
          <w:rFonts w:cs="David" w:hint="cs"/>
          <w:sz w:val="24"/>
          <w:szCs w:val="24"/>
          <w:rtl/>
        </w:rPr>
        <w:t>על המקרים שנקבעו בתוספת, שבהם יינתנו שירותים משפטיים גם ללא בדיקת יכולת כלכלית, נמנים</w:t>
      </w:r>
      <w:r w:rsidR="00B41BAD">
        <w:rPr>
          <w:rFonts w:cs="David" w:hint="cs"/>
          <w:sz w:val="24"/>
          <w:szCs w:val="24"/>
          <w:rtl/>
        </w:rPr>
        <w:t>, בין השאר,</w:t>
      </w:r>
      <w:r>
        <w:rPr>
          <w:rFonts w:cs="David" w:hint="cs"/>
          <w:sz w:val="24"/>
          <w:szCs w:val="24"/>
          <w:rtl/>
        </w:rPr>
        <w:t xml:space="preserve"> המקרים הבאים: </w:t>
      </w:r>
      <w:r w:rsidR="00DD087E">
        <w:rPr>
          <w:rFonts w:cs="David" w:hint="cs"/>
          <w:sz w:val="24"/>
          <w:szCs w:val="24"/>
          <w:rtl/>
        </w:rPr>
        <w:t>ייצוג ב</w:t>
      </w:r>
      <w:r w:rsidR="00D00FD8">
        <w:rPr>
          <w:rFonts w:cs="David" w:hint="cs"/>
          <w:sz w:val="24"/>
          <w:szCs w:val="24"/>
          <w:rtl/>
        </w:rPr>
        <w:t>הליכים שונים</w:t>
      </w:r>
      <w:r w:rsidR="00DD087E">
        <w:rPr>
          <w:rFonts w:cs="David" w:hint="cs"/>
          <w:sz w:val="24"/>
          <w:szCs w:val="24"/>
          <w:rtl/>
        </w:rPr>
        <w:t xml:space="preserve"> לפי חוק הכניסה לישראל</w:t>
      </w:r>
      <w:r w:rsidR="00787EE2">
        <w:rPr>
          <w:rFonts w:cs="David" w:hint="cs"/>
          <w:sz w:val="24"/>
          <w:szCs w:val="24"/>
          <w:rtl/>
        </w:rPr>
        <w:t>, התשי"ב-1952</w:t>
      </w:r>
      <w:r w:rsidR="00D00FD8">
        <w:rPr>
          <w:rFonts w:cs="David" w:hint="cs"/>
          <w:sz w:val="24"/>
          <w:szCs w:val="24"/>
          <w:rtl/>
        </w:rPr>
        <w:t xml:space="preserve"> לגבי </w:t>
      </w:r>
      <w:r>
        <w:rPr>
          <w:rFonts w:cs="David" w:hint="cs"/>
          <w:sz w:val="24"/>
          <w:szCs w:val="24"/>
          <w:rtl/>
        </w:rPr>
        <w:t xml:space="preserve">אדם שנעברה נגדו עבירה של החזקה בתנאי עבדות או סחר בבני אדם; </w:t>
      </w:r>
      <w:r w:rsidR="00D00FD8">
        <w:rPr>
          <w:rFonts w:cs="David" w:hint="cs"/>
          <w:sz w:val="24"/>
          <w:szCs w:val="24"/>
          <w:rtl/>
        </w:rPr>
        <w:t xml:space="preserve">ייצוג </w:t>
      </w:r>
      <w:r w:rsidR="00DD087E">
        <w:rPr>
          <w:rFonts w:cs="David" w:hint="cs"/>
          <w:sz w:val="24"/>
          <w:szCs w:val="24"/>
          <w:rtl/>
        </w:rPr>
        <w:t>בהליכים שנקבעו לגבי</w:t>
      </w:r>
      <w:r w:rsidR="0059267E">
        <w:rPr>
          <w:rFonts w:cs="David" w:hint="cs"/>
          <w:sz w:val="24"/>
          <w:szCs w:val="24"/>
          <w:rtl/>
        </w:rPr>
        <w:t xml:space="preserve"> </w:t>
      </w:r>
      <w:r w:rsidR="00D00FD8">
        <w:rPr>
          <w:rFonts w:cs="David" w:hint="cs"/>
          <w:sz w:val="24"/>
          <w:szCs w:val="24"/>
          <w:rtl/>
        </w:rPr>
        <w:t xml:space="preserve">חולה המאושפז לפי החוק לטיפול בחולי נפש, התשנ"א-1991; </w:t>
      </w:r>
      <w:r w:rsidR="0059267E">
        <w:rPr>
          <w:rFonts w:cs="David" w:hint="cs"/>
          <w:sz w:val="24"/>
          <w:szCs w:val="24"/>
          <w:rtl/>
        </w:rPr>
        <w:t xml:space="preserve">ייצוג בהליכים מסוימים של </w:t>
      </w:r>
      <w:r w:rsidR="00D00FD8">
        <w:rPr>
          <w:rFonts w:cs="David" w:hint="cs"/>
          <w:sz w:val="24"/>
          <w:szCs w:val="24"/>
          <w:rtl/>
        </w:rPr>
        <w:t>קטין שבן משפחתו הגיש בקשה למתן צו הגנה מפניו לפי החוק למניעת אלימות במשפחה, התשנ"א-1991</w:t>
      </w:r>
      <w:r w:rsidR="0059267E">
        <w:rPr>
          <w:rFonts w:cs="David" w:hint="cs"/>
          <w:sz w:val="24"/>
          <w:szCs w:val="24"/>
          <w:rtl/>
        </w:rPr>
        <w:t>;</w:t>
      </w:r>
      <w:r>
        <w:rPr>
          <w:rFonts w:cs="David" w:hint="cs"/>
          <w:sz w:val="24"/>
          <w:szCs w:val="24"/>
          <w:rtl/>
        </w:rPr>
        <w:t xml:space="preserve"> </w:t>
      </w:r>
      <w:r w:rsidR="0059267E">
        <w:rPr>
          <w:rFonts w:cs="David" w:hint="cs"/>
          <w:sz w:val="24"/>
          <w:szCs w:val="24"/>
          <w:rtl/>
        </w:rPr>
        <w:t>מתן ייעוץ ראשוני לאדם בעניין זכאותו לקבלת תגמולים כניצול שואה ועוד.</w:t>
      </w:r>
    </w:p>
    <w:p w:rsidR="00B03141" w:rsidRPr="008A616C" w:rsidRDefault="008A616C" w:rsidP="003861E0">
      <w:pPr>
        <w:spacing w:line="360" w:lineRule="auto"/>
        <w:jc w:val="both"/>
        <w:rPr>
          <w:rFonts w:cs="David"/>
          <w:b/>
          <w:bCs/>
          <w:sz w:val="24"/>
          <w:szCs w:val="24"/>
          <w:u w:val="single"/>
          <w:rtl/>
        </w:rPr>
      </w:pPr>
      <w:r w:rsidRPr="008A616C">
        <w:rPr>
          <w:rFonts w:cs="David" w:hint="cs"/>
          <w:b/>
          <w:bCs/>
          <w:sz w:val="24"/>
          <w:szCs w:val="24"/>
          <w:u w:val="single"/>
          <w:rtl/>
        </w:rPr>
        <w:t>הצעת החוק</w:t>
      </w:r>
    </w:p>
    <w:p w:rsidR="004626B2" w:rsidRDefault="004626B2" w:rsidP="003861E0">
      <w:pPr>
        <w:spacing w:line="360" w:lineRule="auto"/>
        <w:jc w:val="both"/>
        <w:rPr>
          <w:rFonts w:cs="David"/>
          <w:sz w:val="24"/>
          <w:szCs w:val="24"/>
          <w:rtl/>
        </w:rPr>
      </w:pPr>
      <w:r>
        <w:rPr>
          <w:rFonts w:cs="David" w:hint="cs"/>
          <w:sz w:val="24"/>
          <w:szCs w:val="24"/>
          <w:rtl/>
        </w:rPr>
        <w:t>בהצעת החוק מוצע לקבוע מקרים נוספים שבהם יינתן סיוע משפטי ללא מבחן של יכולת כלכלית, שעניינם סיוע לעובד שחשף מעשי שחיתות או שהתלונן על התנהלות בלתי תקינה במקום עבודתו.</w:t>
      </w:r>
      <w:r w:rsidR="0048777A">
        <w:rPr>
          <w:rFonts w:cs="David" w:hint="cs"/>
          <w:sz w:val="24"/>
          <w:szCs w:val="24"/>
          <w:rtl/>
        </w:rPr>
        <w:t xml:space="preserve"> </w:t>
      </w:r>
    </w:p>
    <w:p w:rsidR="002C1027" w:rsidRDefault="002C1027" w:rsidP="002C1027">
      <w:pPr>
        <w:spacing w:line="360" w:lineRule="auto"/>
        <w:jc w:val="both"/>
        <w:rPr>
          <w:rFonts w:cs="David"/>
          <w:sz w:val="24"/>
          <w:szCs w:val="24"/>
          <w:rtl/>
        </w:rPr>
      </w:pPr>
      <w:r>
        <w:rPr>
          <w:rFonts w:cs="David" w:hint="cs"/>
          <w:sz w:val="24"/>
          <w:szCs w:val="24"/>
          <w:rtl/>
        </w:rPr>
        <w:t xml:space="preserve">ההצעה תחול על עובדים במגזר הפרטי והציבורי כאחד. </w:t>
      </w:r>
    </w:p>
    <w:p w:rsidR="002C1027" w:rsidRDefault="002C1027" w:rsidP="002C1027">
      <w:pPr>
        <w:spacing w:line="360" w:lineRule="auto"/>
        <w:jc w:val="both"/>
        <w:rPr>
          <w:rFonts w:cs="David"/>
          <w:sz w:val="24"/>
          <w:szCs w:val="24"/>
          <w:rtl/>
        </w:rPr>
      </w:pPr>
      <w:r>
        <w:rPr>
          <w:rFonts w:cs="David" w:hint="cs"/>
          <w:sz w:val="24"/>
          <w:szCs w:val="24"/>
          <w:rtl/>
        </w:rPr>
        <w:t>מתן הסיוע המשפטי יהיה כפוף לסעיף 4 לחוק הסיוע המשפטי, שקובע כי הסיוע יינתן רק אם נמצא כי יש סיכוי משפטי להליך.</w:t>
      </w:r>
      <w:r>
        <w:rPr>
          <w:rStyle w:val="ab"/>
          <w:rFonts w:cs="David"/>
          <w:sz w:val="24"/>
          <w:szCs w:val="24"/>
          <w:rtl/>
        </w:rPr>
        <w:footnoteReference w:id="1"/>
      </w:r>
    </w:p>
    <w:p w:rsidR="00F01917" w:rsidRDefault="004626B2" w:rsidP="003861E0">
      <w:pPr>
        <w:spacing w:line="360" w:lineRule="auto"/>
        <w:jc w:val="both"/>
        <w:rPr>
          <w:rFonts w:cs="David"/>
          <w:sz w:val="24"/>
          <w:szCs w:val="24"/>
          <w:rtl/>
        </w:rPr>
      </w:pPr>
      <w:r>
        <w:rPr>
          <w:rFonts w:cs="David" w:hint="cs"/>
          <w:sz w:val="24"/>
          <w:szCs w:val="24"/>
          <w:rtl/>
        </w:rPr>
        <w:t xml:space="preserve">ואלו המקרים בהם מוצע </w:t>
      </w:r>
      <w:r w:rsidR="002C1027">
        <w:rPr>
          <w:rFonts w:cs="David" w:hint="cs"/>
          <w:sz w:val="24"/>
          <w:szCs w:val="24"/>
          <w:rtl/>
        </w:rPr>
        <w:t xml:space="preserve">לפי הצעת החוק </w:t>
      </w:r>
      <w:r>
        <w:rPr>
          <w:rFonts w:cs="David" w:hint="cs"/>
          <w:sz w:val="24"/>
          <w:szCs w:val="24"/>
          <w:rtl/>
        </w:rPr>
        <w:t>לתת סיוע משפטי:</w:t>
      </w:r>
    </w:p>
    <w:p w:rsidR="00662DB2" w:rsidRDefault="00662DB2" w:rsidP="003E08FC">
      <w:pPr>
        <w:pStyle w:val="a3"/>
        <w:numPr>
          <w:ilvl w:val="0"/>
          <w:numId w:val="1"/>
        </w:numPr>
        <w:spacing w:line="360" w:lineRule="auto"/>
        <w:ind w:left="357"/>
        <w:contextualSpacing w:val="0"/>
        <w:jc w:val="both"/>
        <w:rPr>
          <w:rFonts w:cs="David"/>
          <w:sz w:val="24"/>
          <w:szCs w:val="24"/>
        </w:rPr>
      </w:pPr>
      <w:r>
        <w:rPr>
          <w:rFonts w:cs="David" w:hint="cs"/>
          <w:sz w:val="24"/>
          <w:szCs w:val="24"/>
          <w:rtl/>
        </w:rPr>
        <w:t xml:space="preserve">סיוע משפטי </w:t>
      </w:r>
      <w:r w:rsidRPr="00BC2621">
        <w:rPr>
          <w:rFonts w:cs="David" w:hint="cs"/>
          <w:b/>
          <w:bCs/>
          <w:sz w:val="24"/>
          <w:szCs w:val="24"/>
          <w:rtl/>
        </w:rPr>
        <w:t xml:space="preserve">בהליך </w:t>
      </w:r>
      <w:r w:rsidR="00BC2621" w:rsidRPr="00BC2621">
        <w:rPr>
          <w:rFonts w:cs="David" w:hint="cs"/>
          <w:b/>
          <w:bCs/>
          <w:sz w:val="24"/>
          <w:szCs w:val="24"/>
          <w:rtl/>
        </w:rPr>
        <w:t>לפי חוק הגנה על עובדים</w:t>
      </w:r>
      <w:r w:rsidR="00BC2621">
        <w:rPr>
          <w:rFonts w:cs="David" w:hint="cs"/>
          <w:sz w:val="24"/>
          <w:szCs w:val="24"/>
          <w:rtl/>
        </w:rPr>
        <w:t xml:space="preserve"> (חשיפת עבירות ופגיעה בטוהר המידות או במינהל התקין), התשנ"ז-1997 (להלן </w:t>
      </w:r>
      <w:r w:rsidR="00BC2621">
        <w:rPr>
          <w:rFonts w:cs="David"/>
          <w:sz w:val="24"/>
          <w:szCs w:val="24"/>
          <w:rtl/>
        </w:rPr>
        <w:t>–</w:t>
      </w:r>
      <w:r w:rsidR="00BC2621">
        <w:rPr>
          <w:rFonts w:cs="David" w:hint="cs"/>
          <w:sz w:val="24"/>
          <w:szCs w:val="24"/>
          <w:rtl/>
        </w:rPr>
        <w:t xml:space="preserve"> "חוק הגנה על עובדים")</w:t>
      </w:r>
      <w:r w:rsidR="004451F4">
        <w:rPr>
          <w:rFonts w:cs="David" w:hint="cs"/>
          <w:sz w:val="24"/>
          <w:szCs w:val="24"/>
          <w:rtl/>
        </w:rPr>
        <w:t>.</w:t>
      </w:r>
      <w:r w:rsidR="009A0E74">
        <w:rPr>
          <w:rFonts w:cs="David" w:hint="cs"/>
          <w:sz w:val="24"/>
          <w:szCs w:val="24"/>
          <w:rtl/>
        </w:rPr>
        <w:t xml:space="preserve"> </w:t>
      </w:r>
      <w:r w:rsidR="004451F4">
        <w:rPr>
          <w:rFonts w:cs="David" w:hint="cs"/>
          <w:sz w:val="24"/>
          <w:szCs w:val="24"/>
          <w:rtl/>
        </w:rPr>
        <w:t>מדובר בהליך ש</w:t>
      </w:r>
      <w:r w:rsidR="009A0E74">
        <w:rPr>
          <w:rFonts w:cs="David" w:hint="cs"/>
          <w:sz w:val="24"/>
          <w:szCs w:val="24"/>
          <w:rtl/>
        </w:rPr>
        <w:t>עניינו פגיעה בעובד בשל כך שהגיש תלונה נגד מעסיקו או נגד עובד אחר של אותו מעסיק או שסייע לעובד אחר בקשר להגשת תלונה כאמור</w:t>
      </w:r>
      <w:r w:rsidR="00BC2621">
        <w:rPr>
          <w:rFonts w:cs="David" w:hint="cs"/>
          <w:sz w:val="24"/>
          <w:szCs w:val="24"/>
          <w:rtl/>
        </w:rPr>
        <w:t xml:space="preserve">. </w:t>
      </w:r>
    </w:p>
    <w:p w:rsidR="007F494B" w:rsidRPr="00F92E23" w:rsidRDefault="006B2F8A" w:rsidP="00F92E23">
      <w:pPr>
        <w:pStyle w:val="a3"/>
        <w:spacing w:line="360" w:lineRule="auto"/>
        <w:ind w:left="357"/>
        <w:contextualSpacing w:val="0"/>
        <w:jc w:val="both"/>
        <w:rPr>
          <w:rFonts w:cs="David"/>
          <w:sz w:val="24"/>
          <w:szCs w:val="24"/>
        </w:rPr>
      </w:pPr>
      <w:r>
        <w:rPr>
          <w:rFonts w:cs="David" w:hint="cs"/>
          <w:sz w:val="24"/>
          <w:szCs w:val="24"/>
          <w:rtl/>
        </w:rPr>
        <w:lastRenderedPageBreak/>
        <w:t>סעיף 2 ל</w:t>
      </w:r>
      <w:r w:rsidR="00636C0B">
        <w:rPr>
          <w:rFonts w:cs="David" w:hint="cs"/>
          <w:sz w:val="24"/>
          <w:szCs w:val="24"/>
          <w:rtl/>
        </w:rPr>
        <w:t xml:space="preserve">חוק הגנה על עובדים קובע כי מעסיק לא יפגע בענייני עבודתו של עובד ולא יפטרו בשל כך שהגיש תלונה נגד המעסיק או נגד עובד אחר של המעסיק או שסייע לעובד אחר בקשר להגשת תלונה כאמור. </w:t>
      </w:r>
      <w:r w:rsidR="00D12014">
        <w:rPr>
          <w:rFonts w:cs="David" w:hint="cs"/>
          <w:sz w:val="24"/>
          <w:szCs w:val="24"/>
          <w:rtl/>
        </w:rPr>
        <w:t>ענייני עבודה הוגדרו בחוק להיות: תנאי עבודה, קידום בעבודה, הכשרה או השתלמות מקצועית, פיטורים או פיצויי פיטורים, הטבות ותשלומים הניתנים לעובד בקשר לפרישה מעבודה.</w:t>
      </w:r>
      <w:r>
        <w:rPr>
          <w:rStyle w:val="ab"/>
          <w:rFonts w:cs="David"/>
          <w:sz w:val="24"/>
          <w:szCs w:val="24"/>
          <w:rtl/>
        </w:rPr>
        <w:footnoteReference w:id="2"/>
      </w:r>
      <w:r w:rsidR="00D12014">
        <w:rPr>
          <w:rFonts w:cs="David" w:hint="cs"/>
          <w:sz w:val="24"/>
          <w:szCs w:val="24"/>
          <w:rtl/>
        </w:rPr>
        <w:t xml:space="preserve"> לבית הדין האזורי לעבודה ניתנה סמכות ייחודית לדון בהליך אזרחי בשל הפרת </w:t>
      </w:r>
      <w:r>
        <w:rPr>
          <w:rFonts w:cs="David" w:hint="cs"/>
          <w:sz w:val="24"/>
          <w:szCs w:val="24"/>
          <w:rtl/>
        </w:rPr>
        <w:t xml:space="preserve">הוראת סעיף 2 כאמור. </w:t>
      </w:r>
      <w:r w:rsidR="003C496E">
        <w:rPr>
          <w:rFonts w:cs="David" w:hint="cs"/>
          <w:sz w:val="24"/>
          <w:szCs w:val="24"/>
          <w:rtl/>
        </w:rPr>
        <w:t xml:space="preserve">לפי החוק, </w:t>
      </w:r>
      <w:r w:rsidR="00202F74">
        <w:rPr>
          <w:rFonts w:cs="David" w:hint="cs"/>
          <w:sz w:val="24"/>
          <w:szCs w:val="24"/>
          <w:rtl/>
        </w:rPr>
        <w:t xml:space="preserve">בית הדין רשאי לדון </w:t>
      </w:r>
      <w:r w:rsidR="003C496E">
        <w:rPr>
          <w:rFonts w:cs="David" w:hint="cs"/>
          <w:sz w:val="24"/>
          <w:szCs w:val="24"/>
          <w:rtl/>
        </w:rPr>
        <w:t xml:space="preserve">רק </w:t>
      </w:r>
      <w:r w:rsidR="00202F74">
        <w:rPr>
          <w:rFonts w:cs="David" w:hint="cs"/>
          <w:sz w:val="24"/>
          <w:szCs w:val="24"/>
          <w:rtl/>
        </w:rPr>
        <w:t>בתלונה</w:t>
      </w:r>
      <w:r w:rsidR="003C496E">
        <w:rPr>
          <w:rFonts w:cs="David" w:hint="cs"/>
          <w:sz w:val="24"/>
          <w:szCs w:val="24"/>
          <w:rtl/>
        </w:rPr>
        <w:t xml:space="preserve"> שהוגשה</w:t>
      </w:r>
      <w:r w:rsidR="00202F74">
        <w:rPr>
          <w:rFonts w:cs="David" w:hint="cs"/>
          <w:sz w:val="24"/>
          <w:szCs w:val="24"/>
          <w:rtl/>
        </w:rPr>
        <w:t xml:space="preserve"> על הפרת חיקוק במקום העבודה, או על הפרת חיקוק בקשר לעבודת העובד או בקשר לעסקו או לפעילותו של המעסיק, ובגוף ציבורי</w:t>
      </w:r>
      <w:r w:rsidR="00A10D77">
        <w:rPr>
          <w:rStyle w:val="ab"/>
          <w:rFonts w:cs="David"/>
          <w:sz w:val="24"/>
          <w:szCs w:val="24"/>
          <w:rtl/>
        </w:rPr>
        <w:footnoteReference w:id="3"/>
      </w:r>
      <w:r w:rsidR="00202F74">
        <w:rPr>
          <w:rFonts w:cs="David" w:hint="cs"/>
          <w:sz w:val="24"/>
          <w:szCs w:val="24"/>
          <w:rtl/>
        </w:rPr>
        <w:t xml:space="preserve"> </w:t>
      </w:r>
      <w:r w:rsidR="00202F74">
        <w:rPr>
          <w:rFonts w:cs="David"/>
          <w:sz w:val="24"/>
          <w:szCs w:val="24"/>
          <w:rtl/>
        </w:rPr>
        <w:t>–</w:t>
      </w:r>
      <w:r w:rsidR="00202F74">
        <w:rPr>
          <w:rFonts w:cs="David" w:hint="cs"/>
          <w:sz w:val="24"/>
          <w:szCs w:val="24"/>
          <w:rtl/>
        </w:rPr>
        <w:t xml:space="preserve"> גם אם התלונה הוגשה על פגיעה בטוהר המידות או במינהל התקין.</w:t>
      </w:r>
      <w:r w:rsidR="003C496E">
        <w:rPr>
          <w:rFonts w:cs="David" w:hint="cs"/>
          <w:sz w:val="24"/>
          <w:szCs w:val="24"/>
          <w:rtl/>
        </w:rPr>
        <w:t xml:space="preserve"> בנוסף, על העובד להגיש את התלונה בתום לב, ועליו להגיש אותה גם לרשות המוסמכת לדון בתלונה.</w:t>
      </w:r>
      <w:r w:rsidR="003C496E">
        <w:rPr>
          <w:rStyle w:val="ab"/>
          <w:rFonts w:cs="David"/>
          <w:sz w:val="24"/>
          <w:szCs w:val="24"/>
          <w:rtl/>
        </w:rPr>
        <w:footnoteReference w:id="4"/>
      </w:r>
      <w:r w:rsidR="00A10D77">
        <w:rPr>
          <w:rFonts w:cs="David" w:hint="cs"/>
          <w:sz w:val="24"/>
          <w:szCs w:val="24"/>
          <w:rtl/>
        </w:rPr>
        <w:t xml:space="preserve"> לבית הדין סמכות רחבה לתת סעדים שונים וביניהם: לפסוק פיצויים גם אם אין נזק ממון, לתת צו מניעה או צו עשה, לרבות צו המבטל פיטורים או מורה על העברת העובד למשרה מתאימה אחרת.</w:t>
      </w:r>
      <w:r w:rsidR="0092355D">
        <w:rPr>
          <w:rFonts w:cs="David" w:hint="cs"/>
          <w:sz w:val="24"/>
          <w:szCs w:val="24"/>
          <w:rtl/>
        </w:rPr>
        <w:t xml:space="preserve"> הסיוע המשפטי יינתן בקשר להליך אזרחי כאמור, שמתנהל בבית הדין לעבודה.</w:t>
      </w:r>
    </w:p>
    <w:p w:rsidR="003861E0" w:rsidRDefault="002D0D74" w:rsidP="00F92E23">
      <w:pPr>
        <w:pStyle w:val="a3"/>
        <w:numPr>
          <w:ilvl w:val="0"/>
          <w:numId w:val="1"/>
        </w:numPr>
        <w:spacing w:line="360" w:lineRule="auto"/>
        <w:ind w:left="357"/>
        <w:contextualSpacing w:val="0"/>
        <w:jc w:val="both"/>
        <w:rPr>
          <w:rFonts w:cs="David"/>
          <w:sz w:val="24"/>
          <w:szCs w:val="24"/>
        </w:rPr>
      </w:pPr>
      <w:r>
        <w:rPr>
          <w:rFonts w:cs="David" w:hint="cs"/>
          <w:sz w:val="24"/>
          <w:szCs w:val="24"/>
          <w:rtl/>
        </w:rPr>
        <w:t xml:space="preserve">סיוע משפטי </w:t>
      </w:r>
      <w:r w:rsidRPr="00163FF3">
        <w:rPr>
          <w:rFonts w:cs="David" w:hint="cs"/>
          <w:b/>
          <w:bCs/>
          <w:sz w:val="24"/>
          <w:szCs w:val="24"/>
          <w:rtl/>
        </w:rPr>
        <w:t>ב</w:t>
      </w:r>
      <w:r w:rsidR="00DB6D70" w:rsidRPr="00163FF3">
        <w:rPr>
          <w:rFonts w:cs="David" w:hint="cs"/>
          <w:b/>
          <w:bCs/>
          <w:sz w:val="24"/>
          <w:szCs w:val="24"/>
          <w:rtl/>
        </w:rPr>
        <w:t>הליך בירור תלונה של עובד שהוגשה לנציב תלונות הציבור</w:t>
      </w:r>
      <w:r w:rsidR="00DB6D70">
        <w:rPr>
          <w:rFonts w:cs="David" w:hint="cs"/>
          <w:sz w:val="24"/>
          <w:szCs w:val="24"/>
          <w:rtl/>
        </w:rPr>
        <w:t xml:space="preserve"> לפי </w:t>
      </w:r>
      <w:r w:rsidR="004451F4">
        <w:rPr>
          <w:rFonts w:cs="David" w:hint="cs"/>
          <w:sz w:val="24"/>
          <w:szCs w:val="24"/>
          <w:rtl/>
        </w:rPr>
        <w:t>סעיפים 45א עד 45ו ל</w:t>
      </w:r>
      <w:r w:rsidR="00DB6D70">
        <w:rPr>
          <w:rFonts w:cs="David" w:hint="cs"/>
          <w:sz w:val="24"/>
          <w:szCs w:val="24"/>
          <w:rtl/>
        </w:rPr>
        <w:t xml:space="preserve">חוק מבקר המדינה, התשי"ח-1958 [נוסח משולב] (להלן </w:t>
      </w:r>
      <w:r w:rsidR="00DB6D70">
        <w:rPr>
          <w:rFonts w:cs="David"/>
          <w:sz w:val="24"/>
          <w:szCs w:val="24"/>
          <w:rtl/>
        </w:rPr>
        <w:t>–</w:t>
      </w:r>
      <w:r w:rsidR="00DB6D70">
        <w:rPr>
          <w:rFonts w:cs="David" w:hint="cs"/>
          <w:sz w:val="24"/>
          <w:szCs w:val="24"/>
          <w:rtl/>
        </w:rPr>
        <w:t xml:space="preserve"> "חוק מבקר המדינה")</w:t>
      </w:r>
      <w:r w:rsidR="004451F4">
        <w:rPr>
          <w:rFonts w:cs="David" w:hint="cs"/>
          <w:sz w:val="24"/>
          <w:szCs w:val="24"/>
          <w:rtl/>
        </w:rPr>
        <w:t xml:space="preserve">. הליך זה </w:t>
      </w:r>
      <w:r w:rsidR="002C1027">
        <w:rPr>
          <w:rFonts w:cs="David" w:hint="cs"/>
          <w:sz w:val="24"/>
          <w:szCs w:val="24"/>
          <w:rtl/>
        </w:rPr>
        <w:t xml:space="preserve">עניינו פגיעה בזכויות העובד </w:t>
      </w:r>
      <w:r w:rsidR="004557A9">
        <w:rPr>
          <w:rFonts w:cs="David" w:hint="cs"/>
          <w:sz w:val="24"/>
          <w:szCs w:val="24"/>
          <w:rtl/>
        </w:rPr>
        <w:t xml:space="preserve">(למעט שוטר סוהר או חייל) </w:t>
      </w:r>
      <w:r w:rsidR="002C1027">
        <w:rPr>
          <w:rFonts w:cs="David" w:hint="cs"/>
          <w:sz w:val="24"/>
          <w:szCs w:val="24"/>
          <w:rtl/>
        </w:rPr>
        <w:t xml:space="preserve">משום שהודיע </w:t>
      </w:r>
      <w:r w:rsidR="009A0E74">
        <w:rPr>
          <w:rFonts w:cs="David" w:hint="cs"/>
          <w:sz w:val="24"/>
          <w:szCs w:val="24"/>
          <w:rtl/>
        </w:rPr>
        <w:t>בתום לב ועל פי נהלים תקינים</w:t>
      </w:r>
      <w:r w:rsidR="003E08FC">
        <w:rPr>
          <w:rStyle w:val="ab"/>
          <w:rFonts w:cs="David"/>
          <w:sz w:val="24"/>
          <w:szCs w:val="24"/>
          <w:rtl/>
        </w:rPr>
        <w:footnoteReference w:id="5"/>
      </w:r>
      <w:r w:rsidR="009A0E74">
        <w:rPr>
          <w:rFonts w:cs="David" w:hint="cs"/>
          <w:sz w:val="24"/>
          <w:szCs w:val="24"/>
          <w:rtl/>
        </w:rPr>
        <w:t xml:space="preserve"> </w:t>
      </w:r>
      <w:r w:rsidR="002C1027">
        <w:rPr>
          <w:rFonts w:cs="David" w:hint="cs"/>
          <w:sz w:val="24"/>
          <w:szCs w:val="24"/>
          <w:rtl/>
        </w:rPr>
        <w:t xml:space="preserve">על מעשי שחיתות שבוצעו בגוף </w:t>
      </w:r>
      <w:r w:rsidR="009A0E74">
        <w:rPr>
          <w:rFonts w:cs="David" w:hint="cs"/>
          <w:sz w:val="24"/>
          <w:szCs w:val="24"/>
          <w:rtl/>
        </w:rPr>
        <w:t xml:space="preserve">מבוקר </w:t>
      </w:r>
      <w:r w:rsidR="002C1027">
        <w:rPr>
          <w:rFonts w:cs="David" w:hint="cs"/>
          <w:sz w:val="24"/>
          <w:szCs w:val="24"/>
          <w:rtl/>
        </w:rPr>
        <w:t>בו הוא עובד</w:t>
      </w:r>
      <w:r w:rsidR="009A0E74">
        <w:rPr>
          <w:rFonts w:cs="David" w:hint="cs"/>
          <w:sz w:val="24"/>
          <w:szCs w:val="24"/>
          <w:rtl/>
        </w:rPr>
        <w:t>, או בתגובה על פעולותיו במילוי תפקידו כמבקר פנימי בגוף מבוקר</w:t>
      </w:r>
      <w:r w:rsidR="00DB6D70">
        <w:rPr>
          <w:rFonts w:cs="David" w:hint="cs"/>
          <w:sz w:val="24"/>
          <w:szCs w:val="24"/>
          <w:rtl/>
        </w:rPr>
        <w:t>.</w:t>
      </w:r>
    </w:p>
    <w:p w:rsidR="00847F73" w:rsidRDefault="002D0D74" w:rsidP="00F92E23">
      <w:pPr>
        <w:pStyle w:val="a3"/>
        <w:spacing w:line="360" w:lineRule="auto"/>
        <w:ind w:left="357"/>
        <w:contextualSpacing w:val="0"/>
        <w:jc w:val="both"/>
        <w:rPr>
          <w:rFonts w:cs="David"/>
          <w:sz w:val="24"/>
          <w:szCs w:val="24"/>
          <w:rtl/>
        </w:rPr>
      </w:pPr>
      <w:r>
        <w:rPr>
          <w:rFonts w:cs="David" w:hint="cs"/>
          <w:sz w:val="24"/>
          <w:szCs w:val="24"/>
          <w:rtl/>
        </w:rPr>
        <w:t>לפי חוק מבקר המדינה, עובד או נושא משרה בגוף ציבורי שמבוקר על ידי המבקר</w:t>
      </w:r>
      <w:r w:rsidR="00EE4242">
        <w:rPr>
          <w:rStyle w:val="ab"/>
          <w:rFonts w:cs="David"/>
          <w:sz w:val="24"/>
          <w:szCs w:val="24"/>
          <w:rtl/>
        </w:rPr>
        <w:footnoteReference w:id="6"/>
      </w:r>
      <w:r>
        <w:rPr>
          <w:rFonts w:cs="David" w:hint="cs"/>
          <w:sz w:val="24"/>
          <w:szCs w:val="24"/>
          <w:rtl/>
        </w:rPr>
        <w:t xml:space="preserve"> יכול להגיש תלונה </w:t>
      </w:r>
      <w:r w:rsidR="008B3C8E">
        <w:rPr>
          <w:rFonts w:cs="David" w:hint="cs"/>
          <w:sz w:val="24"/>
          <w:szCs w:val="24"/>
          <w:rtl/>
        </w:rPr>
        <w:t>נגד הגוף המבוקר או ממלא תפקיד בגוף כאמור, בשל מעשה שפוגע בעובד</w:t>
      </w:r>
      <w:r>
        <w:rPr>
          <w:rFonts w:cs="David" w:hint="cs"/>
          <w:sz w:val="24"/>
          <w:szCs w:val="24"/>
          <w:rtl/>
        </w:rPr>
        <w:t xml:space="preserve"> או מונע ממנו טובת הנאה</w:t>
      </w:r>
      <w:r w:rsidR="008B3C8E">
        <w:rPr>
          <w:rFonts w:cs="David" w:hint="cs"/>
          <w:sz w:val="24"/>
          <w:szCs w:val="24"/>
          <w:rtl/>
        </w:rPr>
        <w:t>, כש</w:t>
      </w:r>
      <w:r w:rsidR="00BA6BC4">
        <w:rPr>
          <w:rFonts w:cs="David" w:hint="cs"/>
          <w:sz w:val="24"/>
          <w:szCs w:val="24"/>
          <w:rtl/>
        </w:rPr>
        <w:t>מדובר במעשה שהוא בניגוד לחוק, ללא סמכות חוקית, בניגוד למינהל תקין או שיש בו נוקשות יתרה או אי-צדק בולט</w:t>
      </w:r>
      <w:r w:rsidRPr="00BA6BC4">
        <w:rPr>
          <w:rFonts w:cs="David" w:hint="cs"/>
          <w:sz w:val="24"/>
          <w:szCs w:val="24"/>
          <w:rtl/>
        </w:rPr>
        <w:t>.</w:t>
      </w:r>
      <w:r w:rsidR="00BA6BC4">
        <w:rPr>
          <w:rStyle w:val="ab"/>
          <w:rFonts w:cs="David"/>
          <w:sz w:val="24"/>
          <w:szCs w:val="24"/>
          <w:rtl/>
        </w:rPr>
        <w:footnoteReference w:id="7"/>
      </w:r>
      <w:r w:rsidR="002D1E9E">
        <w:rPr>
          <w:rFonts w:cs="David" w:hint="cs"/>
          <w:sz w:val="24"/>
          <w:szCs w:val="24"/>
          <w:rtl/>
        </w:rPr>
        <w:t xml:space="preserve"> סעיף 38 לחוק מבקר המדינה קובע סייג שלפיו לא יהיה בירור </w:t>
      </w:r>
      <w:r w:rsidR="00BF0499">
        <w:rPr>
          <w:rFonts w:cs="David" w:hint="cs"/>
          <w:sz w:val="24"/>
          <w:szCs w:val="24"/>
          <w:rtl/>
        </w:rPr>
        <w:t xml:space="preserve">של </w:t>
      </w:r>
      <w:r w:rsidR="002D1E9E">
        <w:rPr>
          <w:rFonts w:cs="David" w:hint="cs"/>
          <w:sz w:val="24"/>
          <w:szCs w:val="24"/>
          <w:rtl/>
        </w:rPr>
        <w:t>תלונ</w:t>
      </w:r>
      <w:r w:rsidR="00BF0499">
        <w:rPr>
          <w:rFonts w:cs="David" w:hint="cs"/>
          <w:sz w:val="24"/>
          <w:szCs w:val="24"/>
          <w:rtl/>
        </w:rPr>
        <w:t xml:space="preserve">ת עובד </w:t>
      </w:r>
      <w:r w:rsidR="002D1E9E">
        <w:rPr>
          <w:rFonts w:cs="David" w:hint="cs"/>
          <w:sz w:val="24"/>
          <w:szCs w:val="24"/>
          <w:rtl/>
        </w:rPr>
        <w:t xml:space="preserve">מדינה בעניין הנוגע לשירותו כעובד. ואולם, </w:t>
      </w:r>
      <w:r w:rsidR="00062963">
        <w:rPr>
          <w:rFonts w:cs="David" w:hint="cs"/>
          <w:sz w:val="24"/>
          <w:szCs w:val="24"/>
          <w:rtl/>
        </w:rPr>
        <w:t xml:space="preserve">סעיף 45א </w:t>
      </w:r>
      <w:r w:rsidR="003861E0">
        <w:rPr>
          <w:rFonts w:cs="David" w:hint="cs"/>
          <w:sz w:val="24"/>
          <w:szCs w:val="24"/>
          <w:rtl/>
        </w:rPr>
        <w:t xml:space="preserve">לחוק </w:t>
      </w:r>
      <w:r w:rsidR="00BF0499">
        <w:rPr>
          <w:rFonts w:cs="David" w:hint="cs"/>
          <w:sz w:val="24"/>
          <w:szCs w:val="24"/>
          <w:rtl/>
        </w:rPr>
        <w:t>מ</w:t>
      </w:r>
      <w:r w:rsidR="003861E0">
        <w:rPr>
          <w:rFonts w:cs="David" w:hint="cs"/>
          <w:sz w:val="24"/>
          <w:szCs w:val="24"/>
          <w:rtl/>
        </w:rPr>
        <w:t>ב</w:t>
      </w:r>
      <w:r w:rsidR="00BF0499">
        <w:rPr>
          <w:rFonts w:cs="David" w:hint="cs"/>
          <w:sz w:val="24"/>
          <w:szCs w:val="24"/>
          <w:rtl/>
        </w:rPr>
        <w:t xml:space="preserve">קר המדינה </w:t>
      </w:r>
      <w:r w:rsidR="00062963">
        <w:rPr>
          <w:rFonts w:cs="David" w:hint="cs"/>
          <w:sz w:val="24"/>
          <w:szCs w:val="24"/>
          <w:rtl/>
        </w:rPr>
        <w:t xml:space="preserve">קובע כי כן יהיה בירור לפי </w:t>
      </w:r>
      <w:r w:rsidR="00BF0499">
        <w:rPr>
          <w:rFonts w:cs="David" w:hint="cs"/>
          <w:sz w:val="24"/>
          <w:szCs w:val="24"/>
          <w:rtl/>
        </w:rPr>
        <w:t>ה</w:t>
      </w:r>
      <w:r w:rsidR="00062963">
        <w:rPr>
          <w:rFonts w:cs="David" w:hint="cs"/>
          <w:sz w:val="24"/>
          <w:szCs w:val="24"/>
          <w:rtl/>
        </w:rPr>
        <w:t xml:space="preserve">חוק של תלונה שהגיש עובד על מעשה שפגע בו כאמור, שעשה מי שממונה עליו בתגובה על כך שהוא הודיע בתום לב ועל פי נהלים תקינים על מעשי שחיתות שבוצעו בגוף שבו הוא עובד. </w:t>
      </w:r>
      <w:r w:rsidR="00BF0499">
        <w:rPr>
          <w:rFonts w:cs="David" w:hint="cs"/>
          <w:sz w:val="24"/>
          <w:szCs w:val="24"/>
          <w:rtl/>
        </w:rPr>
        <w:t>בנוסף, תבורר לפי חוק מבקר המדינה גם תלונה של עובד</w:t>
      </w:r>
      <w:r w:rsidR="004557A9">
        <w:rPr>
          <w:rFonts w:cs="David" w:hint="cs"/>
          <w:sz w:val="24"/>
          <w:szCs w:val="24"/>
          <w:rtl/>
        </w:rPr>
        <w:t xml:space="preserve"> (למעט שוטר, סוהר וחייל)</w:t>
      </w:r>
      <w:r w:rsidR="00BF0499">
        <w:rPr>
          <w:rFonts w:cs="David" w:hint="cs"/>
          <w:sz w:val="24"/>
          <w:szCs w:val="24"/>
          <w:rtl/>
        </w:rPr>
        <w:t xml:space="preserve">, שהוא מבקר פנימי בגוף </w:t>
      </w:r>
      <w:r w:rsidR="002B38E8">
        <w:rPr>
          <w:rFonts w:cs="David" w:hint="cs"/>
          <w:sz w:val="24"/>
          <w:szCs w:val="24"/>
          <w:rtl/>
        </w:rPr>
        <w:t>מבוקר</w:t>
      </w:r>
      <w:r w:rsidR="00BF0499">
        <w:rPr>
          <w:rFonts w:cs="David" w:hint="cs"/>
          <w:sz w:val="24"/>
          <w:szCs w:val="24"/>
          <w:rtl/>
        </w:rPr>
        <w:t xml:space="preserve"> על</w:t>
      </w:r>
      <w:r w:rsidR="003861E0">
        <w:rPr>
          <w:rFonts w:cs="David" w:hint="cs"/>
          <w:sz w:val="24"/>
          <w:szCs w:val="24"/>
          <w:rtl/>
        </w:rPr>
        <w:t xml:space="preserve"> פגיעה שספג ממעסיקו שנעשתה בתגובה על פעולותיו במילוי תפקידו כמבקר פנימי.</w:t>
      </w:r>
      <w:r w:rsidR="00847F73">
        <w:rPr>
          <w:rFonts w:cs="David" w:hint="cs"/>
          <w:sz w:val="24"/>
          <w:szCs w:val="24"/>
          <w:rtl/>
        </w:rPr>
        <w:t xml:space="preserve"> </w:t>
      </w:r>
    </w:p>
    <w:p w:rsidR="00F01917" w:rsidRDefault="00C07D80" w:rsidP="00F92E23">
      <w:pPr>
        <w:pStyle w:val="a3"/>
        <w:spacing w:line="360" w:lineRule="auto"/>
        <w:ind w:left="357"/>
        <w:contextualSpacing w:val="0"/>
        <w:jc w:val="both"/>
        <w:rPr>
          <w:rFonts w:cs="David"/>
          <w:sz w:val="24"/>
          <w:szCs w:val="24"/>
          <w:rtl/>
        </w:rPr>
      </w:pPr>
      <w:r>
        <w:rPr>
          <w:rFonts w:cs="David" w:hint="cs"/>
          <w:sz w:val="24"/>
          <w:szCs w:val="24"/>
          <w:rtl/>
        </w:rPr>
        <w:lastRenderedPageBreak/>
        <w:t xml:space="preserve">ההליך בפני נציב תלונות הציבור יכול לכלול המצאת מסמכים, שימוע של המתלונן או של אחרים, ומתן אפשרות להגיש מסמכים בכתב. </w:t>
      </w:r>
      <w:r w:rsidRPr="00662DB2">
        <w:rPr>
          <w:rFonts w:cs="David" w:hint="cs"/>
          <w:sz w:val="24"/>
          <w:szCs w:val="24"/>
          <w:rtl/>
        </w:rPr>
        <w:t xml:space="preserve">כמו כן, </w:t>
      </w:r>
      <w:r w:rsidR="000F1E71" w:rsidRPr="00662DB2">
        <w:rPr>
          <w:rFonts w:cs="David" w:hint="cs"/>
          <w:sz w:val="24"/>
          <w:szCs w:val="24"/>
          <w:rtl/>
        </w:rPr>
        <w:t xml:space="preserve">לנציב </w:t>
      </w:r>
      <w:r w:rsidR="00847F73" w:rsidRPr="00662DB2">
        <w:rPr>
          <w:rFonts w:cs="David" w:hint="cs"/>
          <w:sz w:val="24"/>
          <w:szCs w:val="24"/>
          <w:rtl/>
        </w:rPr>
        <w:t xml:space="preserve">סמכות רחבה להעניק סעדים למניעת הפגיעה בעובד, </w:t>
      </w:r>
      <w:r w:rsidRPr="00A60695">
        <w:rPr>
          <w:rFonts w:cs="David" w:hint="cs"/>
          <w:sz w:val="24"/>
          <w:szCs w:val="24"/>
          <w:rtl/>
        </w:rPr>
        <w:t>בדומה לסעדים שרשאי בית הדין לעבודה להעניק</w:t>
      </w:r>
      <w:r w:rsidRPr="00662DB2">
        <w:rPr>
          <w:rFonts w:cs="David" w:hint="cs"/>
          <w:sz w:val="24"/>
          <w:szCs w:val="24"/>
          <w:rtl/>
        </w:rPr>
        <w:t xml:space="preserve">, </w:t>
      </w:r>
      <w:r w:rsidR="00847F73" w:rsidRPr="00662DB2">
        <w:rPr>
          <w:rFonts w:cs="David" w:hint="cs"/>
          <w:sz w:val="24"/>
          <w:szCs w:val="24"/>
          <w:rtl/>
        </w:rPr>
        <w:t>וביניהם מתן כל צו שימצא לנכון לתת כדי להגן על זכויות העובד, ביטול פיטורים, מתן פיצויים מיוחדים לעובד והעברת העובד מתפקידו למשרה אחרת בשירות מעבידו.</w:t>
      </w:r>
    </w:p>
    <w:p w:rsidR="00F92E23" w:rsidRDefault="00F92E23" w:rsidP="003E08FC">
      <w:pPr>
        <w:pStyle w:val="a3"/>
        <w:numPr>
          <w:ilvl w:val="0"/>
          <w:numId w:val="1"/>
        </w:numPr>
        <w:spacing w:line="360" w:lineRule="auto"/>
        <w:ind w:left="357"/>
        <w:contextualSpacing w:val="0"/>
        <w:jc w:val="both"/>
        <w:rPr>
          <w:rFonts w:cs="David"/>
          <w:sz w:val="24"/>
          <w:szCs w:val="24"/>
        </w:rPr>
      </w:pPr>
      <w:r>
        <w:rPr>
          <w:rFonts w:cs="David" w:hint="cs"/>
          <w:sz w:val="24"/>
          <w:szCs w:val="24"/>
          <w:rtl/>
        </w:rPr>
        <w:t xml:space="preserve">סיוע משפטי </w:t>
      </w:r>
      <w:r w:rsidRPr="000E1F70">
        <w:rPr>
          <w:rFonts w:cs="David" w:hint="cs"/>
          <w:b/>
          <w:bCs/>
          <w:sz w:val="24"/>
          <w:szCs w:val="24"/>
          <w:rtl/>
        </w:rPr>
        <w:t>בהליך אחר</w:t>
      </w:r>
      <w:r>
        <w:rPr>
          <w:rFonts w:cs="David" w:hint="cs"/>
          <w:sz w:val="24"/>
          <w:szCs w:val="24"/>
          <w:rtl/>
        </w:rPr>
        <w:t xml:space="preserve"> שהוא הליך נלווה להליך לפי חוק הג</w:t>
      </w:r>
      <w:r w:rsidR="00680791">
        <w:rPr>
          <w:rFonts w:cs="David" w:hint="cs"/>
          <w:sz w:val="24"/>
          <w:szCs w:val="24"/>
          <w:rtl/>
        </w:rPr>
        <w:t>נה על עובדים או חוק מבקר המדינה</w:t>
      </w:r>
      <w:r>
        <w:rPr>
          <w:rFonts w:cs="David" w:hint="cs"/>
          <w:sz w:val="24"/>
          <w:szCs w:val="24"/>
          <w:rtl/>
        </w:rPr>
        <w:t>. בדברי ההסבר להצעת החוק נאמר, כי מוצע להעניק סיוע גם במקרים אלה, מאחר שלעובד יכולות לקום עילות תביעה נוספות הנובעות מהפגיעה בזכויותיו. כך למשל, הודגם כי לעובדת שפוטרה, בהיותה בהריון, בשל תלונה שהגישה על התנהלות בלתי תקינה של המעסיק, עשויה לקום עילת תביעה הן מכוח חוק הגנה על עובדים והן מכוח חוק עבודת נשים, התשי"ד-1954, האוסר פיטורי אישה בהריון בלא קבלת היתר מיוחד ממשרד הכלכלה. הכוונה בתיקון לחוק להעניק סיוע משפטי גם בי</w:t>
      </w:r>
      <w:r w:rsidR="00680791">
        <w:rPr>
          <w:rFonts w:cs="David" w:hint="cs"/>
          <w:sz w:val="24"/>
          <w:szCs w:val="24"/>
          <w:rtl/>
        </w:rPr>
        <w:t>חס ל</w:t>
      </w:r>
      <w:r w:rsidR="00F47B3B">
        <w:rPr>
          <w:rFonts w:cs="David" w:hint="cs"/>
          <w:sz w:val="24"/>
          <w:szCs w:val="24"/>
          <w:rtl/>
        </w:rPr>
        <w:t>הליכים מסוג זה</w:t>
      </w:r>
      <w:r>
        <w:rPr>
          <w:rFonts w:cs="David" w:hint="cs"/>
          <w:sz w:val="24"/>
          <w:szCs w:val="24"/>
          <w:rtl/>
        </w:rPr>
        <w:t>.</w:t>
      </w:r>
      <w:r w:rsidR="00EC675A">
        <w:rPr>
          <w:rFonts w:cs="David" w:hint="cs"/>
          <w:sz w:val="24"/>
          <w:szCs w:val="24"/>
          <w:rtl/>
        </w:rPr>
        <w:t xml:space="preserve"> </w:t>
      </w:r>
    </w:p>
    <w:p w:rsidR="00FC0FC5" w:rsidRPr="00FC0FC5" w:rsidRDefault="00FC0FC5" w:rsidP="00FC0FC5">
      <w:pPr>
        <w:spacing w:line="360" w:lineRule="auto"/>
        <w:jc w:val="both"/>
        <w:rPr>
          <w:rFonts w:cs="David"/>
          <w:b/>
          <w:bCs/>
          <w:sz w:val="24"/>
          <w:szCs w:val="24"/>
          <w:u w:val="single"/>
          <w:rtl/>
        </w:rPr>
      </w:pPr>
      <w:r w:rsidRPr="00FC0FC5">
        <w:rPr>
          <w:rFonts w:cs="David" w:hint="cs"/>
          <w:b/>
          <w:bCs/>
          <w:sz w:val="24"/>
          <w:szCs w:val="24"/>
          <w:u w:val="single"/>
          <w:rtl/>
        </w:rPr>
        <w:t>נקודות לדיון</w:t>
      </w:r>
    </w:p>
    <w:p w:rsidR="00026D37" w:rsidRPr="00026D37" w:rsidRDefault="00026D37" w:rsidP="006245E4">
      <w:pPr>
        <w:pStyle w:val="a3"/>
        <w:numPr>
          <w:ilvl w:val="0"/>
          <w:numId w:val="5"/>
        </w:numPr>
        <w:spacing w:line="360" w:lineRule="auto"/>
        <w:contextualSpacing w:val="0"/>
        <w:jc w:val="both"/>
        <w:rPr>
          <w:rFonts w:cs="David"/>
          <w:sz w:val="24"/>
          <w:szCs w:val="24"/>
        </w:rPr>
      </w:pPr>
      <w:r>
        <w:rPr>
          <w:rFonts w:cs="David" w:hint="cs"/>
          <w:sz w:val="24"/>
          <w:szCs w:val="24"/>
          <w:rtl/>
        </w:rPr>
        <w:t xml:space="preserve">בפני הוועדה מונחות </w:t>
      </w:r>
      <w:r w:rsidRPr="00026D37">
        <w:rPr>
          <w:rFonts w:cs="David" w:hint="cs"/>
          <w:sz w:val="24"/>
          <w:szCs w:val="24"/>
          <w:rtl/>
        </w:rPr>
        <w:t xml:space="preserve">הצעת חוק ממשלתית </w:t>
      </w:r>
      <w:r w:rsidR="006245E4">
        <w:rPr>
          <w:rFonts w:cs="David" w:hint="cs"/>
          <w:sz w:val="24"/>
          <w:szCs w:val="24"/>
          <w:rtl/>
        </w:rPr>
        <w:t xml:space="preserve">שעברה קריאה ראשונה </w:t>
      </w:r>
      <w:r w:rsidR="006245E4" w:rsidRPr="00026D37">
        <w:rPr>
          <w:rFonts w:cs="David" w:hint="cs"/>
          <w:sz w:val="24"/>
          <w:szCs w:val="24"/>
          <w:rtl/>
        </w:rPr>
        <w:t>(מ/865)</w:t>
      </w:r>
      <w:r w:rsidR="006245E4">
        <w:rPr>
          <w:rFonts w:cs="David" w:hint="cs"/>
          <w:sz w:val="24"/>
          <w:szCs w:val="24"/>
          <w:rtl/>
        </w:rPr>
        <w:t xml:space="preserve">, </w:t>
      </w:r>
      <w:r w:rsidRPr="00026D37">
        <w:rPr>
          <w:rFonts w:cs="David" w:hint="cs"/>
          <w:sz w:val="24"/>
          <w:szCs w:val="24"/>
          <w:rtl/>
        </w:rPr>
        <w:t>והצעת חוק פרטית של חב</w:t>
      </w:r>
      <w:r>
        <w:rPr>
          <w:rFonts w:cs="David" w:hint="cs"/>
          <w:sz w:val="24"/>
          <w:szCs w:val="24"/>
          <w:rtl/>
        </w:rPr>
        <w:t>רי הכנסת מיקי רוזנטל ומשה מזרחי</w:t>
      </w:r>
      <w:r w:rsidR="006245E4">
        <w:rPr>
          <w:rFonts w:cs="David" w:hint="cs"/>
          <w:sz w:val="24"/>
          <w:szCs w:val="24"/>
          <w:rtl/>
        </w:rPr>
        <w:t xml:space="preserve"> שעברה קריאה טרומית </w:t>
      </w:r>
      <w:r w:rsidR="006245E4" w:rsidRPr="00026D37">
        <w:rPr>
          <w:rFonts w:cs="David" w:hint="cs"/>
          <w:sz w:val="24"/>
          <w:szCs w:val="24"/>
          <w:rtl/>
        </w:rPr>
        <w:t>(פ/2171/19)</w:t>
      </w:r>
      <w:r>
        <w:rPr>
          <w:rFonts w:cs="David" w:hint="cs"/>
          <w:sz w:val="24"/>
          <w:szCs w:val="24"/>
          <w:rtl/>
        </w:rPr>
        <w:t xml:space="preserve">, שהן דומות בעיקרן. לאחר </w:t>
      </w:r>
      <w:r w:rsidR="006A3482">
        <w:rPr>
          <w:rFonts w:cs="David" w:hint="cs"/>
          <w:sz w:val="24"/>
          <w:szCs w:val="24"/>
          <w:rtl/>
        </w:rPr>
        <w:t>תיאום מול הממשלה ומציעי הצעת החוק הפרטית</w:t>
      </w:r>
      <w:r w:rsidR="00782B12">
        <w:rPr>
          <w:rFonts w:cs="David" w:hint="cs"/>
          <w:sz w:val="24"/>
          <w:szCs w:val="24"/>
          <w:rtl/>
        </w:rPr>
        <w:t>, מוצע לוועדה למזג את</w:t>
      </w:r>
      <w:r>
        <w:rPr>
          <w:rFonts w:cs="David" w:hint="cs"/>
          <w:sz w:val="24"/>
          <w:szCs w:val="24"/>
          <w:rtl/>
        </w:rPr>
        <w:t xml:space="preserve"> ההצעות</w:t>
      </w:r>
      <w:r w:rsidR="00782B12">
        <w:rPr>
          <w:rFonts w:cs="David" w:hint="cs"/>
          <w:sz w:val="24"/>
          <w:szCs w:val="24"/>
          <w:rtl/>
        </w:rPr>
        <w:t xml:space="preserve"> (</w:t>
      </w:r>
      <w:r w:rsidR="00C26678">
        <w:rPr>
          <w:rFonts w:cs="David" w:hint="cs"/>
          <w:sz w:val="24"/>
          <w:szCs w:val="24"/>
          <w:rtl/>
        </w:rPr>
        <w:t xml:space="preserve">לפי סעיף 84(ד) לתקנון הכנסת, </w:t>
      </w:r>
      <w:r w:rsidR="00782B12">
        <w:rPr>
          <w:rFonts w:cs="David" w:hint="cs"/>
          <w:sz w:val="24"/>
          <w:szCs w:val="24"/>
          <w:rtl/>
        </w:rPr>
        <w:t>באישור ועדת הכנסת),</w:t>
      </w:r>
      <w:r w:rsidR="00C26678">
        <w:rPr>
          <w:rFonts w:cs="David" w:hint="cs"/>
          <w:sz w:val="24"/>
          <w:szCs w:val="24"/>
          <w:rtl/>
        </w:rPr>
        <w:t xml:space="preserve"> </w:t>
      </w:r>
      <w:r>
        <w:rPr>
          <w:rFonts w:cs="David" w:hint="cs"/>
          <w:sz w:val="24"/>
          <w:szCs w:val="24"/>
          <w:rtl/>
        </w:rPr>
        <w:t>שידונו בנוסח של הצעת החוק הממשלתית.</w:t>
      </w:r>
    </w:p>
    <w:p w:rsidR="00865458" w:rsidRDefault="00865458" w:rsidP="00430C76">
      <w:pPr>
        <w:pStyle w:val="a3"/>
        <w:numPr>
          <w:ilvl w:val="0"/>
          <w:numId w:val="5"/>
        </w:numPr>
        <w:spacing w:line="360" w:lineRule="auto"/>
        <w:ind w:left="357"/>
        <w:contextualSpacing w:val="0"/>
        <w:jc w:val="both"/>
        <w:rPr>
          <w:rFonts w:cs="David"/>
          <w:sz w:val="24"/>
          <w:szCs w:val="24"/>
        </w:rPr>
      </w:pPr>
      <w:r>
        <w:rPr>
          <w:rFonts w:cs="David" w:hint="cs"/>
          <w:sz w:val="24"/>
          <w:szCs w:val="24"/>
          <w:rtl/>
        </w:rPr>
        <w:t>מוצע לקבל נתונים על כמות ההליכים שצפויים להיכנס במסגרת התיקון.</w:t>
      </w:r>
    </w:p>
    <w:p w:rsidR="00430C76" w:rsidRPr="00497CDF" w:rsidRDefault="00430C76" w:rsidP="00430C76">
      <w:pPr>
        <w:pStyle w:val="a3"/>
        <w:numPr>
          <w:ilvl w:val="0"/>
          <w:numId w:val="5"/>
        </w:numPr>
        <w:spacing w:line="360" w:lineRule="auto"/>
        <w:ind w:left="357"/>
        <w:contextualSpacing w:val="0"/>
        <w:jc w:val="both"/>
        <w:rPr>
          <w:rFonts w:cs="David"/>
          <w:sz w:val="24"/>
          <w:szCs w:val="24"/>
        </w:rPr>
      </w:pPr>
      <w:r>
        <w:rPr>
          <w:rFonts w:cs="David" w:hint="cs"/>
          <w:sz w:val="24"/>
          <w:szCs w:val="24"/>
          <w:rtl/>
        </w:rPr>
        <w:t>מוצע לקבוע כי הסיוע המשפטי יינתן ל"עובד" ולא ל"אדם". מטרת תיקון זה להבהיר כי אין הכוונה לחייב מתן סיוע משפטי גם למעסיק, אלא רק לעובד. עם זאת, מוצע להבהיר כי אין בכך כוונה למנוע ממי שאינו "עובד" במובן הצר של המילה לזכות לסיוע המשפטי.</w:t>
      </w:r>
      <w:r w:rsidRPr="002A67F7">
        <w:rPr>
          <w:rFonts w:cs="David" w:hint="cs"/>
          <w:sz w:val="24"/>
          <w:szCs w:val="24"/>
          <w:rtl/>
        </w:rPr>
        <w:t xml:space="preserve"> </w:t>
      </w:r>
      <w:r>
        <w:rPr>
          <w:rFonts w:cs="David" w:hint="cs"/>
          <w:sz w:val="24"/>
          <w:szCs w:val="24"/>
          <w:rtl/>
        </w:rPr>
        <w:t>מאחר שהן חוק מבקר המדינה והן חוק הגנה על עובדים נוקטים במונח "עובד", ניתן לתת לו את אותה פרשנות שניתנה לו בחקיקה הרלוונטית.</w:t>
      </w:r>
    </w:p>
    <w:p w:rsidR="00865458" w:rsidRDefault="00865458" w:rsidP="00430C76">
      <w:pPr>
        <w:pStyle w:val="a3"/>
        <w:numPr>
          <w:ilvl w:val="0"/>
          <w:numId w:val="5"/>
        </w:numPr>
        <w:spacing w:line="360" w:lineRule="auto"/>
        <w:ind w:left="357"/>
        <w:contextualSpacing w:val="0"/>
        <w:jc w:val="both"/>
        <w:rPr>
          <w:rFonts w:cs="David"/>
          <w:sz w:val="24"/>
          <w:szCs w:val="24"/>
        </w:rPr>
      </w:pPr>
      <w:r>
        <w:rPr>
          <w:rFonts w:cs="David" w:hint="cs"/>
          <w:sz w:val="24"/>
          <w:szCs w:val="24"/>
          <w:rtl/>
        </w:rPr>
        <w:t>מוצע להבהיר כי סיוע משפטי ב"הליך אחר" יינתן רק להליך שהוא הליך נלווה להליך עיקרי של בירור תלונה לפי חוק הג</w:t>
      </w:r>
      <w:r w:rsidR="00EC675A">
        <w:rPr>
          <w:rFonts w:cs="David" w:hint="cs"/>
          <w:sz w:val="24"/>
          <w:szCs w:val="24"/>
          <w:rtl/>
        </w:rPr>
        <w:t>נה על עובדים או חוק מבקר המדינה, שנובע מאותה פגיעה בעובד שבעטיה הוגש ההליך העיקרי.</w:t>
      </w:r>
    </w:p>
    <w:p w:rsidR="00FC0FC5" w:rsidRDefault="00FC0FC5" w:rsidP="003535FF">
      <w:pPr>
        <w:pStyle w:val="a3"/>
        <w:numPr>
          <w:ilvl w:val="0"/>
          <w:numId w:val="5"/>
        </w:numPr>
        <w:spacing w:line="360" w:lineRule="auto"/>
        <w:ind w:left="357"/>
        <w:contextualSpacing w:val="0"/>
        <w:jc w:val="both"/>
        <w:rPr>
          <w:rFonts w:cs="David"/>
          <w:sz w:val="24"/>
          <w:szCs w:val="24"/>
        </w:rPr>
      </w:pPr>
      <w:r w:rsidRPr="00FC0FC5">
        <w:rPr>
          <w:rFonts w:cs="David" w:hint="cs"/>
          <w:sz w:val="24"/>
          <w:szCs w:val="24"/>
          <w:rtl/>
        </w:rPr>
        <w:t xml:space="preserve">בפני הוועדה לענייני ביקורת המדינה של הכנסת מונחת הצעת חוק קשורה (הצעת חוק מבקר המדינה (תיקון מס' 49) (נסיבות למתן צו הגנה על עובדים), התשע"ד-2014 (פ/2011/19) של ח"כ מיקי רוזנטל). שם מוצע להרחיב את סמכותו של נציב תלונות הציבור לפי סעיף 45א לחוק מבקר המדינה, ולקבוע כי הוא יהיה מוסמך להידרש גם לתלונה של עובד שהוגשה על פגיעה בו בשל כך שהוא התלונן על "הפרה חמורה של חיקוק או פגיעה חמורה במינהל תקין" ולא רק אם התלונן על "מעשי שחיתות" כפי שהמונח מפורש כיום. </w:t>
      </w:r>
      <w:r w:rsidR="003535FF">
        <w:rPr>
          <w:rFonts w:cs="David" w:hint="cs"/>
          <w:sz w:val="24"/>
          <w:szCs w:val="24"/>
          <w:rtl/>
        </w:rPr>
        <w:t xml:space="preserve">כדי לוודא כי הסיוע המשפטי יינתן גם לעובד שחשף אי-סדרים כאמור (ולא רק למי שחשף "שחיתות" במובנה </w:t>
      </w:r>
      <w:r w:rsidR="003535FF">
        <w:rPr>
          <w:rFonts w:cs="David" w:hint="cs"/>
          <w:sz w:val="24"/>
          <w:szCs w:val="24"/>
          <w:rtl/>
        </w:rPr>
        <w:lastRenderedPageBreak/>
        <w:t xml:space="preserve">הצר), </w:t>
      </w:r>
      <w:r w:rsidR="00D37A80">
        <w:rPr>
          <w:rFonts w:cs="David" w:hint="cs"/>
          <w:sz w:val="24"/>
          <w:szCs w:val="24"/>
          <w:rtl/>
        </w:rPr>
        <w:t>מוצע לתקן את נוסח הצעת החוק כך שיכלול מראש את הסיוע המשפטי שיינתן לכל הליך של בירור ת</w:t>
      </w:r>
      <w:r w:rsidR="00EE2219">
        <w:rPr>
          <w:rFonts w:cs="David" w:hint="cs"/>
          <w:sz w:val="24"/>
          <w:szCs w:val="24"/>
          <w:rtl/>
        </w:rPr>
        <w:t>לונת עובד לפי סעיפים 45א' עד 45ו</w:t>
      </w:r>
      <w:r w:rsidR="00D37A80">
        <w:rPr>
          <w:rFonts w:cs="David" w:hint="cs"/>
          <w:sz w:val="24"/>
          <w:szCs w:val="24"/>
          <w:rtl/>
        </w:rPr>
        <w:t xml:space="preserve">' </w:t>
      </w:r>
      <w:r w:rsidR="003535FF">
        <w:rPr>
          <w:rFonts w:cs="David" w:hint="cs"/>
          <w:sz w:val="24"/>
          <w:szCs w:val="24"/>
          <w:rtl/>
        </w:rPr>
        <w:t>ל</w:t>
      </w:r>
      <w:r w:rsidR="00D37A80">
        <w:rPr>
          <w:rFonts w:cs="David" w:hint="cs"/>
          <w:sz w:val="24"/>
          <w:szCs w:val="24"/>
          <w:rtl/>
        </w:rPr>
        <w:t>חוק מבקר המדינה.</w:t>
      </w:r>
    </w:p>
    <w:p w:rsidR="007C7141" w:rsidRDefault="007C7141" w:rsidP="00945E59">
      <w:pPr>
        <w:pStyle w:val="a3"/>
        <w:numPr>
          <w:ilvl w:val="0"/>
          <w:numId w:val="5"/>
        </w:numPr>
        <w:spacing w:line="360" w:lineRule="auto"/>
        <w:ind w:left="357"/>
        <w:contextualSpacing w:val="0"/>
        <w:jc w:val="both"/>
        <w:rPr>
          <w:rFonts w:cs="David"/>
          <w:sz w:val="24"/>
          <w:szCs w:val="24"/>
        </w:rPr>
      </w:pPr>
      <w:r>
        <w:rPr>
          <w:rFonts w:cs="David" w:hint="cs"/>
          <w:sz w:val="24"/>
          <w:szCs w:val="24"/>
          <w:rtl/>
        </w:rPr>
        <w:t xml:space="preserve">מוצע לנסח את הצעת החוק באופן כללי יותר, כך שלא יעלה צורך לתקן את חוק הסיוע המשפטי בכל פעם שייעשה שינוי רלוונטי בחוק מבקר המדינה או בחוק הגנה על עובדים. יש לשים לב, כי ניסוח כללי כאמור יכניס למעשה כל תיקון עתידי </w:t>
      </w:r>
      <w:r w:rsidR="00945E59">
        <w:rPr>
          <w:rFonts w:cs="David" w:hint="cs"/>
          <w:sz w:val="24"/>
          <w:szCs w:val="24"/>
          <w:rtl/>
        </w:rPr>
        <w:t>שייעשה ב</w:t>
      </w:r>
      <w:r>
        <w:rPr>
          <w:rFonts w:cs="David" w:hint="cs"/>
          <w:sz w:val="24"/>
          <w:szCs w:val="24"/>
          <w:rtl/>
        </w:rPr>
        <w:t xml:space="preserve">חוק הגנה על עובדים או </w:t>
      </w:r>
      <w:r w:rsidR="00945E59">
        <w:rPr>
          <w:rFonts w:cs="David" w:hint="cs"/>
          <w:sz w:val="24"/>
          <w:szCs w:val="24"/>
          <w:rtl/>
        </w:rPr>
        <w:t>ב</w:t>
      </w:r>
      <w:r>
        <w:rPr>
          <w:rFonts w:cs="David" w:hint="cs"/>
          <w:sz w:val="24"/>
          <w:szCs w:val="24"/>
          <w:rtl/>
        </w:rPr>
        <w:t>חוק מבקר המדינה, למסגרת ה</w:t>
      </w:r>
      <w:r w:rsidR="00890795">
        <w:rPr>
          <w:rFonts w:cs="David" w:hint="cs"/>
          <w:sz w:val="24"/>
          <w:szCs w:val="24"/>
          <w:rtl/>
        </w:rPr>
        <w:t xml:space="preserve">עניינים שיינתן בהם סיוע משפטי. </w:t>
      </w:r>
    </w:p>
    <w:p w:rsidR="0085562E" w:rsidRDefault="0085562E" w:rsidP="009B3FB6">
      <w:pPr>
        <w:spacing w:line="360" w:lineRule="auto"/>
        <w:jc w:val="both"/>
        <w:rPr>
          <w:rFonts w:cs="David"/>
          <w:b/>
          <w:bCs/>
          <w:sz w:val="24"/>
          <w:szCs w:val="24"/>
          <w:highlight w:val="yellow"/>
          <w:u w:val="single"/>
          <w:rtl/>
        </w:rPr>
      </w:pPr>
    </w:p>
    <w:sectPr w:rsidR="0085562E" w:rsidSect="00F60690">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215" w:rsidRDefault="00D93215" w:rsidP="00787EE2">
      <w:pPr>
        <w:spacing w:after="0" w:line="240" w:lineRule="auto"/>
      </w:pPr>
      <w:r>
        <w:separator/>
      </w:r>
    </w:p>
  </w:endnote>
  <w:endnote w:type="continuationSeparator" w:id="0">
    <w:p w:rsidR="00D93215" w:rsidRDefault="00D93215" w:rsidP="00787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David"/>
        <w:sz w:val="24"/>
        <w:szCs w:val="24"/>
        <w:rtl/>
      </w:rPr>
      <w:id w:val="-1768233272"/>
      <w:docPartObj>
        <w:docPartGallery w:val="Page Numbers (Bottom of Page)"/>
        <w:docPartUnique/>
      </w:docPartObj>
    </w:sdtPr>
    <w:sdtEndPr/>
    <w:sdtContent>
      <w:p w:rsidR="00E746E2" w:rsidRPr="00E746E2" w:rsidRDefault="00E746E2">
        <w:pPr>
          <w:pStyle w:val="a7"/>
          <w:jc w:val="right"/>
          <w:rPr>
            <w:rFonts w:cs="David"/>
            <w:sz w:val="24"/>
            <w:szCs w:val="24"/>
            <w:rtl/>
            <w:cs/>
          </w:rPr>
        </w:pPr>
        <w:r w:rsidRPr="00E746E2">
          <w:rPr>
            <w:rFonts w:cs="David"/>
            <w:sz w:val="24"/>
            <w:szCs w:val="24"/>
          </w:rPr>
          <w:fldChar w:fldCharType="begin"/>
        </w:r>
        <w:r w:rsidRPr="00E746E2">
          <w:rPr>
            <w:rFonts w:cs="David"/>
            <w:sz w:val="24"/>
            <w:szCs w:val="24"/>
            <w:rtl/>
            <w:cs/>
          </w:rPr>
          <w:instrText>PAGE   \* MERGEFORMAT</w:instrText>
        </w:r>
        <w:r w:rsidRPr="00E746E2">
          <w:rPr>
            <w:rFonts w:cs="David"/>
            <w:sz w:val="24"/>
            <w:szCs w:val="24"/>
          </w:rPr>
          <w:fldChar w:fldCharType="separate"/>
        </w:r>
        <w:r w:rsidR="00E1172F" w:rsidRPr="00E1172F">
          <w:rPr>
            <w:rFonts w:cs="David"/>
            <w:noProof/>
            <w:sz w:val="24"/>
            <w:szCs w:val="24"/>
            <w:rtl/>
            <w:lang w:val="he-IL"/>
          </w:rPr>
          <w:t>1</w:t>
        </w:r>
        <w:r w:rsidRPr="00E746E2">
          <w:rPr>
            <w:rFonts w:cs="David"/>
            <w:sz w:val="24"/>
            <w:szCs w:val="24"/>
          </w:rPr>
          <w:fldChar w:fldCharType="end"/>
        </w:r>
      </w:p>
    </w:sdtContent>
  </w:sdt>
  <w:p w:rsidR="00E746E2" w:rsidRDefault="00E746E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215" w:rsidRDefault="00D93215" w:rsidP="00787EE2">
      <w:pPr>
        <w:spacing w:after="0" w:line="240" w:lineRule="auto"/>
      </w:pPr>
      <w:r>
        <w:separator/>
      </w:r>
    </w:p>
  </w:footnote>
  <w:footnote w:type="continuationSeparator" w:id="0">
    <w:p w:rsidR="00D93215" w:rsidRDefault="00D93215" w:rsidP="00787EE2">
      <w:pPr>
        <w:spacing w:after="0" w:line="240" w:lineRule="auto"/>
      </w:pPr>
      <w:r>
        <w:continuationSeparator/>
      </w:r>
    </w:p>
  </w:footnote>
  <w:footnote w:id="1">
    <w:p w:rsidR="002C1027" w:rsidRDefault="002C1027" w:rsidP="002C1027">
      <w:pPr>
        <w:pStyle w:val="a9"/>
        <w:jc w:val="both"/>
      </w:pPr>
      <w:r>
        <w:rPr>
          <w:rStyle w:val="ab"/>
        </w:rPr>
        <w:footnoteRef/>
      </w:r>
      <w:r>
        <w:rPr>
          <w:rtl/>
        </w:rPr>
        <w:t xml:space="preserve"> </w:t>
      </w:r>
      <w:r w:rsidRPr="00AE4F6A">
        <w:rPr>
          <w:rFonts w:cs="David" w:hint="cs"/>
          <w:rtl/>
        </w:rPr>
        <w:t xml:space="preserve">סעיף 4 לחוק הסיוע המשפטי: </w:t>
      </w:r>
      <w:r>
        <w:rPr>
          <w:rStyle w:val="default"/>
          <w:rFonts w:cs="David" w:hint="cs"/>
          <w:sz w:val="20"/>
          <w:szCs w:val="20"/>
          <w:rtl/>
        </w:rPr>
        <w:t>"</w:t>
      </w:r>
      <w:r w:rsidRPr="00AE4F6A">
        <w:rPr>
          <w:rStyle w:val="default"/>
          <w:rFonts w:cs="David"/>
          <w:sz w:val="20"/>
          <w:szCs w:val="20"/>
          <w:rtl/>
        </w:rPr>
        <w:t>רא</w:t>
      </w:r>
      <w:r w:rsidRPr="00AE4F6A">
        <w:rPr>
          <w:rStyle w:val="default"/>
          <w:rFonts w:cs="David" w:hint="cs"/>
          <w:sz w:val="20"/>
          <w:szCs w:val="20"/>
          <w:rtl/>
        </w:rPr>
        <w:t>ש הלשכה רשאי לדחות בקשת שירות משפטי, אם היה סבור שענינו של המבקש אינו אלא טרדני או קנטרני, או שאין לו על מה לסמוך, או שא</w:t>
      </w:r>
      <w:r w:rsidRPr="00AE4F6A">
        <w:rPr>
          <w:rStyle w:val="default"/>
          <w:rFonts w:cs="David"/>
          <w:sz w:val="20"/>
          <w:szCs w:val="20"/>
          <w:rtl/>
        </w:rPr>
        <w:t>ין</w:t>
      </w:r>
      <w:r w:rsidRPr="00AE4F6A">
        <w:rPr>
          <w:rStyle w:val="default"/>
          <w:rFonts w:cs="David" w:hint="cs"/>
          <w:sz w:val="20"/>
          <w:szCs w:val="20"/>
          <w:rtl/>
        </w:rPr>
        <w:t xml:space="preserve"> לו בסיס סביר מבחינת הדין, העובדות או הראיות, ורשאי הוא להורות שיופסק שירות שהוחל בו וכי המבקש יחזיר הוצאות שהוציאה הלשכה על שירות שנתנה, הכל כפי שנקבע בתקנות</w:t>
      </w:r>
      <w:r>
        <w:rPr>
          <w:rFonts w:cs="David" w:hint="cs"/>
          <w:rtl/>
        </w:rPr>
        <w:t>"</w:t>
      </w:r>
      <w:r w:rsidRPr="00AE4F6A">
        <w:rPr>
          <w:rFonts w:cs="David" w:hint="cs"/>
          <w:rtl/>
        </w:rPr>
        <w:t>.</w:t>
      </w:r>
    </w:p>
  </w:footnote>
  <w:footnote w:id="2">
    <w:p w:rsidR="006B2F8A" w:rsidRDefault="006B2F8A">
      <w:pPr>
        <w:pStyle w:val="a9"/>
        <w:rPr>
          <w:rtl/>
        </w:rPr>
      </w:pPr>
      <w:r>
        <w:rPr>
          <w:rStyle w:val="ab"/>
        </w:rPr>
        <w:footnoteRef/>
      </w:r>
      <w:r>
        <w:rPr>
          <w:rtl/>
        </w:rPr>
        <w:t xml:space="preserve"> </w:t>
      </w:r>
      <w:r w:rsidRPr="006B2F8A">
        <w:rPr>
          <w:rStyle w:val="default"/>
          <w:rFonts w:cs="David" w:hint="cs"/>
          <w:sz w:val="20"/>
          <w:szCs w:val="20"/>
          <w:rtl/>
        </w:rPr>
        <w:t>סעיף 1 לחוק הגנה על עובדים.</w:t>
      </w:r>
      <w:r>
        <w:rPr>
          <w:rFonts w:hint="cs"/>
          <w:rtl/>
        </w:rPr>
        <w:t xml:space="preserve"> </w:t>
      </w:r>
    </w:p>
  </w:footnote>
  <w:footnote w:id="3">
    <w:p w:rsidR="00A10D77" w:rsidRDefault="00A10D77" w:rsidP="008B3C8E">
      <w:pPr>
        <w:pStyle w:val="a9"/>
        <w:jc w:val="both"/>
        <w:rPr>
          <w:rtl/>
        </w:rPr>
      </w:pPr>
      <w:r>
        <w:rPr>
          <w:rStyle w:val="ab"/>
        </w:rPr>
        <w:footnoteRef/>
      </w:r>
      <w:r>
        <w:rPr>
          <w:rtl/>
        </w:rPr>
        <w:t xml:space="preserve"> </w:t>
      </w:r>
      <w:r w:rsidRPr="006F27E8">
        <w:rPr>
          <w:rStyle w:val="default"/>
          <w:rFonts w:cs="David" w:hint="cs"/>
          <w:sz w:val="20"/>
          <w:szCs w:val="20"/>
          <w:rtl/>
        </w:rPr>
        <w:t xml:space="preserve">הגופים הציבוריים לעניין זה מנויים בתוספת לחוק הגנה על עובדים </w:t>
      </w:r>
      <w:r w:rsidR="008B3C8E">
        <w:rPr>
          <w:rStyle w:val="default"/>
          <w:rFonts w:cs="David" w:hint="cs"/>
          <w:sz w:val="20"/>
          <w:szCs w:val="20"/>
          <w:rtl/>
        </w:rPr>
        <w:t>וביניהם</w:t>
      </w:r>
      <w:r w:rsidRPr="006F27E8">
        <w:rPr>
          <w:rStyle w:val="default"/>
          <w:rFonts w:cs="David" w:hint="cs"/>
          <w:sz w:val="20"/>
          <w:szCs w:val="20"/>
          <w:rtl/>
        </w:rPr>
        <w:t>: משרד ממשלתי ומוסדות המדינה; רשות מקומית ותאגיד בשליטתה; תאגיד שהוקם בחו</w:t>
      </w:r>
      <w:r w:rsidR="006F27E8" w:rsidRPr="006F27E8">
        <w:rPr>
          <w:rStyle w:val="default"/>
          <w:rFonts w:cs="David" w:hint="cs"/>
          <w:sz w:val="20"/>
          <w:szCs w:val="20"/>
          <w:rtl/>
        </w:rPr>
        <w:t>ק וחברה ממשלתית; תאגיד שניהול עס</w:t>
      </w:r>
      <w:r w:rsidRPr="006F27E8">
        <w:rPr>
          <w:rStyle w:val="default"/>
          <w:rFonts w:cs="David" w:hint="cs"/>
          <w:sz w:val="20"/>
          <w:szCs w:val="20"/>
          <w:rtl/>
        </w:rPr>
        <w:t xml:space="preserve">קיו נתון לפיקוח או לביקורת על פי חוק; מוסד חינוך מוכר, </w:t>
      </w:r>
      <w:r w:rsidR="008B3C8E" w:rsidRPr="00F409C7">
        <w:rPr>
          <w:rStyle w:val="default"/>
          <w:rFonts w:cs="David" w:hint="cs"/>
          <w:sz w:val="20"/>
          <w:szCs w:val="20"/>
          <w:rtl/>
        </w:rPr>
        <w:t>מוסד להשכלה גבוהה, קופת חולים, ארגון עובדים ומעסיקים, ההסתדרות הציונית העולמית, הסוכנות היהודית לארץ-ישראל, הקרן הקיימת לישראל, ק</w:t>
      </w:r>
      <w:r w:rsidR="00F409C7">
        <w:rPr>
          <w:rStyle w:val="default"/>
          <w:rFonts w:cs="David" w:hint="cs"/>
          <w:sz w:val="20"/>
          <w:szCs w:val="20"/>
          <w:rtl/>
        </w:rPr>
        <w:t>רן היסוד, וכל גוף שהממשלה מש</w:t>
      </w:r>
      <w:r w:rsidR="00F409C7" w:rsidRPr="00F409C7">
        <w:rPr>
          <w:rStyle w:val="default"/>
          <w:rFonts w:cs="David" w:hint="cs"/>
          <w:sz w:val="20"/>
          <w:szCs w:val="20"/>
          <w:rtl/>
        </w:rPr>
        <w:t>תתפת בהנהלתו.</w:t>
      </w:r>
    </w:p>
  </w:footnote>
  <w:footnote w:id="4">
    <w:p w:rsidR="003C496E" w:rsidRDefault="003C496E">
      <w:pPr>
        <w:pStyle w:val="a9"/>
      </w:pPr>
      <w:r>
        <w:rPr>
          <w:rStyle w:val="ab"/>
        </w:rPr>
        <w:footnoteRef/>
      </w:r>
      <w:r>
        <w:rPr>
          <w:rtl/>
        </w:rPr>
        <w:t xml:space="preserve"> </w:t>
      </w:r>
      <w:r w:rsidRPr="003C496E">
        <w:rPr>
          <w:rStyle w:val="default"/>
          <w:rFonts w:cs="David" w:hint="cs"/>
          <w:sz w:val="20"/>
          <w:szCs w:val="20"/>
          <w:rtl/>
        </w:rPr>
        <w:t>סעיף 4 לחוק הגנה על עובדים.</w:t>
      </w:r>
    </w:p>
  </w:footnote>
  <w:footnote w:id="5">
    <w:p w:rsidR="003E08FC" w:rsidRDefault="003E08FC">
      <w:pPr>
        <w:pStyle w:val="a9"/>
        <w:rPr>
          <w:rtl/>
        </w:rPr>
      </w:pPr>
      <w:r>
        <w:rPr>
          <w:rStyle w:val="ab"/>
        </w:rPr>
        <w:footnoteRef/>
      </w:r>
      <w:r>
        <w:rPr>
          <w:rtl/>
        </w:rPr>
        <w:t xml:space="preserve"> </w:t>
      </w:r>
      <w:r>
        <w:rPr>
          <w:rStyle w:val="default"/>
          <w:rFonts w:cs="David" w:hint="cs"/>
          <w:sz w:val="20"/>
          <w:szCs w:val="20"/>
          <w:rtl/>
        </w:rPr>
        <w:t xml:space="preserve">לפי סעיף 45ב לחוק מבקר המדינה, </w:t>
      </w:r>
      <w:r w:rsidRPr="003E08FC">
        <w:rPr>
          <w:rStyle w:val="default"/>
          <w:rFonts w:cs="David" w:hint="cs"/>
          <w:sz w:val="20"/>
          <w:szCs w:val="20"/>
          <w:rtl/>
        </w:rPr>
        <w:t>בנסיבות מיוחדות, ניתן לברר גם תלונה שהוגשה שלא לפי נהלים תקינים.</w:t>
      </w:r>
    </w:p>
  </w:footnote>
  <w:footnote w:id="6">
    <w:p w:rsidR="00EE4242" w:rsidRDefault="00EE4242" w:rsidP="00CC14AE">
      <w:pPr>
        <w:pStyle w:val="a9"/>
        <w:jc w:val="both"/>
        <w:rPr>
          <w:rtl/>
        </w:rPr>
      </w:pPr>
      <w:r>
        <w:rPr>
          <w:rStyle w:val="ab"/>
        </w:rPr>
        <w:footnoteRef/>
      </w:r>
      <w:r>
        <w:rPr>
          <w:rtl/>
        </w:rPr>
        <w:t xml:space="preserve"> </w:t>
      </w:r>
      <w:r w:rsidR="005D3230" w:rsidRPr="005D3230">
        <w:rPr>
          <w:rStyle w:val="default"/>
          <w:rFonts w:cs="David" w:hint="cs"/>
          <w:sz w:val="20"/>
          <w:szCs w:val="20"/>
          <w:rtl/>
        </w:rPr>
        <w:t>לעניין זה,</w:t>
      </w:r>
      <w:r w:rsidR="005D3230">
        <w:rPr>
          <w:rFonts w:hint="cs"/>
          <w:rtl/>
        </w:rPr>
        <w:t xml:space="preserve"> </w:t>
      </w:r>
      <w:r w:rsidR="005D3230" w:rsidRPr="005D3230">
        <w:rPr>
          <w:rStyle w:val="default"/>
          <w:rFonts w:cs="David" w:hint="cs"/>
          <w:sz w:val="20"/>
          <w:szCs w:val="20"/>
          <w:rtl/>
        </w:rPr>
        <w:t xml:space="preserve">מדובר על גופים שנמנו בסעיף 9(1) עד 9(6) </w:t>
      </w:r>
      <w:r w:rsidRPr="005D3230">
        <w:rPr>
          <w:rStyle w:val="default"/>
          <w:rFonts w:cs="David" w:hint="cs"/>
          <w:sz w:val="20"/>
          <w:szCs w:val="20"/>
          <w:rtl/>
        </w:rPr>
        <w:t>לחוק מבקר המדינה</w:t>
      </w:r>
      <w:r w:rsidR="005D3230">
        <w:rPr>
          <w:rStyle w:val="default"/>
          <w:rFonts w:cs="David" w:hint="cs"/>
          <w:sz w:val="20"/>
          <w:szCs w:val="20"/>
          <w:rtl/>
        </w:rPr>
        <w:t xml:space="preserve"> (ביניהם </w:t>
      </w:r>
      <w:r w:rsidR="005D3230">
        <w:rPr>
          <w:rStyle w:val="default"/>
          <w:rFonts w:cs="David"/>
          <w:sz w:val="20"/>
          <w:szCs w:val="20"/>
          <w:rtl/>
        </w:rPr>
        <w:t>–</w:t>
      </w:r>
      <w:r w:rsidR="005D3230">
        <w:rPr>
          <w:rStyle w:val="default"/>
          <w:rFonts w:cs="David" w:hint="cs"/>
          <w:sz w:val="20"/>
          <w:szCs w:val="20"/>
          <w:rtl/>
        </w:rPr>
        <w:t xml:space="preserve"> משרדי ממשלה, מפעל או מוסד של המדינה, רשות מקומית, חברה ממשלתית וגופים שיועמדו לביקורת על פי חוק, החלטת הכנסת או הסכם עם הממשלה)</w:t>
      </w:r>
      <w:r w:rsidRPr="005D3230">
        <w:rPr>
          <w:rStyle w:val="default"/>
          <w:rFonts w:cs="David" w:hint="cs"/>
          <w:sz w:val="20"/>
          <w:szCs w:val="20"/>
          <w:rtl/>
        </w:rPr>
        <w:t xml:space="preserve"> ובגופים שנמנו </w:t>
      </w:r>
      <w:r w:rsidR="005D3230" w:rsidRPr="005D3230">
        <w:rPr>
          <w:rStyle w:val="default"/>
          <w:rFonts w:cs="David" w:hint="cs"/>
          <w:sz w:val="20"/>
          <w:szCs w:val="20"/>
          <w:rtl/>
        </w:rPr>
        <w:t>בסעיף 9(7) ו-9(8) לחוק מבקר המדינה</w:t>
      </w:r>
      <w:r w:rsidR="000302BE">
        <w:rPr>
          <w:rStyle w:val="default"/>
          <w:rFonts w:cs="David" w:hint="cs"/>
          <w:sz w:val="20"/>
          <w:szCs w:val="20"/>
          <w:rtl/>
        </w:rPr>
        <w:t xml:space="preserve"> (חברת בת ממשלתית, גופים שבהנהלתם משתתפים גופים מבוקרים אחרים, וגופים שנתמכים על ידי הממשלה או על ידי גוף מבוקר אחר)</w:t>
      </w:r>
      <w:r w:rsidR="005D3230" w:rsidRPr="005D3230">
        <w:rPr>
          <w:rStyle w:val="default"/>
          <w:rFonts w:cs="David" w:hint="cs"/>
          <w:sz w:val="20"/>
          <w:szCs w:val="20"/>
          <w:rtl/>
        </w:rPr>
        <w:t xml:space="preserve">, אם הוועדה </w:t>
      </w:r>
      <w:r w:rsidR="00CC14AE" w:rsidRPr="00CC14AE">
        <w:rPr>
          <w:rStyle w:val="default"/>
          <w:rFonts w:cs="David" w:hint="cs"/>
          <w:sz w:val="20"/>
          <w:szCs w:val="20"/>
          <w:rtl/>
        </w:rPr>
        <w:t>לענייני בקורת המדינה של הכנסת</w:t>
      </w:r>
      <w:r w:rsidR="00CC14AE">
        <w:rPr>
          <w:rStyle w:val="default"/>
          <w:rFonts w:cs="FrankRuehl" w:hint="cs"/>
          <w:rtl/>
        </w:rPr>
        <w:t xml:space="preserve"> </w:t>
      </w:r>
      <w:r w:rsidR="005D3230" w:rsidRPr="005D3230">
        <w:rPr>
          <w:rStyle w:val="default"/>
          <w:rFonts w:cs="David" w:hint="cs"/>
          <w:sz w:val="20"/>
          <w:szCs w:val="20"/>
          <w:rtl/>
        </w:rPr>
        <w:t>או נציב תלונות הציבור החליטו כך.</w:t>
      </w:r>
    </w:p>
  </w:footnote>
  <w:footnote w:id="7">
    <w:p w:rsidR="00BA6BC4" w:rsidRDefault="00BA6BC4">
      <w:pPr>
        <w:pStyle w:val="a9"/>
        <w:rPr>
          <w:rtl/>
        </w:rPr>
      </w:pPr>
      <w:r>
        <w:rPr>
          <w:rStyle w:val="ab"/>
        </w:rPr>
        <w:footnoteRef/>
      </w:r>
      <w:r>
        <w:rPr>
          <w:rtl/>
        </w:rPr>
        <w:t xml:space="preserve"> </w:t>
      </w:r>
      <w:r w:rsidRPr="00BA6BC4">
        <w:rPr>
          <w:rStyle w:val="default"/>
          <w:rFonts w:cs="David" w:hint="cs"/>
          <w:sz w:val="20"/>
          <w:szCs w:val="20"/>
          <w:rtl/>
        </w:rPr>
        <w:t>סעיפים 37-36 לחוק מבקר המדינה.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678" w:rsidRDefault="00787EE2" w:rsidP="0068326F">
    <w:pPr>
      <w:pStyle w:val="a5"/>
      <w:jc w:val="right"/>
      <w:rPr>
        <w:rFonts w:cs="David"/>
        <w:sz w:val="24"/>
        <w:szCs w:val="24"/>
        <w:rtl/>
      </w:rPr>
    </w:pPr>
    <w:r w:rsidRPr="004026D7">
      <w:rPr>
        <w:rFonts w:cs="David" w:hint="cs"/>
        <w:sz w:val="24"/>
        <w:szCs w:val="24"/>
        <w:rtl/>
      </w:rPr>
      <w:t>‏</w:t>
    </w:r>
    <w:r>
      <w:rPr>
        <w:rFonts w:cs="David" w:hint="cs"/>
        <w:sz w:val="24"/>
        <w:szCs w:val="24"/>
        <w:rtl/>
      </w:rPr>
      <w:t>‏</w:t>
    </w:r>
    <w:r w:rsidR="00E746E2">
      <w:rPr>
        <w:rFonts w:cs="David" w:hint="cs"/>
        <w:sz w:val="24"/>
        <w:szCs w:val="24"/>
        <w:rtl/>
      </w:rPr>
      <w:t>‏</w:t>
    </w:r>
    <w:r w:rsidR="00A60695">
      <w:rPr>
        <w:rFonts w:cs="David" w:hint="cs"/>
        <w:sz w:val="24"/>
        <w:szCs w:val="24"/>
        <w:rtl/>
      </w:rPr>
      <w:t>‏</w:t>
    </w:r>
    <w:r w:rsidR="00D23F78">
      <w:rPr>
        <w:rFonts w:cs="David" w:hint="cs"/>
        <w:sz w:val="24"/>
        <w:szCs w:val="24"/>
        <w:rtl/>
      </w:rPr>
      <w:t>‏</w:t>
    </w:r>
    <w:r w:rsidR="00696A87">
      <w:rPr>
        <w:rFonts w:cs="David" w:hint="cs"/>
        <w:sz w:val="24"/>
        <w:szCs w:val="24"/>
        <w:rtl/>
      </w:rPr>
      <w:t>‏</w:t>
    </w:r>
    <w:r w:rsidR="00C26678">
      <w:rPr>
        <w:rFonts w:cs="David" w:hint="cs"/>
        <w:sz w:val="24"/>
        <w:szCs w:val="24"/>
        <w:rtl/>
      </w:rPr>
      <w:t>‏</w:t>
    </w:r>
    <w:r w:rsidR="0068326F">
      <w:rPr>
        <w:rFonts w:cs="David" w:hint="cs"/>
        <w:sz w:val="24"/>
        <w:szCs w:val="24"/>
        <w:rtl/>
      </w:rPr>
      <w:t>‏כ</w:t>
    </w:r>
    <w:r w:rsidR="0068326F">
      <w:rPr>
        <w:rFonts w:cs="David"/>
        <w:sz w:val="24"/>
        <w:szCs w:val="24"/>
        <w:rtl/>
      </w:rPr>
      <w:t>"</w:t>
    </w:r>
    <w:r w:rsidR="0068326F">
      <w:rPr>
        <w:rFonts w:cs="David" w:hint="cs"/>
        <w:sz w:val="24"/>
        <w:szCs w:val="24"/>
        <w:rtl/>
      </w:rPr>
      <w:t>ט</w:t>
    </w:r>
    <w:r w:rsidR="0068326F">
      <w:rPr>
        <w:rFonts w:cs="David"/>
        <w:sz w:val="24"/>
        <w:szCs w:val="24"/>
        <w:rtl/>
      </w:rPr>
      <w:t xml:space="preserve"> </w:t>
    </w:r>
    <w:r w:rsidR="0068326F">
      <w:rPr>
        <w:rFonts w:cs="David" w:hint="cs"/>
        <w:sz w:val="24"/>
        <w:szCs w:val="24"/>
        <w:rtl/>
      </w:rPr>
      <w:t>תשרי</w:t>
    </w:r>
    <w:r w:rsidR="0068326F">
      <w:rPr>
        <w:rFonts w:cs="David"/>
        <w:sz w:val="24"/>
        <w:szCs w:val="24"/>
        <w:rtl/>
      </w:rPr>
      <w:t xml:space="preserve"> </w:t>
    </w:r>
    <w:r w:rsidR="0068326F">
      <w:rPr>
        <w:rFonts w:cs="David" w:hint="cs"/>
        <w:sz w:val="24"/>
        <w:szCs w:val="24"/>
        <w:rtl/>
      </w:rPr>
      <w:t>תשע</w:t>
    </w:r>
    <w:r w:rsidR="0068326F">
      <w:rPr>
        <w:rFonts w:cs="David"/>
        <w:sz w:val="24"/>
        <w:szCs w:val="24"/>
        <w:rtl/>
      </w:rPr>
      <w:t>"</w:t>
    </w:r>
    <w:r w:rsidR="0068326F">
      <w:rPr>
        <w:rFonts w:cs="David" w:hint="cs"/>
        <w:sz w:val="24"/>
        <w:szCs w:val="24"/>
        <w:rtl/>
      </w:rPr>
      <w:t>ה</w:t>
    </w:r>
  </w:p>
  <w:p w:rsidR="00787EE2" w:rsidRPr="00787EE2" w:rsidRDefault="0068326F" w:rsidP="0068326F">
    <w:pPr>
      <w:pStyle w:val="a5"/>
      <w:jc w:val="right"/>
    </w:pPr>
    <w:r>
      <w:rPr>
        <w:rFonts w:cs="David" w:hint="cs"/>
        <w:sz w:val="24"/>
        <w:szCs w:val="24"/>
        <w:rtl/>
      </w:rPr>
      <w:t>‏</w:t>
    </w:r>
    <w:r>
      <w:rPr>
        <w:rFonts w:cs="David"/>
        <w:sz w:val="24"/>
        <w:szCs w:val="24"/>
        <w:rtl/>
      </w:rPr>
      <w:t xml:space="preserve">23 </w:t>
    </w:r>
    <w:r>
      <w:rPr>
        <w:rFonts w:cs="David" w:hint="cs"/>
        <w:sz w:val="24"/>
        <w:szCs w:val="24"/>
        <w:rtl/>
      </w:rPr>
      <w:t>אוקטובר</w:t>
    </w:r>
    <w:r>
      <w:rPr>
        <w:rFonts w:cs="David"/>
        <w:sz w:val="24"/>
        <w:szCs w:val="24"/>
        <w:rtl/>
      </w:rPr>
      <w:t xml:space="preserve">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B5E8A"/>
    <w:multiLevelType w:val="hybridMultilevel"/>
    <w:tmpl w:val="B7026968"/>
    <w:lvl w:ilvl="0" w:tplc="213C6A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BC3086A"/>
    <w:multiLevelType w:val="hybridMultilevel"/>
    <w:tmpl w:val="FB8A65E0"/>
    <w:lvl w:ilvl="0" w:tplc="B6AA3CEC">
      <w:start w:val="1"/>
      <w:numFmt w:val="decimal"/>
      <w:lvlText w:val="%1."/>
      <w:lvlJc w:val="left"/>
      <w:pPr>
        <w:ind w:left="360" w:hanging="360"/>
      </w:pPr>
      <w:rPr>
        <w:rFonts w:hint="default"/>
        <w:lang w:bidi="he-I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61D0DFC"/>
    <w:multiLevelType w:val="hybridMultilevel"/>
    <w:tmpl w:val="8FA89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AD277C"/>
    <w:multiLevelType w:val="hybridMultilevel"/>
    <w:tmpl w:val="1902C0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69801068"/>
    <w:multiLevelType w:val="hybridMultilevel"/>
    <w:tmpl w:val="1902C0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244"/>
    <w:rsid w:val="00026D37"/>
    <w:rsid w:val="000302BE"/>
    <w:rsid w:val="00040F41"/>
    <w:rsid w:val="0004419D"/>
    <w:rsid w:val="00057E29"/>
    <w:rsid w:val="00062963"/>
    <w:rsid w:val="00080361"/>
    <w:rsid w:val="000B28E2"/>
    <w:rsid w:val="000C0D8A"/>
    <w:rsid w:val="000C19AB"/>
    <w:rsid w:val="000E19D0"/>
    <w:rsid w:val="000E1F70"/>
    <w:rsid w:val="000F1E71"/>
    <w:rsid w:val="00163FF3"/>
    <w:rsid w:val="001E76E9"/>
    <w:rsid w:val="00202F74"/>
    <w:rsid w:val="002112F4"/>
    <w:rsid w:val="002A67F7"/>
    <w:rsid w:val="002B38E8"/>
    <w:rsid w:val="002B4478"/>
    <w:rsid w:val="002C1027"/>
    <w:rsid w:val="002C59AA"/>
    <w:rsid w:val="002D0D74"/>
    <w:rsid w:val="002D1E9E"/>
    <w:rsid w:val="00312D8D"/>
    <w:rsid w:val="003267E5"/>
    <w:rsid w:val="00352D6E"/>
    <w:rsid w:val="003535FF"/>
    <w:rsid w:val="003861E0"/>
    <w:rsid w:val="00393EAC"/>
    <w:rsid w:val="003B309A"/>
    <w:rsid w:val="003C496E"/>
    <w:rsid w:val="003E08FC"/>
    <w:rsid w:val="004070AC"/>
    <w:rsid w:val="00430C76"/>
    <w:rsid w:val="004451F4"/>
    <w:rsid w:val="004557A9"/>
    <w:rsid w:val="004626B2"/>
    <w:rsid w:val="0046340A"/>
    <w:rsid w:val="0048777A"/>
    <w:rsid w:val="00497CDF"/>
    <w:rsid w:val="004B3CF7"/>
    <w:rsid w:val="004C578E"/>
    <w:rsid w:val="004F6D31"/>
    <w:rsid w:val="0059267E"/>
    <w:rsid w:val="005D3230"/>
    <w:rsid w:val="006245E4"/>
    <w:rsid w:val="00636C0B"/>
    <w:rsid w:val="00662245"/>
    <w:rsid w:val="00662DB2"/>
    <w:rsid w:val="00675951"/>
    <w:rsid w:val="00680791"/>
    <w:rsid w:val="0068326F"/>
    <w:rsid w:val="00696A87"/>
    <w:rsid w:val="006A3482"/>
    <w:rsid w:val="006B28C7"/>
    <w:rsid w:val="006B2F8A"/>
    <w:rsid w:val="006B61B0"/>
    <w:rsid w:val="006F27E8"/>
    <w:rsid w:val="00706416"/>
    <w:rsid w:val="00782B12"/>
    <w:rsid w:val="00787EE2"/>
    <w:rsid w:val="007B2F38"/>
    <w:rsid w:val="007B405F"/>
    <w:rsid w:val="007C5AD2"/>
    <w:rsid w:val="007C7141"/>
    <w:rsid w:val="007F494B"/>
    <w:rsid w:val="00847F73"/>
    <w:rsid w:val="0085562E"/>
    <w:rsid w:val="00865458"/>
    <w:rsid w:val="00887BA1"/>
    <w:rsid w:val="00890795"/>
    <w:rsid w:val="008A616C"/>
    <w:rsid w:val="008B3C8E"/>
    <w:rsid w:val="0092355D"/>
    <w:rsid w:val="00945E59"/>
    <w:rsid w:val="00952CFF"/>
    <w:rsid w:val="009A0E74"/>
    <w:rsid w:val="009B0954"/>
    <w:rsid w:val="009B3FB6"/>
    <w:rsid w:val="009D2963"/>
    <w:rsid w:val="00A10D77"/>
    <w:rsid w:val="00A4558C"/>
    <w:rsid w:val="00A60695"/>
    <w:rsid w:val="00AC0B2C"/>
    <w:rsid w:val="00AE4F6A"/>
    <w:rsid w:val="00B03141"/>
    <w:rsid w:val="00B339C2"/>
    <w:rsid w:val="00B33F4D"/>
    <w:rsid w:val="00B41BAD"/>
    <w:rsid w:val="00B4271D"/>
    <w:rsid w:val="00BA6BC4"/>
    <w:rsid w:val="00BC2621"/>
    <w:rsid w:val="00BF0499"/>
    <w:rsid w:val="00C005AD"/>
    <w:rsid w:val="00C07D80"/>
    <w:rsid w:val="00C26678"/>
    <w:rsid w:val="00C503A6"/>
    <w:rsid w:val="00CC14AE"/>
    <w:rsid w:val="00CC2244"/>
    <w:rsid w:val="00CF78F3"/>
    <w:rsid w:val="00D00FD8"/>
    <w:rsid w:val="00D12014"/>
    <w:rsid w:val="00D23CB2"/>
    <w:rsid w:val="00D23F78"/>
    <w:rsid w:val="00D37A80"/>
    <w:rsid w:val="00D93215"/>
    <w:rsid w:val="00DB6D70"/>
    <w:rsid w:val="00DD087E"/>
    <w:rsid w:val="00DD300E"/>
    <w:rsid w:val="00DE6555"/>
    <w:rsid w:val="00DF099E"/>
    <w:rsid w:val="00DF2E5D"/>
    <w:rsid w:val="00E1172F"/>
    <w:rsid w:val="00E139CF"/>
    <w:rsid w:val="00E746E2"/>
    <w:rsid w:val="00E94D3F"/>
    <w:rsid w:val="00E97897"/>
    <w:rsid w:val="00EC675A"/>
    <w:rsid w:val="00ED41A6"/>
    <w:rsid w:val="00EE2219"/>
    <w:rsid w:val="00EE4242"/>
    <w:rsid w:val="00F01917"/>
    <w:rsid w:val="00F37546"/>
    <w:rsid w:val="00F409C7"/>
    <w:rsid w:val="00F47B3B"/>
    <w:rsid w:val="00F60690"/>
    <w:rsid w:val="00F85747"/>
    <w:rsid w:val="00F92E23"/>
    <w:rsid w:val="00FC0F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1917"/>
    <w:pPr>
      <w:ind w:left="720"/>
      <w:contextualSpacing/>
    </w:pPr>
  </w:style>
  <w:style w:type="paragraph" w:customStyle="1" w:styleId="big-header">
    <w:name w:val="big-header"/>
    <w:basedOn w:val="a"/>
    <w:rsid w:val="00787EE2"/>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table" w:styleId="a4">
    <w:name w:val="Table Grid"/>
    <w:basedOn w:val="a1"/>
    <w:uiPriority w:val="59"/>
    <w:rsid w:val="00787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787EE2"/>
    <w:pPr>
      <w:tabs>
        <w:tab w:val="center" w:pos="4153"/>
        <w:tab w:val="right" w:pos="8306"/>
      </w:tabs>
      <w:spacing w:after="0" w:line="240" w:lineRule="auto"/>
    </w:pPr>
  </w:style>
  <w:style w:type="character" w:customStyle="1" w:styleId="a6">
    <w:name w:val="כותרת עליונה תו"/>
    <w:basedOn w:val="a0"/>
    <w:link w:val="a5"/>
    <w:uiPriority w:val="99"/>
    <w:rsid w:val="00787EE2"/>
  </w:style>
  <w:style w:type="paragraph" w:styleId="a7">
    <w:name w:val="footer"/>
    <w:basedOn w:val="a"/>
    <w:link w:val="a8"/>
    <w:uiPriority w:val="99"/>
    <w:unhideWhenUsed/>
    <w:rsid w:val="00787EE2"/>
    <w:pPr>
      <w:tabs>
        <w:tab w:val="center" w:pos="4153"/>
        <w:tab w:val="right" w:pos="8306"/>
      </w:tabs>
      <w:spacing w:after="0" w:line="240" w:lineRule="auto"/>
    </w:pPr>
  </w:style>
  <w:style w:type="character" w:customStyle="1" w:styleId="a8">
    <w:name w:val="כותרת תחתונה תו"/>
    <w:basedOn w:val="a0"/>
    <w:link w:val="a7"/>
    <w:uiPriority w:val="99"/>
    <w:rsid w:val="00787EE2"/>
  </w:style>
  <w:style w:type="paragraph" w:styleId="a9">
    <w:name w:val="footnote text"/>
    <w:basedOn w:val="a"/>
    <w:link w:val="aa"/>
    <w:uiPriority w:val="99"/>
    <w:semiHidden/>
    <w:unhideWhenUsed/>
    <w:rsid w:val="00AE4F6A"/>
    <w:pPr>
      <w:spacing w:after="0" w:line="240" w:lineRule="auto"/>
    </w:pPr>
    <w:rPr>
      <w:sz w:val="20"/>
      <w:szCs w:val="20"/>
    </w:rPr>
  </w:style>
  <w:style w:type="character" w:customStyle="1" w:styleId="aa">
    <w:name w:val="טקסט הערת שוליים תו"/>
    <w:basedOn w:val="a0"/>
    <w:link w:val="a9"/>
    <w:uiPriority w:val="99"/>
    <w:semiHidden/>
    <w:rsid w:val="00AE4F6A"/>
    <w:rPr>
      <w:sz w:val="20"/>
      <w:szCs w:val="20"/>
    </w:rPr>
  </w:style>
  <w:style w:type="character" w:styleId="ab">
    <w:name w:val="footnote reference"/>
    <w:basedOn w:val="a0"/>
    <w:uiPriority w:val="99"/>
    <w:semiHidden/>
    <w:unhideWhenUsed/>
    <w:rsid w:val="00AE4F6A"/>
    <w:rPr>
      <w:vertAlign w:val="superscript"/>
    </w:rPr>
  </w:style>
  <w:style w:type="character" w:customStyle="1" w:styleId="default">
    <w:name w:val="default"/>
    <w:rsid w:val="00AE4F6A"/>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1917"/>
    <w:pPr>
      <w:ind w:left="720"/>
      <w:contextualSpacing/>
    </w:pPr>
  </w:style>
  <w:style w:type="paragraph" w:customStyle="1" w:styleId="big-header">
    <w:name w:val="big-header"/>
    <w:basedOn w:val="a"/>
    <w:rsid w:val="00787EE2"/>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table" w:styleId="a4">
    <w:name w:val="Table Grid"/>
    <w:basedOn w:val="a1"/>
    <w:uiPriority w:val="59"/>
    <w:rsid w:val="00787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787EE2"/>
    <w:pPr>
      <w:tabs>
        <w:tab w:val="center" w:pos="4153"/>
        <w:tab w:val="right" w:pos="8306"/>
      </w:tabs>
      <w:spacing w:after="0" w:line="240" w:lineRule="auto"/>
    </w:pPr>
  </w:style>
  <w:style w:type="character" w:customStyle="1" w:styleId="a6">
    <w:name w:val="כותרת עליונה תו"/>
    <w:basedOn w:val="a0"/>
    <w:link w:val="a5"/>
    <w:uiPriority w:val="99"/>
    <w:rsid w:val="00787EE2"/>
  </w:style>
  <w:style w:type="paragraph" w:styleId="a7">
    <w:name w:val="footer"/>
    <w:basedOn w:val="a"/>
    <w:link w:val="a8"/>
    <w:uiPriority w:val="99"/>
    <w:unhideWhenUsed/>
    <w:rsid w:val="00787EE2"/>
    <w:pPr>
      <w:tabs>
        <w:tab w:val="center" w:pos="4153"/>
        <w:tab w:val="right" w:pos="8306"/>
      </w:tabs>
      <w:spacing w:after="0" w:line="240" w:lineRule="auto"/>
    </w:pPr>
  </w:style>
  <w:style w:type="character" w:customStyle="1" w:styleId="a8">
    <w:name w:val="כותרת תחתונה תו"/>
    <w:basedOn w:val="a0"/>
    <w:link w:val="a7"/>
    <w:uiPriority w:val="99"/>
    <w:rsid w:val="00787EE2"/>
  </w:style>
  <w:style w:type="paragraph" w:styleId="a9">
    <w:name w:val="footnote text"/>
    <w:basedOn w:val="a"/>
    <w:link w:val="aa"/>
    <w:uiPriority w:val="99"/>
    <w:semiHidden/>
    <w:unhideWhenUsed/>
    <w:rsid w:val="00AE4F6A"/>
    <w:pPr>
      <w:spacing w:after="0" w:line="240" w:lineRule="auto"/>
    </w:pPr>
    <w:rPr>
      <w:sz w:val="20"/>
      <w:szCs w:val="20"/>
    </w:rPr>
  </w:style>
  <w:style w:type="character" w:customStyle="1" w:styleId="aa">
    <w:name w:val="טקסט הערת שוליים תו"/>
    <w:basedOn w:val="a0"/>
    <w:link w:val="a9"/>
    <w:uiPriority w:val="99"/>
    <w:semiHidden/>
    <w:rsid w:val="00AE4F6A"/>
    <w:rPr>
      <w:sz w:val="20"/>
      <w:szCs w:val="20"/>
    </w:rPr>
  </w:style>
  <w:style w:type="character" w:styleId="ab">
    <w:name w:val="footnote reference"/>
    <w:basedOn w:val="a0"/>
    <w:uiPriority w:val="99"/>
    <w:semiHidden/>
    <w:unhideWhenUsed/>
    <w:rsid w:val="00AE4F6A"/>
    <w:rPr>
      <w:vertAlign w:val="superscript"/>
    </w:rPr>
  </w:style>
  <w:style w:type="character" w:customStyle="1" w:styleId="default">
    <w:name w:val="default"/>
    <w:rsid w:val="00AE4F6A"/>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E04E65-B953-40FB-8132-A0EB457986D0}"/>
</file>

<file path=customXml/itemProps2.xml><?xml version="1.0" encoding="utf-8"?>
<ds:datastoreItem xmlns:ds="http://schemas.openxmlformats.org/officeDocument/2006/customXml" ds:itemID="{97E7BAD1-3E9F-430E-80AE-4D4BF541CFAD}"/>
</file>

<file path=customXml/itemProps3.xml><?xml version="1.0" encoding="utf-8"?>
<ds:datastoreItem xmlns:ds="http://schemas.openxmlformats.org/officeDocument/2006/customXml" ds:itemID="{1AE50EBD-A434-477A-BA8A-8E747E98AF0A}"/>
</file>

<file path=customXml/itemProps4.xml><?xml version="1.0" encoding="utf-8"?>
<ds:datastoreItem xmlns:ds="http://schemas.openxmlformats.org/officeDocument/2006/customXml" ds:itemID="{64067B0F-5F80-4620-8FD4-3A50CAF4ADC1}"/>
</file>

<file path=docProps/app.xml><?xml version="1.0" encoding="utf-8"?>
<Properties xmlns="http://schemas.openxmlformats.org/officeDocument/2006/extended-properties" xmlns:vt="http://schemas.openxmlformats.org/officeDocument/2006/docPropsVTypes">
  <Template>Normal</Template>
  <TotalTime>1</TotalTime>
  <Pages>4</Pages>
  <Words>1121</Words>
  <Characters>5607</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ניצןר</dc:creator>
  <cp:lastModifiedBy>User</cp:lastModifiedBy>
  <cp:revision>2</cp:revision>
  <cp:lastPrinted>2014-10-19T07:42:00Z</cp:lastPrinted>
  <dcterms:created xsi:type="dcterms:W3CDTF">2014-10-26T10:19:00Z</dcterms:created>
  <dcterms:modified xsi:type="dcterms:W3CDTF">2014-10-26T10:19:00Z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