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136A" w:rsidRDefault="004C136A" w:rsidP="00A6092F">
      <w:pPr>
        <w:pStyle w:val="P00"/>
        <w:spacing w:before="72"/>
        <w:ind w:left="0" w:right="1134"/>
        <w:rPr>
          <w:rStyle w:val="big-number"/>
          <w:rFonts w:cs="David"/>
          <w:b/>
          <w:bCs/>
          <w:noProof w:val="0"/>
          <w:sz w:val="28"/>
          <w:szCs w:val="28"/>
          <w:rtl/>
        </w:rPr>
      </w:pPr>
      <w:r w:rsidRPr="00154623">
        <w:rPr>
          <w:rStyle w:val="big-number"/>
          <w:rFonts w:cs="David"/>
          <w:b/>
          <w:bCs/>
          <w:noProof w:val="0"/>
          <w:sz w:val="28"/>
          <w:szCs w:val="28"/>
          <w:rtl/>
        </w:rPr>
        <w:t xml:space="preserve">שיקולים ואמות מידה בקביעת מדיניות תגמול </w:t>
      </w:r>
      <w:r>
        <w:rPr>
          <w:rStyle w:val="big-number"/>
          <w:rFonts w:cs="David"/>
          <w:b/>
          <w:bCs/>
          <w:noProof w:val="0"/>
          <w:sz w:val="28"/>
          <w:szCs w:val="28"/>
          <w:rtl/>
        </w:rPr>
        <w:t xml:space="preserve">לפי </w:t>
      </w:r>
      <w:bookmarkStart w:id="0" w:name="_GoBack"/>
      <w:bookmarkEnd w:id="0"/>
      <w:r>
        <w:rPr>
          <w:rStyle w:val="big-number"/>
          <w:rFonts w:cs="David"/>
          <w:b/>
          <w:bCs/>
          <w:noProof w:val="0"/>
          <w:sz w:val="28"/>
          <w:szCs w:val="28"/>
          <w:rtl/>
        </w:rPr>
        <w:t>חוק החברות</w:t>
      </w:r>
    </w:p>
    <w:p w:rsidR="004C136A" w:rsidRPr="00154623" w:rsidRDefault="004C136A" w:rsidP="00154623">
      <w:pPr>
        <w:pStyle w:val="P00"/>
        <w:spacing w:before="72"/>
        <w:ind w:left="0" w:right="1134"/>
        <w:rPr>
          <w:rStyle w:val="big-number"/>
          <w:rFonts w:cs="David"/>
          <w:b/>
          <w:bCs/>
          <w:noProof w:val="0"/>
          <w:sz w:val="28"/>
          <w:szCs w:val="28"/>
          <w:rtl/>
        </w:rPr>
      </w:pPr>
    </w:p>
    <w:p w:rsidR="004C136A" w:rsidRPr="00A6092F" w:rsidRDefault="004C136A" w:rsidP="00154623">
      <w:pPr>
        <w:pStyle w:val="P00"/>
        <w:spacing w:before="72"/>
        <w:ind w:left="0" w:right="1134"/>
        <w:rPr>
          <w:rStyle w:val="default"/>
          <w:rFonts w:cs="FrankRuehl"/>
          <w:b/>
          <w:bCs/>
          <w:noProof w:val="0"/>
          <w:rtl/>
        </w:rPr>
      </w:pPr>
      <w:r>
        <w:rPr>
          <w:lang w:eastAsia="en-US"/>
        </w:rPr>
        <w:pict>
          <v:rect id="מלבן 1" o:spid="_x0000_s1026" style="position:absolute;left:0;text-align:left;margin-left:464.5pt;margin-top:8.05pt;width:75.05pt;height:36.0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" o:allowincell="f" filled="f" stroked="f" strokecolor="lime" strokeweight=".25pt">
            <v:textbox inset="0,0,0,0">
              <w:txbxContent>
                <w:p w:rsidR="004C136A" w:rsidRDefault="004C136A" w:rsidP="00154623">
                  <w:pPr>
                    <w:spacing w:line="160" w:lineRule="exact"/>
                    <w:jc w:val="left"/>
                    <w:rPr>
                      <w:rFonts w:cs="Miriam"/>
                      <w:noProof/>
                      <w:sz w:val="18"/>
                      <w:szCs w:val="18"/>
                      <w:rtl/>
                    </w:rPr>
                  </w:pPr>
                </w:p>
              </w:txbxContent>
            </v:textbox>
            <w10:anchorlock/>
          </v:rect>
        </w:pict>
      </w:r>
      <w:r w:rsidRPr="00A6092F">
        <w:rPr>
          <w:rStyle w:val="big-number"/>
          <w:rFonts w:cs="Miriam"/>
          <w:b/>
          <w:bCs/>
          <w:noProof w:val="0"/>
          <w:rtl/>
        </w:rPr>
        <w:t>267</w:t>
      </w:r>
      <w:r w:rsidRPr="00A6092F">
        <w:rPr>
          <w:rStyle w:val="default"/>
          <w:rFonts w:cs="FrankRuehl"/>
          <w:b/>
          <w:bCs/>
          <w:noProof w:val="0"/>
          <w:rtl/>
        </w:rPr>
        <w:t>ב.</w:t>
      </w:r>
      <w:r w:rsidRPr="00A6092F">
        <w:rPr>
          <w:rStyle w:val="default"/>
          <w:rFonts w:cs="FrankRuehl"/>
          <w:b/>
          <w:bCs/>
          <w:noProof w:val="0"/>
          <w:u w:val="single"/>
          <w:rtl/>
        </w:rPr>
        <w:t xml:space="preserve">שיקולים בקביעת מדיניות תגמול </w:t>
      </w:r>
    </w:p>
    <w:p w:rsidR="004C136A" w:rsidRDefault="004C136A" w:rsidP="00154623">
      <w:pPr>
        <w:pStyle w:val="P00"/>
        <w:spacing w:before="72"/>
        <w:ind w:left="0" w:right="1134"/>
        <w:rPr>
          <w:rStyle w:val="default"/>
          <w:rFonts w:cs="FrankRuehl"/>
          <w:noProof w:val="0"/>
          <w:rtl/>
        </w:rPr>
      </w:pPr>
      <w:r>
        <w:rPr>
          <w:rStyle w:val="default"/>
          <w:rFonts w:cs="FrankRuehl"/>
          <w:noProof w:val="0"/>
          <w:rtl/>
        </w:rPr>
        <w:tab/>
        <w:t>(א)</w:t>
      </w:r>
      <w:r>
        <w:rPr>
          <w:rStyle w:val="default"/>
          <w:rFonts w:cs="FrankRuehl"/>
          <w:noProof w:val="0"/>
          <w:rtl/>
        </w:rPr>
        <w:tab/>
        <w:t>מדיניות התגמול תיקבע בין השאר לפי שיקולים אלה:</w:t>
      </w:r>
    </w:p>
    <w:p w:rsidR="004C136A" w:rsidRDefault="004C136A" w:rsidP="00154623">
      <w:pPr>
        <w:pStyle w:val="P00"/>
        <w:spacing w:before="72"/>
        <w:ind w:left="1021" w:right="1134"/>
        <w:rPr>
          <w:rStyle w:val="default"/>
          <w:rFonts w:cs="FrankRuehl"/>
          <w:noProof w:val="0"/>
          <w:rtl/>
        </w:rPr>
      </w:pPr>
      <w:r>
        <w:rPr>
          <w:rStyle w:val="default"/>
          <w:rFonts w:cs="FrankRuehl"/>
          <w:noProof w:val="0"/>
          <w:rtl/>
        </w:rPr>
        <w:t>(1)</w:t>
      </w:r>
      <w:r>
        <w:rPr>
          <w:rStyle w:val="default"/>
          <w:rFonts w:cs="FrankRuehl"/>
          <w:noProof w:val="0"/>
          <w:rtl/>
        </w:rPr>
        <w:tab/>
        <w:t>קידום מטרות החברה, תכנית העבודה שלה ומדיניותה בראייה ארוכת טווח;</w:t>
      </w:r>
    </w:p>
    <w:p w:rsidR="004C136A" w:rsidRDefault="004C136A" w:rsidP="00154623">
      <w:pPr>
        <w:pStyle w:val="P00"/>
        <w:spacing w:before="72"/>
        <w:ind w:left="1021" w:right="1134"/>
        <w:rPr>
          <w:rStyle w:val="default"/>
          <w:rFonts w:cs="FrankRuehl"/>
          <w:noProof w:val="0"/>
          <w:rtl/>
        </w:rPr>
      </w:pPr>
      <w:r>
        <w:rPr>
          <w:rStyle w:val="default"/>
          <w:rFonts w:cs="FrankRuehl"/>
          <w:noProof w:val="0"/>
          <w:rtl/>
        </w:rPr>
        <w:t>(2)</w:t>
      </w:r>
      <w:r>
        <w:rPr>
          <w:rStyle w:val="default"/>
          <w:rFonts w:cs="FrankRuehl"/>
          <w:noProof w:val="0"/>
          <w:rtl/>
        </w:rPr>
        <w:tab/>
        <w:t>יצירת תמריצים ראויים לנושאי המשרה בחברה, בהתחשב, בין השאר, במדיניות ניהול הסיכונים של החברה;</w:t>
      </w:r>
    </w:p>
    <w:p w:rsidR="004C136A" w:rsidRDefault="004C136A" w:rsidP="00154623">
      <w:pPr>
        <w:pStyle w:val="P00"/>
        <w:spacing w:before="72"/>
        <w:ind w:left="1021" w:right="1134"/>
        <w:rPr>
          <w:rStyle w:val="default"/>
          <w:rFonts w:cs="FrankRuehl"/>
          <w:noProof w:val="0"/>
          <w:rtl/>
        </w:rPr>
      </w:pPr>
      <w:r>
        <w:rPr>
          <w:rStyle w:val="default"/>
          <w:rFonts w:cs="FrankRuehl"/>
          <w:noProof w:val="0"/>
          <w:rtl/>
        </w:rPr>
        <w:t>(3)</w:t>
      </w:r>
      <w:r>
        <w:rPr>
          <w:rStyle w:val="default"/>
          <w:rFonts w:cs="FrankRuehl"/>
          <w:noProof w:val="0"/>
          <w:rtl/>
        </w:rPr>
        <w:tab/>
        <w:t>גודל החברה ואופי פעילותה;</w:t>
      </w:r>
    </w:p>
    <w:p w:rsidR="004C136A" w:rsidRDefault="004C136A" w:rsidP="00154623">
      <w:pPr>
        <w:pStyle w:val="P00"/>
        <w:spacing w:before="72"/>
        <w:ind w:left="1021" w:right="1134"/>
        <w:rPr>
          <w:rStyle w:val="default"/>
          <w:rFonts w:cs="FrankRuehl"/>
          <w:noProof w:val="0"/>
          <w:rtl/>
        </w:rPr>
      </w:pPr>
      <w:r>
        <w:rPr>
          <w:rStyle w:val="default"/>
          <w:rFonts w:cs="FrankRuehl"/>
          <w:noProof w:val="0"/>
          <w:rtl/>
        </w:rPr>
        <w:t>(4)</w:t>
      </w:r>
      <w:r>
        <w:rPr>
          <w:rStyle w:val="default"/>
          <w:rFonts w:cs="FrankRuehl"/>
          <w:noProof w:val="0"/>
          <w:rtl/>
        </w:rPr>
        <w:tab/>
        <w:t>לעניין תנאי כהונה והעסקה הכוללים רכיבים משתנים – תרומתו של נושא המשרה להשגת יעדי החברה ולהשאת רווחיה, והכל בראייה ארוכת טווח ובהתאם לתפקידו של נושא המשרה.</w:t>
      </w:r>
    </w:p>
    <w:p w:rsidR="004C136A" w:rsidRDefault="004C136A" w:rsidP="00154623">
      <w:pPr>
        <w:pStyle w:val="P00"/>
        <w:spacing w:before="72"/>
        <w:ind w:left="0" w:right="1134"/>
        <w:rPr>
          <w:rStyle w:val="default"/>
          <w:rFonts w:cs="FrankRuehl"/>
          <w:noProof w:val="0"/>
          <w:rtl/>
        </w:rPr>
      </w:pPr>
      <w:r>
        <w:rPr>
          <w:rStyle w:val="default"/>
          <w:rFonts w:cs="FrankRuehl"/>
          <w:noProof w:val="0"/>
          <w:rtl/>
        </w:rPr>
        <w:tab/>
        <w:t>(ב)</w:t>
      </w:r>
      <w:r>
        <w:rPr>
          <w:rStyle w:val="default"/>
          <w:rFonts w:cs="FrankRuehl"/>
          <w:noProof w:val="0"/>
          <w:rtl/>
        </w:rPr>
        <w:tab/>
        <w:t>מדיניות התגמול תכלול, בין השאר, התייחסות לעניינים המפורטים בחלק א' לתוספת ראשונה א' וייקבעו בה, בין השאר, הוראות כמפורט בחלק ב' לתוספת האמורה.</w:t>
      </w:r>
    </w:p>
    <w:p w:rsidR="004C136A" w:rsidRDefault="004C136A" w:rsidP="00154623">
      <w:pPr>
        <w:pStyle w:val="P00"/>
        <w:spacing w:before="72"/>
        <w:ind w:left="0" w:right="1134"/>
        <w:rPr>
          <w:rStyle w:val="default"/>
          <w:rFonts w:cs="FrankRuehl"/>
          <w:noProof w:val="0"/>
          <w:rtl/>
        </w:rPr>
      </w:pPr>
      <w:r>
        <w:rPr>
          <w:rStyle w:val="default"/>
          <w:rFonts w:cs="FrankRuehl"/>
          <w:noProof w:val="0"/>
          <w:rtl/>
        </w:rPr>
        <w:tab/>
        <w:t>(ג)</w:t>
      </w:r>
      <w:r>
        <w:rPr>
          <w:rStyle w:val="default"/>
          <w:rFonts w:cs="FrankRuehl"/>
          <w:noProof w:val="0"/>
          <w:rtl/>
        </w:rPr>
        <w:tab/>
        <w:t>השר, לאחר התייעצות עם רשות ניירות ערך ובאישור ועדת החוקה חוק ומשפט של הכנסת, רשאי, בצו, לשנות את תוספת ראשונה א'.</w:t>
      </w:r>
    </w:p>
    <w:p w:rsidR="004C136A" w:rsidRDefault="004C136A">
      <w:pPr>
        <w:rPr>
          <w:rtl/>
        </w:rPr>
      </w:pPr>
    </w:p>
    <w:p w:rsidR="004C136A" w:rsidRDefault="004C136A" w:rsidP="00154623">
      <w:pPr>
        <w:pStyle w:val="P00"/>
        <w:spacing w:before="72"/>
        <w:ind w:left="0" w:right="1134"/>
        <w:jc w:val="center"/>
        <w:rPr>
          <w:rStyle w:val="default"/>
          <w:rFonts w:cs="FrankRuehl"/>
          <w:b/>
          <w:bCs/>
          <w:noProof w:val="0"/>
          <w:rtl/>
        </w:rPr>
      </w:pPr>
      <w:r>
        <w:rPr>
          <w:lang w:eastAsia="en-US"/>
        </w:rPr>
        <w:pict>
          <v:shapetype id="_x0000_t202" coordsize="21600,21600" o:spt="202" path="m,l,21600r21600,l21600,xe">
            <v:stroke joinstyle="miter"/>
            <v:path gradientshapeok="t" o:connecttype="rect"/>
          </v:shapetype>
          <v:shape id="תיבת טקסט 2" o:spid="_x0000_s1027" type="#_x0000_t202" style="position:absolute;left:0;text-align:left;margin-left:470.25pt;margin-top:7.1pt;width:1in;height:16.8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" filled="f" stroked="f">
            <v:textbox inset="1mm,0,1mm,0">
              <w:txbxContent>
                <w:p w:rsidR="004C136A" w:rsidRDefault="004C136A" w:rsidP="00154623">
                  <w:pPr>
                    <w:spacing w:line="160" w:lineRule="exact"/>
                    <w:jc w:val="left"/>
                    <w:rPr>
                      <w:sz w:val="24"/>
                      <w:rtl/>
                    </w:rPr>
                  </w:pPr>
                </w:p>
              </w:txbxContent>
            </v:textbox>
            <w10:anchorlock/>
          </v:shape>
        </w:pict>
      </w:r>
      <w:r>
        <w:rPr>
          <w:rStyle w:val="default"/>
          <w:rFonts w:cs="FrankRuehl"/>
          <w:b/>
          <w:bCs/>
          <w:noProof w:val="0"/>
          <w:rtl/>
        </w:rPr>
        <w:t>תוספת ראשונה א'</w:t>
      </w:r>
    </w:p>
    <w:p w:rsidR="004C136A" w:rsidRDefault="004C136A" w:rsidP="00154623">
      <w:pPr>
        <w:pStyle w:val="P00"/>
        <w:spacing w:before="72"/>
        <w:ind w:left="0" w:right="1134"/>
        <w:jc w:val="center"/>
        <w:rPr>
          <w:rStyle w:val="default"/>
          <w:rFonts w:cs="FrankRuehl"/>
          <w:noProof w:val="0"/>
          <w:sz w:val="24"/>
          <w:szCs w:val="24"/>
          <w:rtl/>
        </w:rPr>
      </w:pPr>
      <w:r>
        <w:rPr>
          <w:rStyle w:val="default"/>
          <w:rFonts w:cs="FrankRuehl"/>
          <w:noProof w:val="0"/>
          <w:sz w:val="24"/>
          <w:szCs w:val="24"/>
          <w:rtl/>
        </w:rPr>
        <w:t>(סעיף 267ב)</w:t>
      </w:r>
    </w:p>
    <w:p w:rsidR="004C136A" w:rsidRDefault="004C136A" w:rsidP="00154623">
      <w:pPr>
        <w:pStyle w:val="P00"/>
        <w:spacing w:before="72"/>
        <w:ind w:left="0" w:right="1134"/>
        <w:jc w:val="center"/>
        <w:rPr>
          <w:rStyle w:val="default"/>
          <w:rFonts w:cs="FrankRuehl"/>
          <w:b/>
          <w:bCs/>
          <w:noProof w:val="0"/>
          <w:sz w:val="22"/>
          <w:szCs w:val="22"/>
          <w:rtl/>
        </w:rPr>
      </w:pPr>
      <w:r>
        <w:rPr>
          <w:rStyle w:val="default"/>
          <w:rFonts w:cs="FrankRuehl"/>
          <w:b/>
          <w:bCs/>
          <w:noProof w:val="0"/>
          <w:sz w:val="22"/>
          <w:szCs w:val="22"/>
          <w:rtl/>
        </w:rPr>
        <w:t>חלק א'</w:t>
      </w:r>
    </w:p>
    <w:p w:rsidR="004C136A" w:rsidRDefault="004C136A" w:rsidP="00154623">
      <w:pPr>
        <w:pStyle w:val="P00"/>
        <w:spacing w:before="72"/>
        <w:ind w:left="0" w:right="1134"/>
        <w:jc w:val="center"/>
        <w:rPr>
          <w:rStyle w:val="default"/>
          <w:rFonts w:cs="FrankRuehl"/>
          <w:b/>
          <w:bCs/>
          <w:noProof w:val="0"/>
          <w:sz w:val="22"/>
          <w:szCs w:val="22"/>
          <w:rtl/>
        </w:rPr>
      </w:pPr>
      <w:r>
        <w:rPr>
          <w:rStyle w:val="default"/>
          <w:rFonts w:cs="FrankRuehl"/>
          <w:b/>
          <w:bCs/>
          <w:noProof w:val="0"/>
          <w:sz w:val="22"/>
          <w:szCs w:val="22"/>
          <w:rtl/>
        </w:rPr>
        <w:t>עניינים שחובה להתייחס אליהם במדיניות התגמול</w:t>
      </w:r>
    </w:p>
    <w:p w:rsidR="004C136A" w:rsidRPr="00936FAA" w:rsidRDefault="004C136A" w:rsidP="00154623">
      <w:pPr>
        <w:pStyle w:val="P00"/>
        <w:spacing w:before="0"/>
        <w:ind w:left="0" w:right="1134"/>
        <w:rPr>
          <w:rStyle w:val="default"/>
          <w:rFonts w:cs="FrankRuehl"/>
          <w:noProof w:val="0"/>
          <w:vanish/>
          <w:color w:val="FF0000"/>
          <w:szCs w:val="20"/>
          <w:shd w:val="clear" w:color="auto" w:fill="FFFF99"/>
          <w:rtl/>
        </w:rPr>
      </w:pPr>
      <w:bookmarkStart w:id="1" w:name="Rov878"/>
      <w:r w:rsidRPr="00936FAA">
        <w:rPr>
          <w:rStyle w:val="default"/>
          <w:rFonts w:cs="FrankRuehl"/>
          <w:noProof w:val="0"/>
          <w:vanish/>
          <w:color w:val="FF0000"/>
          <w:szCs w:val="20"/>
          <w:shd w:val="clear" w:color="auto" w:fill="FFFF99"/>
          <w:rtl/>
        </w:rPr>
        <w:t>מיום 12.12.2012</w:t>
      </w:r>
    </w:p>
    <w:p w:rsidR="004C136A" w:rsidRPr="00936FAA" w:rsidRDefault="004C136A" w:rsidP="00154623">
      <w:pPr>
        <w:pStyle w:val="P00"/>
        <w:spacing w:before="0"/>
        <w:ind w:left="0" w:right="1134"/>
        <w:rPr>
          <w:rStyle w:val="default"/>
          <w:rFonts w:cs="FrankRuehl"/>
          <w:noProof w:val="0"/>
          <w:vanish/>
          <w:szCs w:val="20"/>
          <w:shd w:val="clear" w:color="auto" w:fill="FFFF99"/>
          <w:rtl/>
        </w:rPr>
      </w:pPr>
      <w:r w:rsidRPr="00936FAA">
        <w:rPr>
          <w:rStyle w:val="default"/>
          <w:rFonts w:cs="FrankRuehl"/>
          <w:b/>
          <w:bCs/>
          <w:noProof w:val="0"/>
          <w:vanish/>
          <w:szCs w:val="20"/>
          <w:shd w:val="clear" w:color="auto" w:fill="FFFF99"/>
          <w:rtl/>
        </w:rPr>
        <w:t>תיקון מס' 20</w:t>
      </w:r>
    </w:p>
    <w:p w:rsidR="004C136A" w:rsidRPr="00936FAA" w:rsidRDefault="004C136A" w:rsidP="00154623">
      <w:pPr>
        <w:pStyle w:val="P00"/>
        <w:spacing w:before="0"/>
        <w:ind w:left="0" w:right="1134"/>
        <w:rPr>
          <w:rStyle w:val="default"/>
          <w:rFonts w:cs="FrankRuehl"/>
          <w:noProof w:val="0"/>
          <w:vanish/>
          <w:szCs w:val="20"/>
          <w:shd w:val="clear" w:color="auto" w:fill="FFFF99"/>
          <w:rtl/>
        </w:rPr>
      </w:pPr>
      <w:hyperlink r:id="rId4" w:history="1">
        <w:r w:rsidRPr="00936FAA">
          <w:rPr>
            <w:rStyle w:val="Hyperlink"/>
            <w:rFonts w:cs="FrankRuehl"/>
            <w:noProof w:val="0"/>
            <w:vanish/>
            <w:szCs w:val="20"/>
            <w:shd w:val="clear" w:color="auto" w:fill="FFFF99"/>
            <w:rtl/>
          </w:rPr>
          <w:t>ס"ח תשע"ג מס' 2385</w:t>
        </w:r>
      </w:hyperlink>
      <w:r w:rsidRPr="00936FAA">
        <w:rPr>
          <w:rStyle w:val="default"/>
          <w:rFonts w:cs="FrankRuehl"/>
          <w:noProof w:val="0"/>
          <w:vanish/>
          <w:szCs w:val="20"/>
          <w:shd w:val="clear" w:color="auto" w:fill="FFFF99"/>
          <w:rtl/>
        </w:rPr>
        <w:t xml:space="preserve"> מיום 12.11.2012 עמ' 10 (</w:t>
      </w:r>
      <w:hyperlink r:id="rId5" w:history="1">
        <w:r w:rsidRPr="00936FAA">
          <w:rPr>
            <w:rStyle w:val="Hyperlink"/>
            <w:rFonts w:cs="FrankRuehl"/>
            <w:noProof w:val="0"/>
            <w:vanish/>
            <w:szCs w:val="20"/>
            <w:shd w:val="clear" w:color="auto" w:fill="FFFF99"/>
            <w:rtl/>
          </w:rPr>
          <w:t>ה"ח 677</w:t>
        </w:r>
      </w:hyperlink>
      <w:r w:rsidRPr="00936FAA">
        <w:rPr>
          <w:rStyle w:val="default"/>
          <w:rFonts w:cs="FrankRuehl"/>
          <w:noProof w:val="0"/>
          <w:vanish/>
          <w:szCs w:val="20"/>
          <w:shd w:val="clear" w:color="auto" w:fill="FFFF99"/>
          <w:rtl/>
        </w:rPr>
        <w:t>)</w:t>
      </w:r>
    </w:p>
    <w:p w:rsidR="004C136A" w:rsidRPr="00825035" w:rsidRDefault="004C136A" w:rsidP="00154623">
      <w:pPr>
        <w:pStyle w:val="P00"/>
        <w:spacing w:before="0"/>
        <w:ind w:left="0" w:right="1134"/>
        <w:rPr>
          <w:rStyle w:val="default"/>
          <w:rFonts w:cs="FrankRuehl"/>
          <w:noProof w:val="0"/>
          <w:sz w:val="2"/>
          <w:szCs w:val="2"/>
          <w:shd w:val="clear" w:color="auto" w:fill="FFFF99"/>
          <w:rtl/>
        </w:rPr>
      </w:pPr>
      <w:r w:rsidRPr="00936FAA">
        <w:rPr>
          <w:rStyle w:val="default"/>
          <w:rFonts w:cs="FrankRuehl"/>
          <w:b/>
          <w:bCs/>
          <w:noProof w:val="0"/>
          <w:vanish/>
          <w:szCs w:val="20"/>
          <w:shd w:val="clear" w:color="auto" w:fill="FFFF99"/>
          <w:rtl/>
        </w:rPr>
        <w:t>הוספת תוספת ראשונה א'</w:t>
      </w:r>
      <w:bookmarkEnd w:id="1"/>
    </w:p>
    <w:p w:rsidR="004C136A" w:rsidRDefault="004C136A" w:rsidP="00154623">
      <w:pPr>
        <w:pStyle w:val="P00"/>
        <w:spacing w:before="72"/>
        <w:ind w:left="0" w:right="1134"/>
        <w:rPr>
          <w:rStyle w:val="default"/>
          <w:rFonts w:cs="FrankRuehl"/>
          <w:noProof w:val="0"/>
          <w:rtl/>
        </w:rPr>
      </w:pPr>
      <w:r>
        <w:rPr>
          <w:rStyle w:val="default"/>
          <w:rFonts w:cs="FrankRuehl"/>
          <w:noProof w:val="0"/>
          <w:rtl/>
        </w:rPr>
        <w:t>(1)</w:t>
      </w:r>
      <w:r>
        <w:rPr>
          <w:rStyle w:val="default"/>
          <w:rFonts w:cs="FrankRuehl"/>
          <w:noProof w:val="0"/>
          <w:rtl/>
        </w:rPr>
        <w:tab/>
        <w:t>השכלתו, כישוריו, מומחיותו, ניסיונו המקצועי והישגיו של נושא המשרה;</w:t>
      </w:r>
    </w:p>
    <w:p w:rsidR="004C136A" w:rsidRDefault="004C136A" w:rsidP="00154623">
      <w:pPr>
        <w:pStyle w:val="P00"/>
        <w:spacing w:before="72"/>
        <w:ind w:left="0" w:right="1134"/>
        <w:rPr>
          <w:rStyle w:val="default"/>
          <w:rFonts w:cs="FrankRuehl"/>
          <w:noProof w:val="0"/>
          <w:rtl/>
        </w:rPr>
      </w:pPr>
      <w:r>
        <w:rPr>
          <w:rStyle w:val="default"/>
          <w:rFonts w:cs="FrankRuehl"/>
          <w:noProof w:val="0"/>
          <w:rtl/>
        </w:rPr>
        <w:t>(2)</w:t>
      </w:r>
      <w:r>
        <w:rPr>
          <w:rStyle w:val="default"/>
          <w:rFonts w:cs="FrankRuehl"/>
          <w:noProof w:val="0"/>
          <w:rtl/>
        </w:rPr>
        <w:tab/>
        <w:t>תפקידו של נושא המשרה, תחומי אחריותו והסכמי שכר קודמים שנחתמו עמו;</w:t>
      </w:r>
    </w:p>
    <w:p w:rsidR="004C136A" w:rsidRDefault="004C136A" w:rsidP="00154623">
      <w:pPr>
        <w:pStyle w:val="P00"/>
        <w:spacing w:before="72"/>
        <w:ind w:left="0" w:right="1134"/>
        <w:rPr>
          <w:rStyle w:val="default"/>
          <w:rFonts w:cs="FrankRuehl"/>
          <w:noProof w:val="0"/>
          <w:rtl/>
        </w:rPr>
      </w:pPr>
      <w:r>
        <w:rPr>
          <w:rStyle w:val="default"/>
          <w:rFonts w:cs="FrankRuehl"/>
          <w:noProof w:val="0"/>
          <w:rtl/>
        </w:rPr>
        <w:t>(3)</w:t>
      </w:r>
      <w:r>
        <w:rPr>
          <w:rStyle w:val="default"/>
          <w:rFonts w:cs="FrankRuehl"/>
          <w:noProof w:val="0"/>
          <w:rtl/>
        </w:rPr>
        <w:tab/>
        <w:t>היחס שבין תנאי הכהונה וההעסקה של נושא המשרה לשכר של שאר עובדי החברה ושל עובדי קבלן המועסקים אצל החברה, ובפרט היחס לשכר הממוצע ולשכר החציוני של עובדים כאמור והשפעת הפערים ביניהם על יחסי העבודה בחברה; לעניין זה –</w:t>
      </w:r>
    </w:p>
    <w:p w:rsidR="004C136A" w:rsidRDefault="004C136A" w:rsidP="00154623">
      <w:pPr>
        <w:pStyle w:val="P00"/>
        <w:spacing w:before="72"/>
        <w:ind w:left="0" w:right="1134"/>
        <w:rPr>
          <w:rStyle w:val="default"/>
          <w:rFonts w:cs="FrankRuehl"/>
          <w:noProof w:val="0"/>
          <w:rtl/>
        </w:rPr>
      </w:pPr>
      <w:r>
        <w:rPr>
          <w:rStyle w:val="default"/>
          <w:rFonts w:cs="FrankRuehl"/>
          <w:noProof w:val="0"/>
          <w:rtl/>
        </w:rPr>
        <w:tab/>
        <w:t>"עובדי קבלן המועסקים אצל החברה" – עובדים של קבלן כוח אדם שהחברה היא המעסיק בפועל שלהם, ועובדים של קבלן שירות המועסקים במתן שירות אצל החברה; לעניין זה, "קבלן כוח אדם", "קבלן שירות", "מעסיק בפועל" – כהגדרתם בחוק העסקת עובדים על ידי קבלני כוח אדם, התשנ"ו-1996;</w:t>
      </w:r>
    </w:p>
    <w:p w:rsidR="004C136A" w:rsidRDefault="004C136A" w:rsidP="00154623">
      <w:pPr>
        <w:pStyle w:val="P00"/>
        <w:spacing w:before="72"/>
        <w:ind w:left="0" w:right="1134"/>
        <w:rPr>
          <w:rStyle w:val="default"/>
          <w:rFonts w:cs="FrankRuehl"/>
          <w:noProof w:val="0"/>
          <w:rtl/>
        </w:rPr>
      </w:pPr>
      <w:r>
        <w:rPr>
          <w:rStyle w:val="default"/>
          <w:rFonts w:cs="FrankRuehl"/>
          <w:noProof w:val="0"/>
          <w:rtl/>
        </w:rPr>
        <w:tab/>
        <w:t>"שכר" – ההכנסה שבעדה משולמים דמי ביטוח לאומי לפי פרק ט"ו לחוק הביטוח הלאומי [נוסח משולב], התשנ"ה-1995;</w:t>
      </w:r>
    </w:p>
    <w:p w:rsidR="004C136A" w:rsidRDefault="004C136A" w:rsidP="00154623">
      <w:pPr>
        <w:pStyle w:val="P00"/>
        <w:spacing w:before="72"/>
        <w:ind w:left="0" w:right="1134"/>
        <w:rPr>
          <w:rStyle w:val="default"/>
          <w:rFonts w:cs="FrankRuehl"/>
          <w:noProof w:val="0"/>
          <w:rtl/>
        </w:rPr>
      </w:pPr>
      <w:r>
        <w:rPr>
          <w:rStyle w:val="default"/>
          <w:rFonts w:cs="FrankRuehl"/>
          <w:noProof w:val="0"/>
          <w:rtl/>
        </w:rPr>
        <w:t>(4)</w:t>
      </w:r>
      <w:r>
        <w:rPr>
          <w:rStyle w:val="default"/>
          <w:rFonts w:cs="FrankRuehl"/>
          <w:noProof w:val="0"/>
          <w:rtl/>
        </w:rPr>
        <w:tab/>
        <w:t>כללו תנאי הכהונה וההעסקה רכיבים משתנים – האפשרות להפחתת הרכיבים המשתנים על פי שיקול דעת הדירקטוריון והאפשרות לקביעת תקרה לשווי המימוש של רכיבים משתנים הוניים שאינם מסולקים במזומן;</w:t>
      </w:r>
    </w:p>
    <w:p w:rsidR="004C136A" w:rsidRDefault="004C136A" w:rsidP="00154623">
      <w:pPr>
        <w:pStyle w:val="P00"/>
        <w:spacing w:before="72"/>
        <w:ind w:left="0" w:right="1134"/>
        <w:rPr>
          <w:rStyle w:val="default"/>
          <w:rFonts w:cs="FrankRuehl"/>
          <w:noProof w:val="0"/>
          <w:rtl/>
        </w:rPr>
      </w:pPr>
      <w:r>
        <w:rPr>
          <w:rStyle w:val="default"/>
          <w:rFonts w:cs="FrankRuehl"/>
          <w:noProof w:val="0"/>
          <w:rtl/>
        </w:rPr>
        <w:t>(5)</w:t>
      </w:r>
      <w:r>
        <w:rPr>
          <w:rStyle w:val="default"/>
          <w:rFonts w:cs="FrankRuehl"/>
          <w:noProof w:val="0"/>
          <w:rtl/>
        </w:rPr>
        <w:tab/>
        <w:t>כללו תנאי הכהונה וההעסקה מענקי פרישה – תקופת הכהונה או ההעסקה של נושא המשרה, תנאי כהונתו והעסקתו בתקופה זו, ביצועי החברה בתקופה האמורה, תרומתו של נושא המשרה להשגת יעדי החברה ולהשאת רווחיה ונסיבות הפרישה.</w:t>
      </w:r>
    </w:p>
    <w:p w:rsidR="004C136A" w:rsidRDefault="004C136A" w:rsidP="00154623">
      <w:pPr>
        <w:pStyle w:val="P00"/>
        <w:spacing w:before="72"/>
        <w:ind w:left="0" w:right="1134"/>
        <w:jc w:val="center"/>
        <w:rPr>
          <w:rStyle w:val="default"/>
          <w:rFonts w:cs="FrankRuehl"/>
          <w:b/>
          <w:bCs/>
          <w:noProof w:val="0"/>
          <w:sz w:val="22"/>
          <w:szCs w:val="22"/>
          <w:rtl/>
        </w:rPr>
      </w:pPr>
      <w:r>
        <w:rPr>
          <w:rStyle w:val="default"/>
          <w:rFonts w:cs="FrankRuehl"/>
          <w:b/>
          <w:bCs/>
          <w:noProof w:val="0"/>
          <w:sz w:val="22"/>
          <w:szCs w:val="22"/>
          <w:rtl/>
        </w:rPr>
        <w:t>חלק ב'</w:t>
      </w:r>
    </w:p>
    <w:p w:rsidR="004C136A" w:rsidRDefault="004C136A" w:rsidP="00154623">
      <w:pPr>
        <w:pStyle w:val="P00"/>
        <w:spacing w:before="72"/>
        <w:ind w:left="0" w:right="1134"/>
        <w:jc w:val="center"/>
        <w:rPr>
          <w:rStyle w:val="default"/>
          <w:rFonts w:cs="FrankRuehl"/>
          <w:b/>
          <w:bCs/>
          <w:noProof w:val="0"/>
          <w:sz w:val="22"/>
          <w:szCs w:val="22"/>
          <w:rtl/>
        </w:rPr>
      </w:pPr>
      <w:r>
        <w:rPr>
          <w:rStyle w:val="default"/>
          <w:rFonts w:cs="FrankRuehl"/>
          <w:b/>
          <w:bCs/>
          <w:noProof w:val="0"/>
          <w:sz w:val="22"/>
          <w:szCs w:val="22"/>
          <w:rtl/>
        </w:rPr>
        <w:t>הוראות שחובה לקבוע במדיניות התגמול</w:t>
      </w:r>
    </w:p>
    <w:p w:rsidR="004C136A" w:rsidRDefault="004C136A" w:rsidP="00154623">
      <w:pPr>
        <w:pStyle w:val="P00"/>
        <w:spacing w:before="72"/>
        <w:ind w:left="0" w:right="1134"/>
        <w:rPr>
          <w:rStyle w:val="default"/>
          <w:rFonts w:cs="FrankRuehl"/>
          <w:noProof w:val="0"/>
          <w:rtl/>
        </w:rPr>
      </w:pPr>
      <w:r>
        <w:rPr>
          <w:rStyle w:val="default"/>
          <w:rFonts w:cs="FrankRuehl"/>
          <w:noProof w:val="0"/>
          <w:rtl/>
        </w:rPr>
        <w:t>(1)</w:t>
      </w:r>
      <w:r>
        <w:rPr>
          <w:rStyle w:val="default"/>
          <w:rFonts w:cs="FrankRuehl"/>
          <w:noProof w:val="0"/>
          <w:rtl/>
        </w:rPr>
        <w:tab/>
        <w:t>לעניין רכיבים משתנים בתנאי הכהונה וההעסקה –</w:t>
      </w:r>
    </w:p>
    <w:p w:rsidR="004C136A" w:rsidRDefault="004C136A" w:rsidP="00154623">
      <w:pPr>
        <w:pStyle w:val="P00"/>
        <w:spacing w:before="72"/>
        <w:ind w:left="624" w:right="1134"/>
        <w:rPr>
          <w:rStyle w:val="default"/>
          <w:rFonts w:cs="FrankRuehl"/>
          <w:noProof w:val="0"/>
          <w:rtl/>
        </w:rPr>
      </w:pPr>
      <w:r>
        <w:rPr>
          <w:rStyle w:val="default"/>
          <w:rFonts w:cs="FrankRuehl"/>
          <w:noProof w:val="0"/>
          <w:rtl/>
        </w:rPr>
        <w:t>(א)</w:t>
      </w:r>
      <w:r>
        <w:rPr>
          <w:rStyle w:val="default"/>
          <w:rFonts w:cs="FrankRuehl"/>
          <w:noProof w:val="0"/>
          <w:rtl/>
        </w:rPr>
        <w:tab/>
        <w:t>ביסוס הרכיבים על ביצועים בראייה ארוכת טווח, ועל פי קריטריונים הניתנים למדידה; ואולם חברה רשאית לקבוע כי חלק לא מהותי מהרכיבים כאמור יוענק על פי קריטריונים שאינם ניתנים למדידה בהתחשב בתרומתו של נושא המשרה לחברה;</w:t>
      </w:r>
    </w:p>
    <w:p w:rsidR="004C136A" w:rsidRDefault="004C136A" w:rsidP="00154623">
      <w:pPr>
        <w:pStyle w:val="P00"/>
        <w:spacing w:before="72"/>
        <w:ind w:left="624" w:right="1134"/>
        <w:rPr>
          <w:rStyle w:val="default"/>
          <w:rFonts w:cs="FrankRuehl"/>
          <w:noProof w:val="0"/>
          <w:rtl/>
        </w:rPr>
      </w:pPr>
      <w:r>
        <w:rPr>
          <w:rStyle w:val="default"/>
          <w:rFonts w:cs="FrankRuehl"/>
          <w:noProof w:val="0"/>
          <w:rtl/>
        </w:rPr>
        <w:t>(ב)</w:t>
      </w:r>
      <w:r>
        <w:rPr>
          <w:rStyle w:val="default"/>
          <w:rFonts w:cs="FrankRuehl"/>
          <w:noProof w:val="0"/>
          <w:rtl/>
        </w:rPr>
        <w:tab/>
        <w:t>היחס בין הרכיבים המשתנים לרכיבים הקבועים, וכן תקרה לשווי רכיבים משתנים במועד תשלומם; ואולם לעניין רכיבים משתנים הוניים שאינם מסולקים במזומן – תקרה לשוויים במועד הענקתם;</w:t>
      </w:r>
    </w:p>
    <w:p w:rsidR="004C136A" w:rsidRDefault="004C136A" w:rsidP="00154623">
      <w:pPr>
        <w:pStyle w:val="P00"/>
        <w:spacing w:before="72"/>
        <w:ind w:left="0" w:right="1134"/>
        <w:rPr>
          <w:rStyle w:val="default"/>
          <w:rFonts w:cs="FrankRuehl"/>
          <w:noProof w:val="0"/>
          <w:rtl/>
        </w:rPr>
      </w:pPr>
      <w:r>
        <w:rPr>
          <w:rStyle w:val="default"/>
          <w:rFonts w:cs="FrankRuehl"/>
          <w:noProof w:val="0"/>
          <w:rtl/>
        </w:rPr>
        <w:t>(2)</w:t>
      </w:r>
      <w:r>
        <w:rPr>
          <w:rStyle w:val="default"/>
          <w:rFonts w:cs="FrankRuehl"/>
          <w:noProof w:val="0"/>
          <w:rtl/>
        </w:rPr>
        <w:tab/>
        <w:t>תניה שלפיה נושא המשרה יחזיר לחברה, בתנאים שייקבעו במדיניות התגמול, סכומים ששולמו לו כחלק מתנאי הכהונה וההעסקה, אם שולמו לו על בסיס נתונים שהתבררו כמוטעים והוצגו מחדש בדוחות הכספיים של החברה;</w:t>
      </w:r>
    </w:p>
    <w:p w:rsidR="004C136A" w:rsidRDefault="004C136A" w:rsidP="00154623">
      <w:pPr>
        <w:pStyle w:val="P00"/>
        <w:spacing w:before="72"/>
        <w:ind w:left="0" w:right="1134"/>
        <w:rPr>
          <w:rStyle w:val="default"/>
          <w:rFonts w:cs="FrankRuehl"/>
          <w:noProof w:val="0"/>
          <w:rtl/>
        </w:rPr>
      </w:pPr>
      <w:r>
        <w:rPr>
          <w:rStyle w:val="default"/>
          <w:rFonts w:cs="FrankRuehl"/>
          <w:noProof w:val="0"/>
          <w:rtl/>
        </w:rPr>
        <w:t>(3)</w:t>
      </w:r>
      <w:r>
        <w:rPr>
          <w:rStyle w:val="default"/>
          <w:rFonts w:cs="FrankRuehl"/>
          <w:noProof w:val="0"/>
          <w:rtl/>
        </w:rPr>
        <w:tab/>
        <w:t>תקופת החזקה או הבשלה מזערית של רכיבים משתנים הוניים בתנאי כהונה והעסקה, תוך התייחסות לתמריצים ראויים בראייה ארוכת טווח;</w:t>
      </w:r>
    </w:p>
    <w:p w:rsidR="004C136A" w:rsidRPr="00825035" w:rsidRDefault="004C136A" w:rsidP="00154623">
      <w:pPr>
        <w:pStyle w:val="P00"/>
        <w:spacing w:before="72"/>
        <w:ind w:left="0" w:right="1134"/>
        <w:rPr>
          <w:rStyle w:val="default"/>
          <w:rFonts w:cs="FrankRuehl"/>
          <w:noProof w:val="0"/>
          <w:rtl/>
        </w:rPr>
      </w:pPr>
      <w:r>
        <w:rPr>
          <w:rStyle w:val="default"/>
          <w:rFonts w:cs="FrankRuehl"/>
          <w:noProof w:val="0"/>
          <w:rtl/>
        </w:rPr>
        <w:t>(4)</w:t>
      </w:r>
      <w:r>
        <w:rPr>
          <w:rStyle w:val="default"/>
          <w:rFonts w:cs="FrankRuehl"/>
          <w:noProof w:val="0"/>
          <w:rtl/>
        </w:rPr>
        <w:tab/>
        <w:t>תקרה למענקי הפרישה.</w:t>
      </w:r>
    </w:p>
    <w:p w:rsidR="004C136A" w:rsidRDefault="004C136A" w:rsidP="00154623">
      <w:pPr>
        <w:pStyle w:val="P00"/>
        <w:spacing w:before="72"/>
        <w:ind w:left="0" w:right="1134"/>
        <w:rPr>
          <w:rStyle w:val="default"/>
          <w:rFonts w:cs="FrankRuehl"/>
          <w:noProof w:val="0"/>
          <w:rtl/>
        </w:rPr>
      </w:pPr>
    </w:p>
    <w:p w:rsidR="004C136A" w:rsidRDefault="004C136A"/>
    <w:sectPr w:rsidR="004C136A" w:rsidSect="008E3344">
      <w:pgSz w:w="11906" w:h="16838"/>
      <w:pgMar w:top="1440" w:right="1800" w:bottom="1440" w:left="1800" w:header="708" w:footer="708"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David">
    <w:panose1 w:val="00000000000000000000"/>
    <w:charset w:val="B1"/>
    <w:family w:val="auto"/>
    <w:pitch w:val="variable"/>
    <w:sig w:usb0="00000801" w:usb1="00000000" w:usb2="00000000" w:usb3="00000000" w:csb0="00000020" w:csb1="00000000"/>
  </w:font>
  <w:font w:name="FrankRuehl">
    <w:panose1 w:val="00000000000000000000"/>
    <w:charset w:val="B1"/>
    <w:family w:val="auto"/>
    <w:pitch w:val="variable"/>
    <w:sig w:usb0="00000801" w:usb1="00000000" w:usb2="00000000" w:usb3="00000000" w:csb0="00000020" w:csb1="00000000"/>
  </w:font>
  <w:font w:name="Miriam">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54623"/>
    <w:rsid w:val="00154623"/>
    <w:rsid w:val="001853C9"/>
    <w:rsid w:val="004C136A"/>
    <w:rsid w:val="00825035"/>
    <w:rsid w:val="008E3344"/>
    <w:rsid w:val="00936FAA"/>
    <w:rsid w:val="00A6092F"/>
    <w:rsid w:val="00C21B38"/>
    <w:rsid w:val="00C83A16"/>
    <w:rsid w:val="00FF63F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sz w:val="22"/>
        <w:szCs w:val="22"/>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4623"/>
    <w:pPr>
      <w:autoSpaceDE w:val="0"/>
      <w:autoSpaceDN w:val="0"/>
      <w:bidi/>
      <w:spacing w:line="360" w:lineRule="auto"/>
      <w:jc w:val="both"/>
    </w:pPr>
    <w:rPr>
      <w:rFonts w:ascii="Times New Roman" w:eastAsia="Times New Roman" w:hAnsi="Times New Roman" w:cs="Times New Roman"/>
      <w:szCs w:val="24"/>
      <w:lang w:eastAsia="he-IL"/>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00">
    <w:name w:val="P00"/>
    <w:uiPriority w:val="99"/>
    <w:rsid w:val="00154623"/>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 w:val="20"/>
      <w:szCs w:val="26"/>
      <w:lang w:eastAsia="he-IL"/>
    </w:rPr>
  </w:style>
  <w:style w:type="character" w:customStyle="1" w:styleId="default">
    <w:name w:val="default"/>
    <w:basedOn w:val="DefaultParagraphFont"/>
    <w:uiPriority w:val="99"/>
    <w:rsid w:val="00154623"/>
    <w:rPr>
      <w:rFonts w:ascii="Times New Roman" w:hAnsi="Times New Roman" w:cs="Times New Roman"/>
      <w:sz w:val="26"/>
      <w:szCs w:val="26"/>
    </w:rPr>
  </w:style>
  <w:style w:type="character" w:customStyle="1" w:styleId="big-number">
    <w:name w:val="big-number"/>
    <w:basedOn w:val="default"/>
    <w:uiPriority w:val="99"/>
    <w:rsid w:val="00154623"/>
    <w:rPr>
      <w:sz w:val="32"/>
      <w:szCs w:val="32"/>
    </w:rPr>
  </w:style>
  <w:style w:type="character" w:styleId="Hyperlink">
    <w:name w:val="Hyperlink"/>
    <w:basedOn w:val="DefaultParagraphFont"/>
    <w:uiPriority w:val="99"/>
    <w:rsid w:val="00154623"/>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nevo.co.il/Law_word/law15/memshala-677.pdf" TargetMode="External"/><Relationship Id="rId10" Type="http://schemas.openxmlformats.org/officeDocument/2006/relationships/customXml" Target="../customXml/item3.xml"/><Relationship Id="rId4" Type="http://schemas.openxmlformats.org/officeDocument/2006/relationships/hyperlink" Target="http://www.nevo.co.il/Law_word/law14/law-2385.pdf" TargetMode="Externa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0D2DA0-A573-4CAB-BD2F-A56F59827257}"/>
</file>

<file path=customXml/itemProps2.xml><?xml version="1.0" encoding="utf-8"?>
<ds:datastoreItem xmlns:ds="http://schemas.openxmlformats.org/officeDocument/2006/customXml" ds:itemID="{E5115D61-1F87-43CB-9FEC-BAEBE60D258D}"/>
</file>

<file path=customXml/itemProps3.xml><?xml version="1.0" encoding="utf-8"?>
<ds:datastoreItem xmlns:ds="http://schemas.openxmlformats.org/officeDocument/2006/customXml" ds:itemID="{CBA4DE0D-2F67-4FB0-9CC9-EA8840F60A28}"/>
</file>

<file path=docProps/app.xml><?xml version="1.0" encoding="utf-8"?>
<Properties xmlns="http://schemas.openxmlformats.org/officeDocument/2006/extended-properties" xmlns:vt="http://schemas.openxmlformats.org/officeDocument/2006/docPropsVTypes">
  <Template>Normal_Wordconv.dotm</Template>
  <TotalTime>2</TotalTime>
  <Pages>2</Pages>
  <Words>502</Words>
  <Characters>2515</Characters>
  <Application>Microsoft Office Outlook</Application>
  <DocSecurity>0</DocSecurity>
  <Lines>0</Lines>
  <Paragraphs>0</Paragraphs>
  <ScaleCrop>false</ScaleCrop>
  <Company>Knesset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שיקולים ואמות מידה בקביעת מדיניות תגמול לפי חוק החברות</dc:title>
  <dc:subject/>
  <dc:creator>תמי סלע</dc:creator>
  <cp:keywords/>
  <dc:description/>
  <cp:lastModifiedBy>User</cp:lastModifiedBy>
  <cp:revision>2</cp:revision>
  <dcterms:created xsi:type="dcterms:W3CDTF">2013-07-29T08:01:00Z</dcterms:created>
  <dcterms:modified xsi:type="dcterms:W3CDTF">2013-07-29T08:01:00Z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