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F77CEA" w:rsidRDefault="004033D8" w:rsidP="00F77CEA">
      <w:pPr>
        <w:pStyle w:val="HeadHatzaotHok"/>
        <w:jc w:val="right"/>
        <w:rPr>
          <w:b w:val="0"/>
          <w:bCs w:val="0"/>
          <w:szCs w:val="20"/>
        </w:rPr>
      </w:pPr>
      <w:r w:rsidRPr="00F77CEA">
        <w:rPr>
          <w:rFonts w:hint="cs"/>
          <w:b w:val="0"/>
          <w:bCs w:val="0"/>
          <w:szCs w:val="20"/>
          <w:rtl/>
        </w:rPr>
        <w:t xml:space="preserve">מספר פנימי: </w:t>
      </w:r>
      <w:bookmarkStart w:id="0" w:name="ItemID"/>
      <w:r w:rsidR="00A94500" w:rsidRPr="00F77CEA">
        <w:rPr>
          <w:b w:val="0"/>
          <w:bCs w:val="0"/>
          <w:szCs w:val="20"/>
          <w:rtl/>
        </w:rPr>
        <w:t>485328</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A94500" w:rsidRPr="00A94500">
        <w:rPr>
          <w:sz w:val="28"/>
          <w:szCs w:val="28"/>
          <w:rtl/>
        </w:rPr>
        <w:t>התשע-עשרה</w:t>
      </w:r>
      <w:bookmarkEnd w:id="1"/>
    </w:p>
    <w:p w:rsidR="00E13C27" w:rsidRDefault="00E13C27" w:rsidP="00E13C27">
      <w:pPr>
        <w:rPr>
          <w:rFonts w:cs="David"/>
          <w:sz w:val="26"/>
          <w:szCs w:val="26"/>
          <w:rtl/>
        </w:rPr>
      </w:pPr>
    </w:p>
    <w:p w:rsidR="00E13C27" w:rsidRDefault="0077640B" w:rsidP="0091204F">
      <w:pPr>
        <w:pStyle w:val="David"/>
        <w:ind w:left="2880" w:firstLine="663"/>
        <w:rPr>
          <w:b/>
          <w:bCs/>
          <w:rtl/>
        </w:rPr>
      </w:pPr>
      <w:bookmarkStart w:id="2" w:name="MKsSingleOrMulti"/>
      <w:r w:rsidRPr="00A76311">
        <w:rPr>
          <w:b/>
          <w:bCs/>
          <w:rtl/>
        </w:rPr>
        <w:t>יוזמים:      חברי הכנסת</w:t>
      </w:r>
      <w:bookmarkEnd w:id="2"/>
      <w:r w:rsidR="00B35784" w:rsidRPr="00A76311">
        <w:rPr>
          <w:b/>
          <w:bCs/>
        </w:rPr>
        <w:tab/>
      </w:r>
      <w:bookmarkStart w:id="3" w:name="MKs"/>
      <w:r w:rsidR="00A94500" w:rsidRPr="00A76311">
        <w:rPr>
          <w:b/>
          <w:bCs/>
          <w:rtl/>
        </w:rPr>
        <w:t>עליזה לביא</w:t>
      </w:r>
      <w:bookmarkEnd w:id="3"/>
    </w:p>
    <w:p w:rsidR="00A76311" w:rsidRPr="00A76311" w:rsidRDefault="00A76311" w:rsidP="00A76311">
      <w:pPr>
        <w:pStyle w:val="David"/>
        <w:ind w:left="5703" w:firstLine="663"/>
        <w:rPr>
          <w:b/>
          <w:bCs/>
          <w:rtl/>
        </w:rPr>
      </w:pPr>
      <w:r>
        <w:rPr>
          <w:rFonts w:hint="cs"/>
          <w:b/>
          <w:bCs/>
          <w:rtl/>
        </w:rPr>
        <w:t xml:space="preserve">  </w:t>
      </w:r>
      <w:r w:rsidRPr="00A76311">
        <w:rPr>
          <w:b/>
          <w:bCs/>
          <w:rtl/>
        </w:rPr>
        <w:t xml:space="preserve">רינה פרנקל </w:t>
      </w:r>
    </w:p>
    <w:p w:rsidR="00A76311" w:rsidRPr="00A76311" w:rsidRDefault="00A76311" w:rsidP="00A76311">
      <w:pPr>
        <w:pStyle w:val="David"/>
        <w:ind w:left="5703" w:firstLine="663"/>
        <w:rPr>
          <w:b/>
          <w:bCs/>
          <w:rtl/>
        </w:rPr>
      </w:pPr>
      <w:r w:rsidRPr="00A76311">
        <w:rPr>
          <w:b/>
          <w:bCs/>
          <w:rtl/>
        </w:rPr>
        <w:t xml:space="preserve">  דוד צור </w:t>
      </w:r>
    </w:p>
    <w:p w:rsidR="00A76311" w:rsidRPr="00A76311" w:rsidRDefault="00A76311" w:rsidP="00A76311">
      <w:pPr>
        <w:pStyle w:val="David"/>
        <w:ind w:left="5703" w:firstLine="663"/>
        <w:rPr>
          <w:b/>
          <w:bCs/>
          <w:rtl/>
        </w:rPr>
      </w:pPr>
      <w:r w:rsidRPr="00A76311">
        <w:rPr>
          <w:b/>
          <w:bCs/>
          <w:rtl/>
        </w:rPr>
        <w:t xml:space="preserve">  תמר זנדברג </w:t>
      </w:r>
    </w:p>
    <w:p w:rsidR="00A76311" w:rsidRPr="00A76311" w:rsidRDefault="00A76311" w:rsidP="00A76311">
      <w:pPr>
        <w:pStyle w:val="David"/>
        <w:ind w:left="5703" w:firstLine="663"/>
        <w:rPr>
          <w:b/>
          <w:bCs/>
          <w:rtl/>
        </w:rPr>
      </w:pPr>
      <w:r w:rsidRPr="00A76311">
        <w:rPr>
          <w:b/>
          <w:bCs/>
          <w:rtl/>
        </w:rPr>
        <w:t xml:space="preserve">  מיכל רוזין </w:t>
      </w:r>
    </w:p>
    <w:p w:rsidR="00A76311" w:rsidRPr="00A76311" w:rsidRDefault="00A76311" w:rsidP="00A76311">
      <w:pPr>
        <w:pStyle w:val="David"/>
        <w:ind w:left="5703" w:firstLine="663"/>
        <w:rPr>
          <w:b/>
          <w:bCs/>
          <w:rtl/>
        </w:rPr>
      </w:pPr>
      <w:r w:rsidRPr="00A76311">
        <w:rPr>
          <w:b/>
          <w:bCs/>
          <w:rtl/>
        </w:rPr>
        <w:t xml:space="preserve">  עיסאווי פריג' </w:t>
      </w:r>
    </w:p>
    <w:p w:rsidR="00A76311" w:rsidRPr="00A76311" w:rsidRDefault="00A76311" w:rsidP="00A76311">
      <w:pPr>
        <w:pStyle w:val="David"/>
        <w:ind w:left="5703" w:firstLine="663"/>
        <w:rPr>
          <w:b/>
          <w:bCs/>
          <w:rtl/>
        </w:rPr>
      </w:pPr>
      <w:r w:rsidRPr="00A76311">
        <w:rPr>
          <w:b/>
          <w:bCs/>
          <w:rtl/>
        </w:rPr>
        <w:t xml:space="preserve">  ניצן הורוביץ </w:t>
      </w:r>
    </w:p>
    <w:p w:rsidR="00A76311" w:rsidRPr="00A76311" w:rsidRDefault="00A76311" w:rsidP="00A76311">
      <w:pPr>
        <w:pStyle w:val="David"/>
        <w:ind w:left="5703" w:firstLine="663"/>
        <w:rPr>
          <w:b/>
          <w:bCs/>
          <w:rtl/>
        </w:rPr>
      </w:pPr>
      <w:r w:rsidRPr="00A76311">
        <w:rPr>
          <w:b/>
          <w:bCs/>
          <w:rtl/>
        </w:rPr>
        <w:t xml:space="preserve">  אילן גילאון </w:t>
      </w:r>
    </w:p>
    <w:p w:rsidR="00A76311" w:rsidRPr="00A76311" w:rsidRDefault="00A76311" w:rsidP="00A76311">
      <w:pPr>
        <w:pStyle w:val="David"/>
        <w:ind w:left="5703" w:firstLine="663"/>
        <w:rPr>
          <w:b/>
          <w:bCs/>
          <w:rtl/>
        </w:rPr>
      </w:pPr>
      <w:r w:rsidRPr="00A76311">
        <w:rPr>
          <w:b/>
          <w:bCs/>
          <w:rtl/>
        </w:rPr>
        <w:t xml:space="preserve">  בנימין בן-אליעזר </w:t>
      </w:r>
    </w:p>
    <w:p w:rsidR="00A76311" w:rsidRPr="00A76311" w:rsidRDefault="00A76311" w:rsidP="00A76311">
      <w:pPr>
        <w:pStyle w:val="David"/>
        <w:ind w:left="5703" w:firstLine="663"/>
        <w:rPr>
          <w:b/>
          <w:bCs/>
          <w:rtl/>
        </w:rPr>
      </w:pPr>
      <w:r w:rsidRPr="00A76311">
        <w:rPr>
          <w:b/>
          <w:bCs/>
          <w:rtl/>
        </w:rPr>
        <w:t xml:space="preserve">  מרב מיכאלי </w:t>
      </w:r>
    </w:p>
    <w:p w:rsidR="00A76311" w:rsidRPr="00A76311" w:rsidRDefault="00A76311" w:rsidP="00A76311">
      <w:pPr>
        <w:pStyle w:val="David"/>
        <w:ind w:left="5703" w:firstLine="663"/>
        <w:rPr>
          <w:b/>
          <w:bCs/>
          <w:rtl/>
        </w:rPr>
      </w:pPr>
      <w:r w:rsidRPr="00A76311">
        <w:rPr>
          <w:b/>
          <w:bCs/>
          <w:rtl/>
        </w:rPr>
        <w:t xml:space="preserve">  נחמן שי </w:t>
      </w:r>
    </w:p>
    <w:p w:rsidR="00A76311" w:rsidRPr="00A76311" w:rsidRDefault="00A76311" w:rsidP="00A76311">
      <w:pPr>
        <w:pStyle w:val="David"/>
        <w:ind w:left="5703" w:firstLine="663"/>
        <w:rPr>
          <w:b/>
          <w:bCs/>
          <w:rtl/>
        </w:rPr>
      </w:pPr>
      <w:r w:rsidRPr="00A76311">
        <w:rPr>
          <w:b/>
          <w:bCs/>
          <w:rtl/>
        </w:rPr>
        <w:t xml:space="preserve">  משה מזרחי </w:t>
      </w:r>
    </w:p>
    <w:p w:rsidR="00A76311" w:rsidRPr="00A76311" w:rsidRDefault="00A76311" w:rsidP="00A76311">
      <w:pPr>
        <w:pStyle w:val="David"/>
        <w:ind w:left="5703" w:firstLine="663"/>
        <w:rPr>
          <w:b/>
          <w:bCs/>
          <w:rtl/>
        </w:rPr>
      </w:pPr>
      <w:r w:rsidRPr="00A76311">
        <w:rPr>
          <w:b/>
          <w:bCs/>
          <w:rtl/>
        </w:rPr>
        <w:t xml:space="preserve">  שמעון אוחיון </w:t>
      </w:r>
    </w:p>
    <w:p w:rsidR="00A76311" w:rsidRPr="00A76311" w:rsidRDefault="00A76311" w:rsidP="00A76311">
      <w:pPr>
        <w:pStyle w:val="David"/>
        <w:ind w:left="5703" w:firstLine="663"/>
        <w:rPr>
          <w:b/>
          <w:bCs/>
          <w:rtl/>
        </w:rPr>
      </w:pPr>
      <w:r w:rsidRPr="00A76311">
        <w:rPr>
          <w:b/>
          <w:bCs/>
          <w:rtl/>
        </w:rPr>
        <w:t xml:space="preserve">  שלי יחימוביץ' </w:t>
      </w:r>
    </w:p>
    <w:p w:rsidR="00A76311" w:rsidRPr="00A76311" w:rsidRDefault="00A76311" w:rsidP="00A76311">
      <w:pPr>
        <w:pStyle w:val="David"/>
        <w:ind w:left="5703" w:firstLine="663"/>
        <w:rPr>
          <w:b/>
          <w:bCs/>
          <w:rtl/>
        </w:rPr>
      </w:pPr>
      <w:r w:rsidRPr="00A76311">
        <w:rPr>
          <w:b/>
          <w:bCs/>
          <w:rtl/>
        </w:rPr>
        <w:t xml:space="preserve">  שולי מועלם-רפאלי </w:t>
      </w:r>
    </w:p>
    <w:p w:rsidR="00B94FAA" w:rsidRDefault="00A76311" w:rsidP="00A76311">
      <w:pPr>
        <w:pStyle w:val="David"/>
        <w:ind w:left="5703" w:firstLine="663"/>
        <w:rPr>
          <w:b/>
          <w:bCs/>
          <w:rtl/>
        </w:rPr>
      </w:pPr>
      <w:r w:rsidRPr="00A76311">
        <w:rPr>
          <w:b/>
          <w:bCs/>
          <w:rtl/>
        </w:rPr>
        <w:t xml:space="preserve">  דב ליפמן </w:t>
      </w:r>
    </w:p>
    <w:p w:rsidR="00E13C27" w:rsidRPr="00A76311" w:rsidRDefault="0014195F" w:rsidP="00A76311">
      <w:pPr>
        <w:pStyle w:val="David"/>
        <w:ind w:left="5703" w:firstLine="663"/>
        <w:rPr>
          <w:b/>
          <w:bCs/>
          <w:rtl/>
        </w:rPr>
      </w:pPr>
      <w:r>
        <w:rPr>
          <w:noProof/>
          <w:rtl/>
          <w:lang w:eastAsia="en-US"/>
        </w:rPr>
        <mc:AlternateContent>
          <mc:Choice Requires="wps">
            <w:drawing>
              <wp:anchor distT="0" distB="0" distL="114300" distR="114300" simplePos="0" relativeHeight="251658240" behindDoc="0" locked="0" layoutInCell="1" allowOverlap="1" wp14:anchorId="7EE928DD" wp14:editId="51D1927B">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Start w:id="5" w:name="MKs1"/>
      <w:bookmarkEnd w:id="4"/>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D23D8A" w:rsidRPr="00D23D8A">
        <w:rPr>
          <w:rFonts w:cs="David"/>
          <w:sz w:val="26"/>
          <w:szCs w:val="26"/>
          <w:rtl/>
        </w:rPr>
        <w:t>פ/1536/19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Default="00B325B9" w:rsidP="00A76311">
      <w:pPr>
        <w:pStyle w:val="HeadHatzaotHok"/>
        <w:tabs>
          <w:tab w:val="left" w:pos="4071"/>
          <w:tab w:val="center" w:pos="4819"/>
        </w:tabs>
        <w:spacing w:before="0"/>
        <w:rPr>
          <w:sz w:val="26"/>
          <w:rtl/>
        </w:rPr>
      </w:pPr>
      <w:bookmarkStart w:id="7" w:name="Title"/>
      <w:r w:rsidRPr="00B325B9">
        <w:rPr>
          <w:sz w:val="26"/>
          <w:rtl/>
        </w:rPr>
        <w:t xml:space="preserve">הצעה חוק שכר שווה לעובדת ולעובד (תיקון </w:t>
      </w:r>
      <w:r w:rsidR="00A76311">
        <w:rPr>
          <w:rFonts w:hint="cs"/>
          <w:sz w:val="26"/>
          <w:rtl/>
        </w:rPr>
        <w:t>–</w:t>
      </w:r>
      <w:r w:rsidRPr="00B325B9">
        <w:rPr>
          <w:sz w:val="26"/>
          <w:rtl/>
        </w:rPr>
        <w:t xml:space="preserve"> פיצויים בשל נזק שאינו ממוני ונגישות למידע מהמעסיק), התשע"ג</w:t>
      </w:r>
      <w:r w:rsidR="00A76311">
        <w:rPr>
          <w:rFonts w:hint="cs"/>
          <w:sz w:val="26"/>
          <w:rtl/>
        </w:rPr>
        <w:t>–</w:t>
      </w:r>
      <w:r w:rsidRPr="00B325B9">
        <w:rPr>
          <w:sz w:val="26"/>
          <w:rtl/>
        </w:rPr>
        <w:t>2013</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13C27" w:rsidTr="001A2F97">
        <w:trPr>
          <w:cantSplit/>
          <w:trHeight w:val="60"/>
        </w:trPr>
        <w:tc>
          <w:tcPr>
            <w:tcW w:w="1871" w:type="dxa"/>
          </w:tcPr>
          <w:p w:rsidR="00E13C27" w:rsidRDefault="00BA7CBF" w:rsidP="00E13C27">
            <w:pPr>
              <w:pStyle w:val="TableSideHeading"/>
              <w:keepLines w:val="0"/>
            </w:pPr>
            <w:r>
              <w:rPr>
                <w:rFonts w:hint="cs"/>
                <w:rtl/>
              </w:rPr>
              <w:t>תיקון סעיף 4</w:t>
            </w:r>
          </w:p>
        </w:tc>
        <w:tc>
          <w:tcPr>
            <w:tcW w:w="624" w:type="dxa"/>
          </w:tcPr>
          <w:p w:rsidR="00E13C27" w:rsidRDefault="00BA7CBF" w:rsidP="00BA7CBF">
            <w:pPr>
              <w:pStyle w:val="TableText"/>
              <w:keepLines w:val="0"/>
            </w:pPr>
            <w:r>
              <w:rPr>
                <w:rFonts w:hint="cs"/>
                <w:rtl/>
              </w:rPr>
              <w:t>1.</w:t>
            </w:r>
          </w:p>
        </w:tc>
        <w:tc>
          <w:tcPr>
            <w:tcW w:w="7146" w:type="dxa"/>
          </w:tcPr>
          <w:p w:rsidR="00E13C27" w:rsidRPr="00F77CEA" w:rsidRDefault="0056657F" w:rsidP="00F77CEA">
            <w:pPr>
              <w:pStyle w:val="TableBlock"/>
            </w:pPr>
            <w:r w:rsidRPr="00F77CEA">
              <w:rPr>
                <w:rtl/>
              </w:rPr>
              <w:t>בחוק שכר שווה לעובדת ולעובד, התשנ"ו</w:t>
            </w:r>
            <w:r w:rsidR="006A5D84" w:rsidRPr="00F77CEA">
              <w:rPr>
                <w:rFonts w:hint="cs"/>
                <w:rtl/>
              </w:rPr>
              <w:t>–</w:t>
            </w:r>
            <w:r w:rsidRPr="00F77CEA">
              <w:rPr>
                <w:rtl/>
              </w:rPr>
              <w:t>1996</w:t>
            </w:r>
            <w:r w:rsidRPr="00F77CEA">
              <w:rPr>
                <w:rtl/>
              </w:rPr>
              <w:footnoteReference w:id="2"/>
            </w:r>
            <w:r w:rsidR="00A76311" w:rsidRPr="00F77CEA">
              <w:rPr>
                <w:rFonts w:hint="cs"/>
                <w:rtl/>
              </w:rPr>
              <w:t xml:space="preserve"> (להלן – החוק העיקרי)</w:t>
            </w:r>
            <w:r w:rsidRPr="00F77CEA">
              <w:rPr>
                <w:rtl/>
              </w:rPr>
              <w:t>, בסעיף 4, האמור בו יסומן "(א)" ואחריו יבוא:</w:t>
            </w:r>
          </w:p>
        </w:tc>
      </w:tr>
      <w:tr w:rsidR="00F77CEA" w:rsidTr="003A02A5">
        <w:trPr>
          <w:cantSplit/>
          <w:trHeight w:val="60"/>
        </w:trPr>
        <w:tc>
          <w:tcPr>
            <w:tcW w:w="1871" w:type="dxa"/>
          </w:tcPr>
          <w:p w:rsidR="00F77CEA" w:rsidRDefault="00F77CEA">
            <w:pPr>
              <w:pStyle w:val="TableSideHeading"/>
            </w:pPr>
          </w:p>
        </w:tc>
        <w:tc>
          <w:tcPr>
            <w:tcW w:w="624" w:type="dxa"/>
          </w:tcPr>
          <w:p w:rsidR="00F77CEA" w:rsidRDefault="00F77CEA">
            <w:pPr>
              <w:pStyle w:val="TableText"/>
            </w:pPr>
          </w:p>
        </w:tc>
        <w:tc>
          <w:tcPr>
            <w:tcW w:w="7146" w:type="dxa"/>
          </w:tcPr>
          <w:p w:rsidR="00F77CEA" w:rsidRDefault="00F77CEA">
            <w:pPr>
              <w:pStyle w:val="TableBlock"/>
            </w:pPr>
            <w:r w:rsidRPr="006A5D84">
              <w:rPr>
                <w:rtl/>
              </w:rPr>
              <w:t>"(ב)</w:t>
            </w:r>
            <w:r w:rsidRPr="006A5D84">
              <w:rPr>
                <w:rtl/>
              </w:rPr>
              <w:tab/>
              <w:t>בתובענה לפי חוק זה רשאי בית הדין לעבודה, בנוסף לכל סעד אחר, לפסוק פיצויים אף אם לא נגרם נזק של ממון, בשיעור שייראה לו בנסיבות הענ</w:t>
            </w:r>
            <w:r>
              <w:rPr>
                <w:rFonts w:hint="cs"/>
                <w:rtl/>
              </w:rPr>
              <w:t>י</w:t>
            </w:r>
            <w:r w:rsidRPr="006A5D84">
              <w:rPr>
                <w:rtl/>
              </w:rPr>
              <w:t>ין."</w:t>
            </w:r>
          </w:p>
        </w:tc>
      </w:tr>
      <w:tr w:rsidR="00E13C27" w:rsidTr="001A2F97">
        <w:trPr>
          <w:cantSplit/>
          <w:trHeight w:val="60"/>
        </w:trPr>
        <w:tc>
          <w:tcPr>
            <w:tcW w:w="1871" w:type="dxa"/>
          </w:tcPr>
          <w:p w:rsidR="00E13C27" w:rsidRDefault="00BA7CBF" w:rsidP="00E13C27">
            <w:pPr>
              <w:pStyle w:val="TableSideHeading"/>
              <w:keepLines w:val="0"/>
            </w:pPr>
            <w:r>
              <w:rPr>
                <w:rFonts w:hint="cs"/>
                <w:rtl/>
              </w:rPr>
              <w:t>תיקון סעיף 7</w:t>
            </w:r>
          </w:p>
        </w:tc>
        <w:tc>
          <w:tcPr>
            <w:tcW w:w="624" w:type="dxa"/>
          </w:tcPr>
          <w:p w:rsidR="00E13C27" w:rsidRDefault="00BA7CBF" w:rsidP="00814D92">
            <w:pPr>
              <w:pStyle w:val="TableText"/>
              <w:keepLines w:val="0"/>
            </w:pPr>
            <w:r>
              <w:rPr>
                <w:rFonts w:hint="cs"/>
                <w:rtl/>
              </w:rPr>
              <w:t xml:space="preserve">2. </w:t>
            </w:r>
          </w:p>
        </w:tc>
        <w:tc>
          <w:tcPr>
            <w:tcW w:w="7146" w:type="dxa"/>
          </w:tcPr>
          <w:p w:rsidR="00E13C27" w:rsidRPr="00A76311" w:rsidRDefault="0056657F" w:rsidP="00A76311">
            <w:pPr>
              <w:pStyle w:val="TableBlock"/>
              <w:keepLines w:val="0"/>
              <w:rPr>
                <w:sz w:val="26"/>
              </w:rPr>
            </w:pPr>
            <w:r>
              <w:rPr>
                <w:sz w:val="26"/>
                <w:rtl/>
              </w:rPr>
              <w:t>בסעיף 7 לחוק העיקרי, אחרי "לעובדו" יבוא</w:t>
            </w:r>
            <w:r w:rsidR="00A76311">
              <w:rPr>
                <w:rFonts w:hint="cs"/>
                <w:sz w:val="26"/>
                <w:rtl/>
              </w:rPr>
              <w:t xml:space="preserve"> </w:t>
            </w:r>
            <w:r>
              <w:rPr>
                <w:sz w:val="26"/>
                <w:rtl/>
              </w:rPr>
              <w:t>"</w:t>
            </w:r>
            <w:r w:rsidR="00A76311">
              <w:rPr>
                <w:sz w:val="26"/>
                <w:rtl/>
              </w:rPr>
              <w:t>או לגופים המנויים בסעיף 9</w:t>
            </w:r>
            <w:r w:rsidRPr="00026185">
              <w:rPr>
                <w:sz w:val="26"/>
                <w:rtl/>
              </w:rPr>
              <w:t xml:space="preserve">, לפי דרישת העובד או לפי דרישת הגופים </w:t>
            </w:r>
            <w:r w:rsidR="00A76311">
              <w:rPr>
                <w:rFonts w:hint="cs"/>
                <w:sz w:val="26"/>
                <w:rtl/>
              </w:rPr>
              <w:t>האמורים</w:t>
            </w:r>
            <w:r>
              <w:rPr>
                <w:sz w:val="26"/>
                <w:rtl/>
              </w:rPr>
              <w:t>"</w:t>
            </w:r>
            <w:r>
              <w:rPr>
                <w:rFonts w:hint="cs"/>
                <w:rtl/>
              </w:rPr>
              <w:t>.</w:t>
            </w:r>
          </w:p>
        </w:tc>
      </w:tr>
    </w:tbl>
    <w:p w:rsidR="00B94FAA" w:rsidRDefault="00B94FAA" w:rsidP="00B94FAA">
      <w:pPr>
        <w:pStyle w:val="HeadDivreiHesber"/>
        <w:spacing w:line="240" w:lineRule="auto"/>
        <w:rPr>
          <w:sz w:val="28"/>
          <w:szCs w:val="28"/>
          <w:rtl/>
        </w:rPr>
      </w:pPr>
    </w:p>
    <w:p w:rsidR="00B94FAA" w:rsidRDefault="00B94FAA" w:rsidP="00B94FAA">
      <w:pPr>
        <w:pStyle w:val="HeadDivreiHesber"/>
        <w:spacing w:line="240" w:lineRule="auto"/>
        <w:rPr>
          <w:sz w:val="28"/>
          <w:szCs w:val="28"/>
          <w:rtl/>
        </w:rPr>
      </w:pPr>
    </w:p>
    <w:p w:rsidR="00E13C27" w:rsidRPr="00A76311" w:rsidRDefault="00E13C27" w:rsidP="00B94FAA">
      <w:pPr>
        <w:pStyle w:val="HeadDivreiHesber"/>
        <w:spacing w:line="240" w:lineRule="auto"/>
        <w:rPr>
          <w:szCs w:val="20"/>
          <w:rtl/>
        </w:rPr>
      </w:pPr>
      <w:r w:rsidRPr="00A76311">
        <w:rPr>
          <w:rFonts w:hint="cs"/>
          <w:sz w:val="28"/>
          <w:szCs w:val="28"/>
          <w:rtl/>
        </w:rPr>
        <w:t>דברי הסבר</w:t>
      </w:r>
    </w:p>
    <w:p w:rsidR="0056657F" w:rsidRPr="00A76311" w:rsidRDefault="0056657F" w:rsidP="00F77CEA">
      <w:pPr>
        <w:pStyle w:val="Hesber"/>
        <w:rPr>
          <w:rtl/>
        </w:rPr>
      </w:pPr>
      <w:r w:rsidRPr="00A76311">
        <w:rPr>
          <w:rtl/>
        </w:rPr>
        <w:t>חוק שכר שווה לעובדת ולעובד, התשנ"ו</w:t>
      </w:r>
      <w:r w:rsidR="00F77CEA">
        <w:rPr>
          <w:rFonts w:hint="cs"/>
          <w:rtl/>
        </w:rPr>
        <w:t>–</w:t>
      </w:r>
      <w:r w:rsidRPr="00A76311">
        <w:rPr>
          <w:rtl/>
        </w:rPr>
        <w:t>1996</w:t>
      </w:r>
      <w:r w:rsidRPr="00A76311">
        <w:rPr>
          <w:rFonts w:hint="cs"/>
          <w:rtl/>
        </w:rPr>
        <w:t>,</w:t>
      </w:r>
      <w:r w:rsidRPr="00A76311">
        <w:rPr>
          <w:rtl/>
        </w:rPr>
        <w:t xml:space="preserve"> הוא מהחוקים החשובים בספר החוקים. מטרתו להבטיח שוויון בין נשים וגברים במשפט העבודה בישראל, זאת על ידי עיגון חובה לשכר שווה לגבר ולאישה המבצעים תפקיד זהה או שווה ערך. </w:t>
      </w:r>
    </w:p>
    <w:p w:rsidR="0056657F" w:rsidRPr="00A76311" w:rsidRDefault="0056657F" w:rsidP="00F77CEA">
      <w:pPr>
        <w:pStyle w:val="Hesber"/>
        <w:rPr>
          <w:rtl/>
        </w:rPr>
      </w:pPr>
      <w:r w:rsidRPr="00A76311">
        <w:rPr>
          <w:rtl/>
        </w:rPr>
        <w:t>ואולם, בפועל, ישנם קשיים רבים ביישום החוק. קשיים אלה נובעים,</w:t>
      </w:r>
      <w:r w:rsidRPr="00A76311">
        <w:rPr>
          <w:rFonts w:hint="cs"/>
          <w:rtl/>
        </w:rPr>
        <w:t xml:space="preserve"> </w:t>
      </w:r>
      <w:r w:rsidRPr="00A76311">
        <w:rPr>
          <w:rtl/>
        </w:rPr>
        <w:t>בין היתר, מקושי ל</w:t>
      </w:r>
      <w:r w:rsidR="00A76311">
        <w:rPr>
          <w:rFonts w:hint="cs"/>
          <w:rtl/>
        </w:rPr>
        <w:t>כמת</w:t>
      </w:r>
      <w:r w:rsidRPr="00A76311">
        <w:rPr>
          <w:rtl/>
        </w:rPr>
        <w:t xml:space="preserve"> את ערכה הכספי של פגיעה שבבסיסה עומדת </w:t>
      </w:r>
      <w:r w:rsidR="00F77CEA">
        <w:rPr>
          <w:rFonts w:hint="cs"/>
          <w:rtl/>
        </w:rPr>
        <w:t>ה</w:t>
      </w:r>
      <w:r w:rsidRPr="00A76311">
        <w:rPr>
          <w:rtl/>
        </w:rPr>
        <w:t xml:space="preserve">פליה, כמו גם קושי בהשגת הנתונים הנדרשים לצורך הגשת התביעה מלכתחילה. </w:t>
      </w:r>
    </w:p>
    <w:p w:rsidR="0056657F" w:rsidRPr="00A76311" w:rsidRDefault="0056657F" w:rsidP="00A76311">
      <w:pPr>
        <w:pStyle w:val="Hesber"/>
        <w:rPr>
          <w:rtl/>
        </w:rPr>
      </w:pPr>
      <w:r w:rsidRPr="00A76311">
        <w:rPr>
          <w:rtl/>
        </w:rPr>
        <w:t xml:space="preserve">התיקונים המפורטים מטה מבקשים לענות על קשיים אלה, ולהבטיח שכאשר קיימת עילת תביעה בגין הפרת החוק, תוכל הנפגעת לקבל את הסעד הראוי.  </w:t>
      </w:r>
    </w:p>
    <w:p w:rsidR="0056657F" w:rsidRPr="00A76311" w:rsidRDefault="0056657F" w:rsidP="00A76311">
      <w:pPr>
        <w:pStyle w:val="HesberHeading"/>
        <w:rPr>
          <w:rtl/>
        </w:rPr>
      </w:pPr>
      <w:r w:rsidRPr="00A76311">
        <w:rPr>
          <w:rtl/>
        </w:rPr>
        <w:t>תיקון סעיף 4 לחוק</w:t>
      </w:r>
    </w:p>
    <w:p w:rsidR="0056657F" w:rsidRPr="00A76311" w:rsidRDefault="0056657F" w:rsidP="00F77CEA">
      <w:pPr>
        <w:pStyle w:val="Hesber"/>
        <w:rPr>
          <w:rtl/>
        </w:rPr>
      </w:pPr>
      <w:r w:rsidRPr="00A76311">
        <w:rPr>
          <w:rtl/>
        </w:rPr>
        <w:t xml:space="preserve">כיום, עובדת ששכרה נמוך משל גבר המועסק בתפקיד זהה או שווה ערך, רשאית לתבוע פיצוי מן המעסיק בגין פערי השכר. כמו כן, העובדת יכולה לתבוע בגין עילה נפרדת של </w:t>
      </w:r>
      <w:r w:rsidR="00F77CEA">
        <w:rPr>
          <w:rFonts w:hint="cs"/>
          <w:rtl/>
        </w:rPr>
        <w:t>ה</w:t>
      </w:r>
      <w:r w:rsidRPr="00A76311">
        <w:rPr>
          <w:rtl/>
        </w:rPr>
        <w:t xml:space="preserve">פליה, על פי חוק שוויון הזדמנויות בעבודה, </w:t>
      </w:r>
      <w:r w:rsidR="00B94FAA">
        <w:rPr>
          <w:rFonts w:hint="cs"/>
          <w:rtl/>
        </w:rPr>
        <w:t>ה</w:t>
      </w:r>
      <w:r w:rsidRPr="00A76311">
        <w:rPr>
          <w:rtl/>
        </w:rPr>
        <w:t>תשמ"ח</w:t>
      </w:r>
      <w:r w:rsidR="00A76311">
        <w:rPr>
          <w:rFonts w:hint="cs"/>
          <w:rtl/>
        </w:rPr>
        <w:t>–</w:t>
      </w:r>
      <w:r w:rsidRPr="00A76311">
        <w:rPr>
          <w:rtl/>
        </w:rPr>
        <w:t xml:space="preserve">1998. </w:t>
      </w:r>
      <w:r w:rsidRPr="00A76311">
        <w:rPr>
          <w:rFonts w:hint="cs"/>
          <w:rtl/>
        </w:rPr>
        <w:t>ל</w:t>
      </w:r>
      <w:r w:rsidRPr="00A76311">
        <w:rPr>
          <w:rtl/>
        </w:rPr>
        <w:t>פי סעיף 1 לחוק המוצע, יוסף לחוק שכר שווה לעובדת ולעובד סעיף שמאפשר פיצוי בגין נזק לא ממוני, בנוסח דומה לנוסח המופיע בחוק שוויון הזדמנויות בעבודה, זאת מעצם  הפגיעה בכבודה ובמעמדה המקצועי של העובדת נוכח הפלייתה</w:t>
      </w:r>
      <w:r w:rsidRPr="00A76311">
        <w:rPr>
          <w:rFonts w:hint="cs"/>
          <w:rtl/>
        </w:rPr>
        <w:t>.</w:t>
      </w:r>
      <w:r w:rsidR="00A76311">
        <w:rPr>
          <w:rFonts w:hint="cs"/>
          <w:rtl/>
        </w:rPr>
        <w:t xml:space="preserve"> </w:t>
      </w:r>
      <w:r w:rsidR="00A76311" w:rsidRPr="00A76311">
        <w:rPr>
          <w:rtl/>
        </w:rPr>
        <w:t xml:space="preserve">בהקשר זה יצוין שבבג"ץ 1758/11 </w:t>
      </w:r>
      <w:r w:rsidR="00A76311" w:rsidRPr="00F77CEA">
        <w:rPr>
          <w:b/>
          <w:bCs/>
          <w:rtl/>
        </w:rPr>
        <w:t>אורית גורן נ' הום סנטר (עשה זאת בעצמך) בע"מ</w:t>
      </w:r>
      <w:r w:rsidR="00A76311" w:rsidRPr="00A76311">
        <w:rPr>
          <w:rtl/>
        </w:rPr>
        <w:t xml:space="preserve"> (טרם פורסם, ניתן ביום 17.5.2012) פסק בית המשפט הגבוה לצדק כי לא כ</w:t>
      </w:r>
      <w:r w:rsidR="00B94FAA">
        <w:rPr>
          <w:rtl/>
        </w:rPr>
        <w:t xml:space="preserve">ל מקרה של פערי שכר מהווה בהכרח </w:t>
      </w:r>
      <w:r w:rsidR="00B94FAA">
        <w:rPr>
          <w:rFonts w:hint="cs"/>
          <w:rtl/>
        </w:rPr>
        <w:t>ה</w:t>
      </w:r>
      <w:r w:rsidR="00A76311" w:rsidRPr="00A76311">
        <w:rPr>
          <w:rtl/>
        </w:rPr>
        <w:t xml:space="preserve">פליה, ואולם ציין כי במקרה של פערי שכר הנטל עובר </w:t>
      </w:r>
      <w:r w:rsidR="00B94FAA">
        <w:rPr>
          <w:rtl/>
        </w:rPr>
        <w:t xml:space="preserve">אל המעסיק להוכיח כי לא מתקיימת </w:t>
      </w:r>
      <w:r w:rsidR="00B94FAA">
        <w:rPr>
          <w:rFonts w:hint="cs"/>
          <w:rtl/>
        </w:rPr>
        <w:t>ה</w:t>
      </w:r>
      <w:r w:rsidR="00A76311" w:rsidRPr="00A76311">
        <w:rPr>
          <w:rtl/>
        </w:rPr>
        <w:t>פליה.</w:t>
      </w:r>
      <w:r w:rsidRPr="00A76311">
        <w:rPr>
          <w:rtl/>
        </w:rPr>
        <w:t xml:space="preserve"> </w:t>
      </w:r>
    </w:p>
    <w:p w:rsidR="0056657F" w:rsidRPr="00A76311" w:rsidRDefault="0056657F" w:rsidP="00A76311">
      <w:pPr>
        <w:pStyle w:val="HesberHeading"/>
        <w:rPr>
          <w:rtl/>
        </w:rPr>
      </w:pPr>
      <w:r w:rsidRPr="00A76311">
        <w:rPr>
          <w:rtl/>
        </w:rPr>
        <w:t>תיקון סעיף 7 לחוק</w:t>
      </w:r>
    </w:p>
    <w:p w:rsidR="0056657F" w:rsidRPr="00A76311" w:rsidRDefault="0056657F" w:rsidP="00A76311">
      <w:pPr>
        <w:pStyle w:val="Hesber"/>
        <w:rPr>
          <w:rtl/>
        </w:rPr>
      </w:pPr>
      <w:r w:rsidRPr="00A76311">
        <w:rPr>
          <w:rtl/>
        </w:rPr>
        <w:t xml:space="preserve">ניסיון החיים מלמד כי עובדות ממעטות לתבוע את מעסיקן מחשש לאובדן מקום העבודה שלהן. משכך, עיגן המחוקק את סעיף 9 לחוק, לפיו תובענה על פי החוק תוכל להיות מוגשת על ידי: (1) העובד; (2) ארגון העובדים היציג או ארגון העובדים </w:t>
      </w:r>
      <w:r w:rsidR="00F77CEA">
        <w:rPr>
          <w:rFonts w:hint="cs"/>
          <w:rtl/>
        </w:rPr>
        <w:t>ש</w:t>
      </w:r>
      <w:r w:rsidRPr="00A76311">
        <w:rPr>
          <w:rtl/>
        </w:rPr>
        <w:t xml:space="preserve">בו חבר העובד; (3) ארגון העוסק בזכויות נשים ככל שהסכים לכך העובד. </w:t>
      </w:r>
    </w:p>
    <w:p w:rsidR="0056657F" w:rsidRPr="00A76311" w:rsidRDefault="0056657F" w:rsidP="00A76311">
      <w:pPr>
        <w:pStyle w:val="Hesber"/>
        <w:rPr>
          <w:rtl/>
        </w:rPr>
      </w:pPr>
      <w:r w:rsidRPr="00A76311">
        <w:rPr>
          <w:rtl/>
        </w:rPr>
        <w:t>יחד עם זאת, לפי סעיף 7 לחוק, רק העובד יכול לפנות לבירור מידע בדבר תנאי ההעסקה של העובדים המועסקים אצלו. בכך מבוטל בפועל הרציונל שבבסיס סעיף 9, שכן אותו הקושי שבהגשת התביעה קיים גם בבקשת הנתונים לביסוסה.</w:t>
      </w:r>
    </w:p>
    <w:p w:rsidR="0056657F" w:rsidRPr="00A76311" w:rsidRDefault="0056657F" w:rsidP="00A76311">
      <w:pPr>
        <w:pStyle w:val="Hesber"/>
        <w:rPr>
          <w:rtl/>
        </w:rPr>
      </w:pPr>
      <w:r w:rsidRPr="00A76311">
        <w:rPr>
          <w:rtl/>
        </w:rPr>
        <w:t>התיקון המוצע מבקש להבטיח כי כל אותם 3 גופים המנויים לעיל יוכלו לפנות למעסיק לבירור המצב העובדתי בדבר תנאי העסקה של העובד ולהעצים את אפשרותו להבטיח תנאי העסקה הולמים ושוויוניים</w:t>
      </w:r>
      <w:r w:rsidRPr="00A76311">
        <w:rPr>
          <w:rFonts w:hint="cs"/>
          <w:rtl/>
        </w:rPr>
        <w:t>.</w:t>
      </w:r>
    </w:p>
    <w:p w:rsidR="0056657F" w:rsidRPr="00A76311" w:rsidRDefault="0056657F" w:rsidP="00A76311">
      <w:pPr>
        <w:pStyle w:val="Hesber"/>
        <w:rPr>
          <w:rtl/>
        </w:rPr>
      </w:pPr>
      <w:r w:rsidRPr="00A76311">
        <w:rPr>
          <w:rFonts w:hint="cs"/>
          <w:rtl/>
        </w:rPr>
        <w:t xml:space="preserve">הצעת חוק זו היא פרי יוזמה של פרויקט שוות ערך לקידום שכר שווה בישראל בו חברים: שתיל, שדולת הנשים בישראל, מרכז אדווה ונציבות שוויון הזדמנויות בעבודה במשרד הכלכלה.  </w:t>
      </w:r>
    </w:p>
    <w:p w:rsidR="00F77CEA" w:rsidRDefault="00F77CEA" w:rsidP="00F77CEA">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F77CEA" w:rsidRDefault="00F77CEA" w:rsidP="00F77CEA">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F77CEA" w:rsidRDefault="00F77CEA" w:rsidP="00F77CEA">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F77CEA" w:rsidRDefault="00F77CEA" w:rsidP="00F77CEA">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ט"ו באב התשע"ג – 22.7.13</w:t>
      </w:r>
    </w:p>
    <w:p w:rsidR="00F77CEA" w:rsidRDefault="00F77CEA" w:rsidP="00F77CEA">
      <w:pPr>
        <w:spacing w:line="360" w:lineRule="auto"/>
        <w:rPr>
          <w:rtl/>
        </w:rPr>
      </w:pPr>
    </w:p>
    <w:p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6FC5" w:rsidRDefault="00616FC5">
      <w:r>
        <w:separator/>
      </w:r>
    </w:p>
  </w:endnote>
  <w:endnote w:type="continuationSeparator" w:id="0">
    <w:p w:rsidR="00616FC5" w:rsidRDefault="00616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15E7B">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6FC5" w:rsidRDefault="00616FC5">
      <w:r>
        <w:separator/>
      </w:r>
    </w:p>
  </w:footnote>
  <w:footnote w:type="continuationSeparator" w:id="0">
    <w:p w:rsidR="00616FC5" w:rsidRDefault="00616FC5">
      <w:r>
        <w:continuationSeparator/>
      </w:r>
    </w:p>
  </w:footnote>
  <w:footnote w:type="continuationNotice" w:id="1">
    <w:p w:rsidR="00616FC5" w:rsidRDefault="00616FC5"/>
  </w:footnote>
  <w:footnote w:id="2">
    <w:p w:rsidR="0056657F" w:rsidRDefault="0056657F" w:rsidP="0056657F">
      <w:pPr>
        <w:pStyle w:val="a4"/>
      </w:pPr>
      <w:r>
        <w:rPr>
          <w:rStyle w:val="a6"/>
        </w:rPr>
        <w:footnoteRef/>
      </w:r>
      <w:r>
        <w:rPr>
          <w:rtl/>
        </w:rPr>
        <w:t xml:space="preserve"> ס"ח התשנ"ו, עמ' 230.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5328lsCopyOriginal.docx"/>
    <w:docVar w:name="StartMode" w:val="2"/>
  </w:docVars>
  <w:rsids>
    <w:rsidRoot w:val="00DB7060"/>
    <w:rsid w:val="00015B27"/>
    <w:rsid w:val="00041AC7"/>
    <w:rsid w:val="000A542E"/>
    <w:rsid w:val="001207F8"/>
    <w:rsid w:val="00121924"/>
    <w:rsid w:val="001245EF"/>
    <w:rsid w:val="001279A8"/>
    <w:rsid w:val="0014195F"/>
    <w:rsid w:val="00152609"/>
    <w:rsid w:val="00153E1B"/>
    <w:rsid w:val="001A0623"/>
    <w:rsid w:val="001A2F97"/>
    <w:rsid w:val="001C23B0"/>
    <w:rsid w:val="00203A7F"/>
    <w:rsid w:val="002200A1"/>
    <w:rsid w:val="002362BF"/>
    <w:rsid w:val="00241B97"/>
    <w:rsid w:val="00254605"/>
    <w:rsid w:val="002728B4"/>
    <w:rsid w:val="00292712"/>
    <w:rsid w:val="002C2E29"/>
    <w:rsid w:val="002F4801"/>
    <w:rsid w:val="003232A2"/>
    <w:rsid w:val="003710F6"/>
    <w:rsid w:val="00386E88"/>
    <w:rsid w:val="003D74A0"/>
    <w:rsid w:val="004033D8"/>
    <w:rsid w:val="004D3876"/>
    <w:rsid w:val="004E4552"/>
    <w:rsid w:val="00553C9D"/>
    <w:rsid w:val="0056657F"/>
    <w:rsid w:val="005B064E"/>
    <w:rsid w:val="005D51AE"/>
    <w:rsid w:val="00616FC5"/>
    <w:rsid w:val="00644940"/>
    <w:rsid w:val="006818A9"/>
    <w:rsid w:val="006A5D84"/>
    <w:rsid w:val="006C1D0D"/>
    <w:rsid w:val="0070601E"/>
    <w:rsid w:val="00715E7B"/>
    <w:rsid w:val="00765F66"/>
    <w:rsid w:val="0077640B"/>
    <w:rsid w:val="007D5A12"/>
    <w:rsid w:val="007E59F9"/>
    <w:rsid w:val="00810BCD"/>
    <w:rsid w:val="00812C98"/>
    <w:rsid w:val="00814D92"/>
    <w:rsid w:val="00892135"/>
    <w:rsid w:val="00893EB6"/>
    <w:rsid w:val="00895449"/>
    <w:rsid w:val="00897879"/>
    <w:rsid w:val="008C2DDC"/>
    <w:rsid w:val="008F0D63"/>
    <w:rsid w:val="008F2C35"/>
    <w:rsid w:val="009009C9"/>
    <w:rsid w:val="0091204F"/>
    <w:rsid w:val="009203DB"/>
    <w:rsid w:val="00943386"/>
    <w:rsid w:val="00957589"/>
    <w:rsid w:val="00982412"/>
    <w:rsid w:val="00A26BD6"/>
    <w:rsid w:val="00A76311"/>
    <w:rsid w:val="00A82CB7"/>
    <w:rsid w:val="00A94500"/>
    <w:rsid w:val="00AC36F7"/>
    <w:rsid w:val="00B325B9"/>
    <w:rsid w:val="00B35784"/>
    <w:rsid w:val="00B5471D"/>
    <w:rsid w:val="00B94FAA"/>
    <w:rsid w:val="00BA7CBF"/>
    <w:rsid w:val="00BC45FB"/>
    <w:rsid w:val="00BE4118"/>
    <w:rsid w:val="00C9176A"/>
    <w:rsid w:val="00D16BC1"/>
    <w:rsid w:val="00D23D8A"/>
    <w:rsid w:val="00D867D7"/>
    <w:rsid w:val="00DB7060"/>
    <w:rsid w:val="00DE3153"/>
    <w:rsid w:val="00E13C27"/>
    <w:rsid w:val="00E33BBD"/>
    <w:rsid w:val="00E45103"/>
    <w:rsid w:val="00E665B9"/>
    <w:rsid w:val="00EA01E6"/>
    <w:rsid w:val="00EA758F"/>
    <w:rsid w:val="00ED4A6F"/>
    <w:rsid w:val="00EF3A3A"/>
    <w:rsid w:val="00F77C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uiPriority w:val="99"/>
    <w:rsid w:val="00943386"/>
    <w:pPr>
      <w:spacing w:line="240" w:lineRule="auto"/>
      <w:ind w:left="227" w:hanging="227"/>
    </w:pPr>
    <w:rPr>
      <w:sz w:val="14"/>
      <w:szCs w:val="20"/>
    </w:rPr>
  </w:style>
  <w:style w:type="character" w:styleId="a6">
    <w:name w:val="footnote reference"/>
    <w:uiPriority w:val="99"/>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uiPriority w:val="99"/>
    <w:locked/>
    <w:rsid w:val="00BA7CBF"/>
    <w:rPr>
      <w:rFonts w:ascii="Arial" w:eastAsia="Arial Unicode MS" w:hAnsi="Arial" w:cs="David"/>
      <w:snapToGrid w:val="0"/>
      <w:color w:val="000000"/>
      <w:sz w:val="14"/>
      <w:lang w:eastAsia="ja-JP"/>
    </w:rPr>
  </w:style>
  <w:style w:type="paragraph" w:styleId="ac">
    <w:name w:val="Balloon Text"/>
    <w:basedOn w:val="a"/>
    <w:link w:val="ad"/>
    <w:semiHidden/>
    <w:unhideWhenUsed/>
    <w:rsid w:val="00BA7CBF"/>
    <w:pPr>
      <w:spacing w:before="0" w:line="240" w:lineRule="auto"/>
    </w:pPr>
    <w:rPr>
      <w:rFonts w:ascii="Tahoma" w:hAnsi="Tahoma" w:cs="Tahoma"/>
      <w:sz w:val="16"/>
      <w:szCs w:val="16"/>
    </w:rPr>
  </w:style>
  <w:style w:type="character" w:customStyle="1" w:styleId="ad">
    <w:name w:val="טקסט בלונים תו"/>
    <w:basedOn w:val="a0"/>
    <w:link w:val="ac"/>
    <w:semiHidden/>
    <w:rsid w:val="00BA7CBF"/>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link w:val="a5"/>
    <w:autoRedefine/>
    <w:uiPriority w:val="99"/>
    <w:rsid w:val="00943386"/>
    <w:pPr>
      <w:spacing w:line="240" w:lineRule="auto"/>
      <w:ind w:left="227" w:hanging="227"/>
    </w:pPr>
    <w:rPr>
      <w:sz w:val="14"/>
      <w:szCs w:val="20"/>
    </w:rPr>
  </w:style>
  <w:style w:type="character" w:styleId="a6">
    <w:name w:val="footnote reference"/>
    <w:uiPriority w:val="99"/>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uiPriority w:val="99"/>
    <w:locked/>
    <w:rsid w:val="00BA7CBF"/>
    <w:rPr>
      <w:rFonts w:ascii="Arial" w:eastAsia="Arial Unicode MS" w:hAnsi="Arial" w:cs="David"/>
      <w:snapToGrid w:val="0"/>
      <w:color w:val="000000"/>
      <w:sz w:val="14"/>
      <w:lang w:eastAsia="ja-JP"/>
    </w:rPr>
  </w:style>
  <w:style w:type="paragraph" w:styleId="ac">
    <w:name w:val="Balloon Text"/>
    <w:basedOn w:val="a"/>
    <w:link w:val="ad"/>
    <w:semiHidden/>
    <w:unhideWhenUsed/>
    <w:rsid w:val="00BA7CBF"/>
    <w:pPr>
      <w:spacing w:before="0" w:line="240" w:lineRule="auto"/>
    </w:pPr>
    <w:rPr>
      <w:rFonts w:ascii="Tahoma" w:hAnsi="Tahoma" w:cs="Tahoma"/>
      <w:sz w:val="16"/>
      <w:szCs w:val="16"/>
    </w:rPr>
  </w:style>
  <w:style w:type="character" w:customStyle="1" w:styleId="ad">
    <w:name w:val="טקסט בלונים תו"/>
    <w:basedOn w:val="a0"/>
    <w:link w:val="ac"/>
    <w:semiHidden/>
    <w:rsid w:val="00BA7CBF"/>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468596">
      <w:bodyDiv w:val="1"/>
      <w:marLeft w:val="0"/>
      <w:marRight w:val="0"/>
      <w:marTop w:val="0"/>
      <w:marBottom w:val="0"/>
      <w:divBdr>
        <w:top w:val="none" w:sz="0" w:space="0" w:color="auto"/>
        <w:left w:val="none" w:sz="0" w:space="0" w:color="auto"/>
        <w:bottom w:val="none" w:sz="0" w:space="0" w:color="auto"/>
        <w:right w:val="none" w:sz="0" w:space="0" w:color="auto"/>
      </w:divBdr>
    </w:div>
    <w:div w:id="17775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F6C18-78B9-4690-95E7-F38CC6DF1394}"/>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E8044EBC-2C60-4E6B-A311-6623527642C9}"/>
</file>

<file path=docProps/app.xml><?xml version="1.0" encoding="utf-8"?>
<Properties xmlns="http://schemas.openxmlformats.org/officeDocument/2006/extended-properties" xmlns:vt="http://schemas.openxmlformats.org/officeDocument/2006/docPropsVTypes">
  <Template>Normal</Template>
  <TotalTime>0</TotalTime>
  <Pages>1</Pages>
  <Words>501</Words>
  <Characters>2508</Characters>
  <Application>Microsoft Office Word</Application>
  <DocSecurity>0</DocSecurity>
  <Lines>20</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עמליה שרייר</dc:creator>
  <cp:keywords/>
  <dc:description/>
  <cp:lastModifiedBy>לילך יעיש</cp:lastModifiedBy>
  <cp:revision>2</cp:revision>
  <cp:lastPrinted>2013-07-18T09:06:00Z</cp:lastPrinted>
  <dcterms:created xsi:type="dcterms:W3CDTF">2013-07-18T09:30:00Z</dcterms:created>
  <dcterms:modified xsi:type="dcterms:W3CDTF">2013-07-18T09:30:00Z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