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96A" w:rsidRDefault="00DA496A" w:rsidP="00DA496A">
      <w:pPr>
        <w:spacing w:line="360" w:lineRule="auto"/>
        <w:jc w:val="center"/>
        <w:rPr>
          <w:b/>
          <w:bCs/>
          <w:sz w:val="32"/>
          <w:szCs w:val="32"/>
          <w:u w:val="single"/>
          <w:rtl/>
        </w:rPr>
      </w:pPr>
      <w:r w:rsidRPr="00365140">
        <w:rPr>
          <w:rFonts w:hint="cs"/>
          <w:b/>
          <w:bCs/>
          <w:sz w:val="32"/>
          <w:szCs w:val="32"/>
          <w:u w:val="single"/>
          <w:rtl/>
        </w:rPr>
        <w:t>תקנות תכנון משק החלב (</w:t>
      </w:r>
      <w:r>
        <w:rPr>
          <w:rFonts w:hint="cs"/>
          <w:b/>
          <w:bCs/>
          <w:sz w:val="32"/>
          <w:szCs w:val="32"/>
          <w:u w:val="single"/>
          <w:rtl/>
        </w:rPr>
        <w:t xml:space="preserve">קביעת </w:t>
      </w:r>
      <w:r w:rsidRPr="00365140">
        <w:rPr>
          <w:rFonts w:hint="cs"/>
          <w:b/>
          <w:bCs/>
          <w:sz w:val="32"/>
          <w:szCs w:val="32"/>
          <w:u w:val="single"/>
          <w:rtl/>
        </w:rPr>
        <w:t>מכסות חלב), התש</w:t>
      </w:r>
      <w:r>
        <w:rPr>
          <w:rFonts w:hint="cs"/>
          <w:b/>
          <w:bCs/>
          <w:sz w:val="32"/>
          <w:szCs w:val="32"/>
          <w:u w:val="single"/>
          <w:rtl/>
        </w:rPr>
        <w:t>ע</w:t>
      </w:r>
      <w:r w:rsidRPr="00365140">
        <w:rPr>
          <w:rFonts w:hint="cs"/>
          <w:b/>
          <w:bCs/>
          <w:sz w:val="32"/>
          <w:szCs w:val="32"/>
          <w:u w:val="single"/>
          <w:rtl/>
        </w:rPr>
        <w:t>"</w:t>
      </w:r>
      <w:r>
        <w:rPr>
          <w:rFonts w:hint="cs"/>
          <w:b/>
          <w:bCs/>
          <w:sz w:val="32"/>
          <w:szCs w:val="32"/>
          <w:u w:val="single"/>
          <w:rtl/>
        </w:rPr>
        <w:t>ד</w:t>
      </w:r>
      <w:r w:rsidRPr="00365140">
        <w:rPr>
          <w:rFonts w:hint="cs"/>
          <w:b/>
          <w:bCs/>
          <w:sz w:val="32"/>
          <w:szCs w:val="32"/>
          <w:u w:val="single"/>
          <w:rtl/>
        </w:rPr>
        <w:t xml:space="preserve"> </w:t>
      </w:r>
      <w:r>
        <w:rPr>
          <w:b/>
          <w:bCs/>
          <w:sz w:val="32"/>
          <w:szCs w:val="32"/>
          <w:u w:val="single"/>
          <w:rtl/>
        </w:rPr>
        <w:t>–</w:t>
      </w:r>
      <w:r w:rsidRPr="00365140">
        <w:rPr>
          <w:rFonts w:hint="cs"/>
          <w:b/>
          <w:bCs/>
          <w:sz w:val="32"/>
          <w:szCs w:val="32"/>
          <w:u w:val="single"/>
          <w:rtl/>
        </w:rPr>
        <w:t xml:space="preserve"> 201</w:t>
      </w:r>
      <w:r>
        <w:rPr>
          <w:rFonts w:hint="cs"/>
          <w:b/>
          <w:bCs/>
          <w:sz w:val="32"/>
          <w:szCs w:val="32"/>
          <w:u w:val="single"/>
          <w:rtl/>
        </w:rPr>
        <w:t>3</w:t>
      </w:r>
    </w:p>
    <w:p w:rsidR="00DA496A" w:rsidRDefault="00DA496A" w:rsidP="004C5238">
      <w:pPr>
        <w:spacing w:line="360" w:lineRule="auto"/>
        <w:jc w:val="center"/>
        <w:rPr>
          <w:b/>
          <w:bCs/>
          <w:sz w:val="32"/>
          <w:szCs w:val="32"/>
          <w:highlight w:val="yellow"/>
          <w:u w:val="single"/>
          <w:rtl/>
        </w:rPr>
      </w:pPr>
      <w:r w:rsidRPr="009A60F2">
        <w:rPr>
          <w:rFonts w:hint="cs"/>
          <w:b/>
          <w:bCs/>
          <w:sz w:val="32"/>
          <w:szCs w:val="32"/>
          <w:highlight w:val="yellow"/>
          <w:u w:val="single"/>
          <w:rtl/>
        </w:rPr>
        <w:t xml:space="preserve">נוסח לדיון ביום </w:t>
      </w:r>
      <w:r>
        <w:rPr>
          <w:rFonts w:hint="cs"/>
          <w:b/>
          <w:bCs/>
          <w:sz w:val="32"/>
          <w:szCs w:val="32"/>
          <w:highlight w:val="yellow"/>
          <w:u w:val="single"/>
          <w:rtl/>
        </w:rPr>
        <w:t>2</w:t>
      </w:r>
      <w:r w:rsidR="004C5238">
        <w:rPr>
          <w:rFonts w:hint="cs"/>
          <w:b/>
          <w:bCs/>
          <w:sz w:val="32"/>
          <w:szCs w:val="32"/>
          <w:highlight w:val="yellow"/>
          <w:u w:val="single"/>
          <w:rtl/>
        </w:rPr>
        <w:t>7</w:t>
      </w:r>
      <w:r>
        <w:rPr>
          <w:rFonts w:hint="cs"/>
          <w:b/>
          <w:bCs/>
          <w:sz w:val="32"/>
          <w:szCs w:val="32"/>
          <w:highlight w:val="yellow"/>
          <w:u w:val="single"/>
          <w:rtl/>
        </w:rPr>
        <w:t>.</w:t>
      </w:r>
      <w:r w:rsidR="004C5238">
        <w:rPr>
          <w:rFonts w:hint="cs"/>
          <w:b/>
          <w:bCs/>
          <w:sz w:val="32"/>
          <w:szCs w:val="32"/>
          <w:highlight w:val="yellow"/>
          <w:u w:val="single"/>
          <w:rtl/>
        </w:rPr>
        <w:t>4</w:t>
      </w:r>
      <w:r>
        <w:rPr>
          <w:rFonts w:hint="cs"/>
          <w:b/>
          <w:bCs/>
          <w:sz w:val="32"/>
          <w:szCs w:val="32"/>
          <w:highlight w:val="yellow"/>
          <w:u w:val="single"/>
          <w:rtl/>
        </w:rPr>
        <w:t>.14</w:t>
      </w:r>
    </w:p>
    <w:tbl>
      <w:tblPr>
        <w:bidiVisual/>
        <w:tblW w:w="9690" w:type="dxa"/>
        <w:tblInd w:w="-24" w:type="dxa"/>
        <w:tblCellMar>
          <w:left w:w="0" w:type="dxa"/>
          <w:right w:w="0" w:type="dxa"/>
        </w:tblCellMar>
        <w:tblLook w:val="04A0" w:firstRow="1" w:lastRow="0" w:firstColumn="1" w:lastColumn="0" w:noHBand="0" w:noVBand="1"/>
      </w:tblPr>
      <w:tblGrid>
        <w:gridCol w:w="1872"/>
        <w:gridCol w:w="663"/>
        <w:gridCol w:w="7155"/>
      </w:tblGrid>
      <w:tr w:rsidR="00DA496A" w:rsidTr="00DA496A">
        <w:trPr>
          <w:trHeight w:val="63"/>
        </w:trPr>
        <w:tc>
          <w:tcPr>
            <w:tcW w:w="1872" w:type="dxa"/>
            <w:tcMar>
              <w:top w:w="0" w:type="dxa"/>
              <w:left w:w="108" w:type="dxa"/>
              <w:bottom w:w="0" w:type="dxa"/>
              <w:right w:w="108" w:type="dxa"/>
            </w:tcMar>
            <w:hideMark/>
          </w:tcPr>
          <w:p w:rsidR="00DA496A" w:rsidRDefault="00DA496A" w:rsidP="00DA496A">
            <w:pPr>
              <w:pStyle w:val="tablesideheading"/>
              <w:bidi/>
              <w:spacing w:line="360" w:lineRule="auto"/>
              <w:rPr>
                <w:rtl/>
              </w:rPr>
            </w:pPr>
            <w:r>
              <w:rPr>
                <w:rFonts w:cs="David" w:hint="cs"/>
                <w:sz w:val="26"/>
                <w:szCs w:val="26"/>
                <w:rtl/>
              </w:rPr>
              <w:t>הגבלת מספר השותפים</w:t>
            </w:r>
          </w:p>
          <w:p w:rsidR="00DA496A" w:rsidRDefault="00DA496A" w:rsidP="00DA496A">
            <w:pPr>
              <w:pStyle w:val="tablesideheading"/>
              <w:bidi/>
              <w:spacing w:line="360" w:lineRule="auto"/>
            </w:pPr>
            <w:r>
              <w:rPr>
                <w:rFonts w:hint="cs"/>
                <w:rtl/>
              </w:rPr>
              <w:t> </w:t>
            </w:r>
          </w:p>
        </w:tc>
        <w:tc>
          <w:tcPr>
            <w:tcW w:w="663" w:type="dxa"/>
            <w:tcMar>
              <w:top w:w="0" w:type="dxa"/>
              <w:left w:w="108" w:type="dxa"/>
              <w:bottom w:w="0" w:type="dxa"/>
              <w:right w:w="108" w:type="dxa"/>
            </w:tcMar>
            <w:hideMark/>
          </w:tcPr>
          <w:p w:rsidR="00DA496A" w:rsidRDefault="00DA496A" w:rsidP="00DA496A">
            <w:pPr>
              <w:pStyle w:val="tabletext"/>
              <w:bidi/>
              <w:spacing w:line="360" w:lineRule="auto"/>
            </w:pPr>
            <w:r>
              <w:rPr>
                <w:rFonts w:cs="David" w:hint="cs"/>
                <w:sz w:val="26"/>
                <w:szCs w:val="26"/>
                <w:rtl/>
              </w:rPr>
              <w:t>18.</w:t>
            </w:r>
          </w:p>
        </w:tc>
        <w:tc>
          <w:tcPr>
            <w:tcW w:w="7155" w:type="dxa"/>
            <w:tcMar>
              <w:top w:w="0" w:type="dxa"/>
              <w:left w:w="108" w:type="dxa"/>
              <w:bottom w:w="0" w:type="dxa"/>
              <w:right w:w="108" w:type="dxa"/>
            </w:tcMar>
            <w:hideMark/>
          </w:tcPr>
          <w:p w:rsidR="00DA496A" w:rsidRDefault="00DA496A" w:rsidP="00DA496A">
            <w:pPr>
              <w:pStyle w:val="tablehead"/>
              <w:bidi/>
              <w:spacing w:line="360" w:lineRule="auto"/>
              <w:jc w:val="both"/>
            </w:pPr>
            <w:r>
              <w:rPr>
                <w:rFonts w:cs="David" w:hint="cs"/>
                <w:sz w:val="26"/>
                <w:szCs w:val="26"/>
                <w:rtl/>
              </w:rPr>
              <w:t xml:space="preserve">(א)      ועדת המכסות לא תתיר שותפות לייצור חלב בין יותר משלושה יצרנים. </w:t>
            </w:r>
          </w:p>
        </w:tc>
      </w:tr>
      <w:tr w:rsidR="00DA496A" w:rsidTr="00DA496A">
        <w:trPr>
          <w:trHeight w:val="63"/>
        </w:trPr>
        <w:tc>
          <w:tcPr>
            <w:tcW w:w="1872" w:type="dxa"/>
            <w:tcMar>
              <w:top w:w="0" w:type="dxa"/>
              <w:left w:w="108" w:type="dxa"/>
              <w:bottom w:w="0" w:type="dxa"/>
              <w:right w:w="108" w:type="dxa"/>
            </w:tcMar>
            <w:hideMark/>
          </w:tcPr>
          <w:p w:rsidR="00DA496A" w:rsidRDefault="00DA496A" w:rsidP="00DA496A">
            <w:pPr>
              <w:pStyle w:val="tablesideheading"/>
              <w:bidi/>
              <w:spacing w:line="360" w:lineRule="auto"/>
            </w:pPr>
            <w:r>
              <w:rPr>
                <w:rFonts w:hint="cs"/>
                <w:rtl/>
              </w:rPr>
              <w:t> </w:t>
            </w:r>
          </w:p>
        </w:tc>
        <w:tc>
          <w:tcPr>
            <w:tcW w:w="663" w:type="dxa"/>
            <w:tcMar>
              <w:top w:w="0" w:type="dxa"/>
              <w:left w:w="108" w:type="dxa"/>
              <w:bottom w:w="0" w:type="dxa"/>
              <w:right w:w="108" w:type="dxa"/>
            </w:tcMar>
            <w:hideMark/>
          </w:tcPr>
          <w:p w:rsidR="00DA496A" w:rsidRDefault="00DA496A" w:rsidP="00DA496A">
            <w:pPr>
              <w:pStyle w:val="tablehead"/>
              <w:bidi/>
              <w:spacing w:line="360" w:lineRule="auto"/>
              <w:jc w:val="both"/>
            </w:pPr>
            <w:r>
              <w:rPr>
                <w:rFonts w:hint="cs"/>
                <w:rtl/>
              </w:rPr>
              <w:t> </w:t>
            </w:r>
          </w:p>
        </w:tc>
        <w:tc>
          <w:tcPr>
            <w:tcW w:w="7155" w:type="dxa"/>
            <w:tcMar>
              <w:top w:w="0" w:type="dxa"/>
              <w:left w:w="108" w:type="dxa"/>
              <w:bottom w:w="0" w:type="dxa"/>
              <w:right w:w="108" w:type="dxa"/>
            </w:tcMar>
            <w:hideMark/>
          </w:tcPr>
          <w:p w:rsidR="00DA496A" w:rsidRDefault="00DA496A" w:rsidP="000C02C1">
            <w:pPr>
              <w:pStyle w:val="tablehead"/>
              <w:bidi/>
              <w:spacing w:line="360" w:lineRule="auto"/>
              <w:jc w:val="both"/>
              <w:rPr>
                <w:rFonts w:cs="David"/>
                <w:sz w:val="26"/>
                <w:szCs w:val="26"/>
                <w:rtl/>
              </w:rPr>
            </w:pPr>
            <w:r w:rsidRPr="00DA496A">
              <w:rPr>
                <w:rFonts w:cs="David" w:hint="cs"/>
                <w:sz w:val="26"/>
                <w:szCs w:val="26"/>
                <w:rtl/>
              </w:rPr>
              <w:t>(ב)       על אף האמור בתקנת משנה (א), ועדת המכסות רשאית</w:t>
            </w:r>
            <w:r w:rsidRPr="000C02C1">
              <w:rPr>
                <w:rFonts w:cs="David" w:hint="cs"/>
                <w:sz w:val="26"/>
                <w:szCs w:val="26"/>
                <w:rtl/>
              </w:rPr>
              <w:t>, מ</w:t>
            </w:r>
            <w:r w:rsidR="000C02C1" w:rsidRPr="000C02C1">
              <w:rPr>
                <w:rFonts w:cs="David" w:hint="cs"/>
                <w:sz w:val="26"/>
                <w:szCs w:val="26"/>
                <w:rtl/>
              </w:rPr>
              <w:t>טעמים מיוחדים</w:t>
            </w:r>
            <w:r w:rsidRPr="000C02C1">
              <w:rPr>
                <w:rFonts w:cs="David" w:hint="cs"/>
                <w:sz w:val="26"/>
                <w:szCs w:val="26"/>
                <w:rtl/>
              </w:rPr>
              <w:t xml:space="preserve"> שיירשמו, להתיר שותפות של </w:t>
            </w:r>
            <w:r w:rsidR="004F6F0E" w:rsidRPr="000C02C1">
              <w:rPr>
                <w:rFonts w:cs="David" w:hint="cs"/>
                <w:sz w:val="26"/>
                <w:szCs w:val="26"/>
                <w:rtl/>
              </w:rPr>
              <w:t>עד שבעה</w:t>
            </w:r>
            <w:r w:rsidRPr="000C02C1">
              <w:rPr>
                <w:rFonts w:cs="David" w:hint="cs"/>
                <w:sz w:val="26"/>
                <w:szCs w:val="26"/>
                <w:rtl/>
              </w:rPr>
              <w:t xml:space="preserve"> יצרנים יחידים</w:t>
            </w:r>
            <w:r w:rsidR="004F6F0E" w:rsidRPr="000C02C1">
              <w:rPr>
                <w:rFonts w:cs="David" w:hint="cs"/>
                <w:sz w:val="26"/>
                <w:szCs w:val="26"/>
                <w:rtl/>
              </w:rPr>
              <w:t xml:space="preserve"> ובלבד</w:t>
            </w:r>
            <w:r w:rsidR="004F6F0E">
              <w:rPr>
                <w:rFonts w:cs="David" w:hint="cs"/>
                <w:sz w:val="26"/>
                <w:szCs w:val="26"/>
                <w:rtl/>
              </w:rPr>
              <w:t xml:space="preserve"> שכל היצרנים </w:t>
            </w:r>
            <w:r w:rsidR="000361C9">
              <w:rPr>
                <w:rFonts w:cs="David" w:hint="cs"/>
                <w:sz w:val="26"/>
                <w:szCs w:val="26"/>
                <w:rtl/>
              </w:rPr>
              <w:t xml:space="preserve">השותפים בה </w:t>
            </w:r>
            <w:r w:rsidR="004F6F0E">
              <w:rPr>
                <w:rFonts w:cs="David" w:hint="cs"/>
                <w:sz w:val="26"/>
                <w:szCs w:val="26"/>
                <w:rtl/>
              </w:rPr>
              <w:t>מתגוררים באותו יישוב או ב</w:t>
            </w:r>
            <w:r w:rsidR="00021793">
              <w:rPr>
                <w:rFonts w:cs="David" w:hint="cs"/>
                <w:sz w:val="26"/>
                <w:szCs w:val="26"/>
                <w:rtl/>
              </w:rPr>
              <w:t>י</w:t>
            </w:r>
            <w:r w:rsidR="004F6F0E">
              <w:rPr>
                <w:rFonts w:cs="David" w:hint="cs"/>
                <w:sz w:val="26"/>
                <w:szCs w:val="26"/>
                <w:rtl/>
              </w:rPr>
              <w:t>ישוב סמו</w:t>
            </w:r>
            <w:r w:rsidR="00021793">
              <w:rPr>
                <w:rFonts w:cs="David" w:hint="cs"/>
                <w:sz w:val="26"/>
                <w:szCs w:val="26"/>
                <w:rtl/>
              </w:rPr>
              <w:t xml:space="preserve">ך. בתקנת משנה זו, "יישוב סמוך" </w:t>
            </w:r>
            <w:r w:rsidR="00021793">
              <w:rPr>
                <w:rFonts w:cs="David"/>
                <w:sz w:val="26"/>
                <w:szCs w:val="26"/>
                <w:rtl/>
              </w:rPr>
              <w:t>–</w:t>
            </w:r>
            <w:r w:rsidR="00021793">
              <w:rPr>
                <w:rFonts w:cs="David" w:hint="cs"/>
                <w:sz w:val="26"/>
                <w:szCs w:val="26"/>
                <w:rtl/>
              </w:rPr>
              <w:t xml:space="preserve">יישוב שהמרחק בין מרכזו לבין </w:t>
            </w:r>
            <w:r w:rsidR="00021793" w:rsidRPr="00DA496A">
              <w:rPr>
                <w:rFonts w:cs="David" w:hint="cs"/>
                <w:sz w:val="26"/>
                <w:szCs w:val="26"/>
                <w:rtl/>
              </w:rPr>
              <w:t xml:space="preserve">האתר שבו יבוצע ייצור החלב במסגרת השותפות </w:t>
            </w:r>
            <w:r w:rsidR="00021793">
              <w:rPr>
                <w:rFonts w:cs="David" w:hint="cs"/>
                <w:sz w:val="26"/>
                <w:szCs w:val="26"/>
                <w:rtl/>
              </w:rPr>
              <w:t>אינו</w:t>
            </w:r>
            <w:r w:rsidR="00021793" w:rsidRPr="00DA496A">
              <w:rPr>
                <w:rFonts w:cs="David" w:hint="cs"/>
                <w:sz w:val="26"/>
                <w:szCs w:val="26"/>
                <w:rtl/>
              </w:rPr>
              <w:t xml:space="preserve"> עולה על שלו</w:t>
            </w:r>
            <w:r w:rsidR="00021793">
              <w:rPr>
                <w:rFonts w:cs="David" w:hint="cs"/>
                <w:sz w:val="26"/>
                <w:szCs w:val="26"/>
                <w:rtl/>
              </w:rPr>
              <w:t>שה</w:t>
            </w:r>
            <w:r w:rsidR="00021793" w:rsidRPr="00DA496A">
              <w:rPr>
                <w:rFonts w:cs="David" w:hint="cs"/>
                <w:sz w:val="26"/>
                <w:szCs w:val="26"/>
                <w:rtl/>
              </w:rPr>
              <w:t xml:space="preserve"> קילומטרים.</w:t>
            </w:r>
            <w:r w:rsidR="004F6F0E">
              <w:rPr>
                <w:rFonts w:cs="David" w:hint="cs"/>
                <w:sz w:val="26"/>
                <w:szCs w:val="26"/>
                <w:rtl/>
              </w:rPr>
              <w:t xml:space="preserve"> </w:t>
            </w:r>
          </w:p>
          <w:p w:rsidR="00DA496A" w:rsidRDefault="00DA496A" w:rsidP="00DA496A">
            <w:pPr>
              <w:pStyle w:val="tablehead"/>
              <w:bidi/>
              <w:spacing w:line="360" w:lineRule="auto"/>
              <w:jc w:val="both"/>
              <w:rPr>
                <w:rFonts w:cs="David"/>
                <w:sz w:val="26"/>
                <w:szCs w:val="26"/>
                <w:rtl/>
              </w:rPr>
            </w:pPr>
          </w:p>
          <w:p w:rsidR="00DA496A" w:rsidRPr="00DA496A" w:rsidRDefault="00DA496A" w:rsidP="00DA496A">
            <w:pPr>
              <w:pStyle w:val="tablehead"/>
              <w:bidi/>
              <w:spacing w:line="360" w:lineRule="auto"/>
              <w:jc w:val="both"/>
              <w:rPr>
                <w:rFonts w:cs="David"/>
                <w:sz w:val="26"/>
                <w:szCs w:val="26"/>
              </w:rPr>
            </w:pPr>
            <w:r w:rsidRPr="00DA496A">
              <w:rPr>
                <w:rFonts w:cs="David" w:hint="cs"/>
                <w:sz w:val="26"/>
                <w:szCs w:val="26"/>
                <w:rtl/>
              </w:rPr>
              <w:t> </w:t>
            </w:r>
          </w:p>
        </w:tc>
      </w:tr>
      <w:tr w:rsidR="00DA496A" w:rsidTr="00DA496A">
        <w:trPr>
          <w:trHeight w:val="63"/>
        </w:trPr>
        <w:tc>
          <w:tcPr>
            <w:tcW w:w="1872" w:type="dxa"/>
            <w:tcMar>
              <w:top w:w="0" w:type="dxa"/>
              <w:left w:w="108" w:type="dxa"/>
              <w:bottom w:w="0" w:type="dxa"/>
              <w:right w:w="108" w:type="dxa"/>
            </w:tcMar>
            <w:hideMark/>
          </w:tcPr>
          <w:p w:rsidR="00DA496A" w:rsidRDefault="00DA496A" w:rsidP="00DA496A">
            <w:pPr>
              <w:pStyle w:val="tablesideheading"/>
              <w:bidi/>
              <w:spacing w:line="360" w:lineRule="auto"/>
              <w:rPr>
                <w:rtl/>
              </w:rPr>
            </w:pPr>
            <w:r>
              <w:rPr>
                <w:rFonts w:cs="David" w:hint="cs"/>
                <w:sz w:val="26"/>
                <w:szCs w:val="26"/>
                <w:rtl/>
              </w:rPr>
              <w:t>הגבלת מרחק בין השותפים למשק</w:t>
            </w:r>
          </w:p>
          <w:p w:rsidR="00DA496A" w:rsidRDefault="00DA496A" w:rsidP="00DA496A">
            <w:pPr>
              <w:pStyle w:val="tablesideheading"/>
              <w:bidi/>
              <w:spacing w:line="360" w:lineRule="auto"/>
            </w:pPr>
            <w:r>
              <w:rPr>
                <w:rFonts w:hint="cs"/>
                <w:rtl/>
              </w:rPr>
              <w:t> </w:t>
            </w:r>
          </w:p>
        </w:tc>
        <w:tc>
          <w:tcPr>
            <w:tcW w:w="663" w:type="dxa"/>
            <w:tcMar>
              <w:top w:w="0" w:type="dxa"/>
              <w:left w:w="108" w:type="dxa"/>
              <w:bottom w:w="0" w:type="dxa"/>
              <w:right w:w="108" w:type="dxa"/>
            </w:tcMar>
            <w:hideMark/>
          </w:tcPr>
          <w:p w:rsidR="00DA496A" w:rsidRDefault="00DA496A" w:rsidP="00DA496A">
            <w:pPr>
              <w:pStyle w:val="tabletext"/>
              <w:bidi/>
              <w:spacing w:line="360" w:lineRule="auto"/>
            </w:pPr>
            <w:r>
              <w:rPr>
                <w:rFonts w:cs="David" w:hint="cs"/>
                <w:sz w:val="26"/>
                <w:szCs w:val="26"/>
                <w:rtl/>
              </w:rPr>
              <w:t>19.</w:t>
            </w:r>
          </w:p>
        </w:tc>
        <w:tc>
          <w:tcPr>
            <w:tcW w:w="7155" w:type="dxa"/>
            <w:tcMar>
              <w:top w:w="0" w:type="dxa"/>
              <w:left w:w="108" w:type="dxa"/>
              <w:bottom w:w="0" w:type="dxa"/>
              <w:right w:w="108" w:type="dxa"/>
            </w:tcMar>
            <w:hideMark/>
          </w:tcPr>
          <w:p w:rsidR="00DA496A" w:rsidRPr="00170645" w:rsidRDefault="00DA496A" w:rsidP="00DA496A">
            <w:pPr>
              <w:pStyle w:val="tablehead"/>
              <w:bidi/>
              <w:spacing w:line="360" w:lineRule="auto"/>
              <w:jc w:val="both"/>
              <w:rPr>
                <w:rtl/>
              </w:rPr>
            </w:pPr>
            <w:r w:rsidRPr="00170645">
              <w:rPr>
                <w:rFonts w:cs="David" w:hint="cs"/>
                <w:sz w:val="26"/>
                <w:szCs w:val="26"/>
                <w:rtl/>
              </w:rPr>
              <w:t xml:space="preserve">(א)      ועדת המכסות לא תתיר שותפות לייצור חלב בין יצרנים שהמרחק בין האתר שבו יבוצע ייצור החלב במסגרתו לבין מרכז היישוב בו מתגורר כל אחד מהיצרנים השותפים בה עולה על שלושים קילומטרים. </w:t>
            </w:r>
          </w:p>
          <w:p w:rsidR="00DA496A" w:rsidRPr="00170645" w:rsidRDefault="00DA496A" w:rsidP="00DA496A">
            <w:pPr>
              <w:pStyle w:val="tablehead"/>
              <w:bidi/>
              <w:spacing w:line="360" w:lineRule="auto"/>
              <w:jc w:val="both"/>
            </w:pPr>
            <w:r w:rsidRPr="00170645">
              <w:rPr>
                <w:rFonts w:hint="cs"/>
                <w:rtl/>
              </w:rPr>
              <w:t> </w:t>
            </w:r>
          </w:p>
        </w:tc>
      </w:tr>
      <w:tr w:rsidR="00DA496A" w:rsidTr="00DA496A">
        <w:trPr>
          <w:trHeight w:val="63"/>
        </w:trPr>
        <w:tc>
          <w:tcPr>
            <w:tcW w:w="1872" w:type="dxa"/>
            <w:tcMar>
              <w:top w:w="0" w:type="dxa"/>
              <w:left w:w="108" w:type="dxa"/>
              <w:bottom w:w="0" w:type="dxa"/>
              <w:right w:w="108" w:type="dxa"/>
            </w:tcMar>
            <w:hideMark/>
          </w:tcPr>
          <w:p w:rsidR="00DA496A" w:rsidRDefault="00DA496A" w:rsidP="00DA496A">
            <w:pPr>
              <w:pStyle w:val="tablesideheading"/>
              <w:bidi/>
              <w:spacing w:line="360" w:lineRule="auto"/>
            </w:pPr>
            <w:r>
              <w:rPr>
                <w:rFonts w:hint="cs"/>
                <w:rtl/>
              </w:rPr>
              <w:t> </w:t>
            </w:r>
          </w:p>
        </w:tc>
        <w:tc>
          <w:tcPr>
            <w:tcW w:w="663" w:type="dxa"/>
            <w:tcMar>
              <w:top w:w="0" w:type="dxa"/>
              <w:left w:w="108" w:type="dxa"/>
              <w:bottom w:w="0" w:type="dxa"/>
              <w:right w:w="108" w:type="dxa"/>
            </w:tcMar>
            <w:hideMark/>
          </w:tcPr>
          <w:p w:rsidR="00DA496A" w:rsidRDefault="00DA496A" w:rsidP="00DA496A">
            <w:pPr>
              <w:pStyle w:val="tabletext"/>
              <w:bidi/>
              <w:spacing w:line="360" w:lineRule="auto"/>
            </w:pPr>
            <w:r>
              <w:rPr>
                <w:rFonts w:hint="cs"/>
                <w:rtl/>
              </w:rPr>
              <w:t> </w:t>
            </w:r>
          </w:p>
        </w:tc>
        <w:tc>
          <w:tcPr>
            <w:tcW w:w="7155" w:type="dxa"/>
            <w:tcMar>
              <w:top w:w="0" w:type="dxa"/>
              <w:left w:w="108" w:type="dxa"/>
              <w:bottom w:w="0" w:type="dxa"/>
              <w:right w:w="108" w:type="dxa"/>
            </w:tcMar>
            <w:hideMark/>
          </w:tcPr>
          <w:p w:rsidR="00021793" w:rsidRPr="00170645" w:rsidRDefault="00DA496A" w:rsidP="00021793">
            <w:pPr>
              <w:pStyle w:val="tablehead"/>
              <w:bidi/>
              <w:spacing w:line="360" w:lineRule="auto"/>
              <w:jc w:val="both"/>
              <w:rPr>
                <w:rFonts w:cs="David"/>
                <w:sz w:val="26"/>
                <w:szCs w:val="26"/>
                <w:rtl/>
              </w:rPr>
            </w:pPr>
            <w:r w:rsidRPr="00170645">
              <w:rPr>
                <w:rFonts w:cs="David" w:hint="cs"/>
                <w:sz w:val="26"/>
                <w:szCs w:val="26"/>
                <w:rtl/>
              </w:rPr>
              <w:t xml:space="preserve">(ב)       על אף האמור בתקנת משנה (א), </w:t>
            </w:r>
            <w:r w:rsidR="00021793" w:rsidRPr="00170645">
              <w:rPr>
                <w:rFonts w:cs="David" w:hint="cs"/>
                <w:sz w:val="26"/>
                <w:szCs w:val="26"/>
                <w:rtl/>
              </w:rPr>
              <w:t xml:space="preserve">שוכנעה ועדת המכסות שלא קיימים ביחס ליצרנים המבקשים להתיר שותפות יצרנים אחרים שעימם ניתן היה לאשר שותפות לפי תקנת משנה (א), </w:t>
            </w:r>
            <w:r w:rsidRPr="00170645">
              <w:rPr>
                <w:rFonts w:cs="David" w:hint="cs"/>
                <w:sz w:val="26"/>
                <w:szCs w:val="26"/>
                <w:rtl/>
              </w:rPr>
              <w:t>רשאית</w:t>
            </w:r>
            <w:r w:rsidR="00021793" w:rsidRPr="00170645">
              <w:rPr>
                <w:rFonts w:cs="David" w:hint="cs"/>
                <w:sz w:val="26"/>
                <w:szCs w:val="26"/>
                <w:rtl/>
              </w:rPr>
              <w:t xml:space="preserve"> היא</w:t>
            </w:r>
            <w:r w:rsidRPr="00170645">
              <w:rPr>
                <w:rFonts w:cs="David" w:hint="cs"/>
                <w:sz w:val="26"/>
                <w:szCs w:val="26"/>
                <w:rtl/>
              </w:rPr>
              <w:t>, מ</w:t>
            </w:r>
            <w:r w:rsidR="00021793" w:rsidRPr="00170645">
              <w:rPr>
                <w:rFonts w:cs="David" w:hint="cs"/>
                <w:sz w:val="26"/>
                <w:szCs w:val="26"/>
                <w:rtl/>
              </w:rPr>
              <w:t>טעמים מיוחדים</w:t>
            </w:r>
            <w:r w:rsidRPr="00170645">
              <w:rPr>
                <w:rFonts w:cs="David" w:hint="cs"/>
                <w:sz w:val="26"/>
                <w:szCs w:val="26"/>
                <w:rtl/>
              </w:rPr>
              <w:t xml:space="preserve"> שיירשמו, להתיר שותפות </w:t>
            </w:r>
            <w:r w:rsidR="00021793" w:rsidRPr="00170645">
              <w:rPr>
                <w:rFonts w:cs="David" w:hint="cs"/>
                <w:sz w:val="26"/>
                <w:szCs w:val="26"/>
                <w:rtl/>
              </w:rPr>
              <w:t xml:space="preserve">של עד שלושה יצרנים </w:t>
            </w:r>
            <w:r w:rsidRPr="00170645">
              <w:rPr>
                <w:rFonts w:cs="David" w:hint="cs"/>
                <w:sz w:val="26"/>
                <w:szCs w:val="26"/>
                <w:rtl/>
              </w:rPr>
              <w:t>שהמרחק בין מרכז היישוב בו מתגורר כל אחד מהם לאתר שבו יבוצע ייצור החלב עולה על שלושים קילומטרים</w:t>
            </w:r>
            <w:r w:rsidR="00021793" w:rsidRPr="00170645">
              <w:rPr>
                <w:rFonts w:cs="David" w:hint="cs"/>
                <w:sz w:val="26"/>
                <w:szCs w:val="26"/>
                <w:rtl/>
              </w:rPr>
              <w:t xml:space="preserve"> ואינו עולה על שישים קילומטרים.</w:t>
            </w:r>
          </w:p>
          <w:p w:rsidR="00DA496A" w:rsidRPr="00170645" w:rsidRDefault="00DA496A" w:rsidP="00021793">
            <w:pPr>
              <w:pStyle w:val="tablehead"/>
              <w:bidi/>
              <w:spacing w:line="360" w:lineRule="auto"/>
              <w:jc w:val="both"/>
            </w:pPr>
          </w:p>
        </w:tc>
      </w:tr>
      <w:tr w:rsidR="000C02C1" w:rsidTr="00DA496A">
        <w:trPr>
          <w:trHeight w:val="63"/>
        </w:trPr>
        <w:tc>
          <w:tcPr>
            <w:tcW w:w="1872" w:type="dxa"/>
            <w:tcMar>
              <w:top w:w="0" w:type="dxa"/>
              <w:left w:w="108" w:type="dxa"/>
              <w:bottom w:w="0" w:type="dxa"/>
              <w:right w:w="108" w:type="dxa"/>
            </w:tcMar>
          </w:tcPr>
          <w:p w:rsidR="000C02C1" w:rsidRDefault="000C02C1" w:rsidP="00DA496A">
            <w:pPr>
              <w:pStyle w:val="tablesideheading"/>
              <w:bidi/>
              <w:spacing w:line="360" w:lineRule="auto"/>
              <w:rPr>
                <w:rtl/>
              </w:rPr>
            </w:pPr>
          </w:p>
        </w:tc>
        <w:tc>
          <w:tcPr>
            <w:tcW w:w="663" w:type="dxa"/>
            <w:tcMar>
              <w:top w:w="0" w:type="dxa"/>
              <w:left w:w="108" w:type="dxa"/>
              <w:bottom w:w="0" w:type="dxa"/>
              <w:right w:w="108" w:type="dxa"/>
            </w:tcMar>
          </w:tcPr>
          <w:p w:rsidR="000C02C1" w:rsidRDefault="000C02C1" w:rsidP="00DA496A">
            <w:pPr>
              <w:pStyle w:val="tabletext"/>
              <w:bidi/>
              <w:spacing w:line="360" w:lineRule="auto"/>
              <w:rPr>
                <w:rtl/>
              </w:rPr>
            </w:pPr>
          </w:p>
        </w:tc>
        <w:tc>
          <w:tcPr>
            <w:tcW w:w="7155" w:type="dxa"/>
            <w:tcMar>
              <w:top w:w="0" w:type="dxa"/>
              <w:left w:w="108" w:type="dxa"/>
              <w:bottom w:w="0" w:type="dxa"/>
              <w:right w:w="108" w:type="dxa"/>
            </w:tcMar>
          </w:tcPr>
          <w:p w:rsidR="000C02C1" w:rsidRDefault="000C02C1" w:rsidP="00021793">
            <w:pPr>
              <w:pStyle w:val="tablehead"/>
              <w:bidi/>
              <w:spacing w:line="360" w:lineRule="auto"/>
              <w:jc w:val="both"/>
              <w:rPr>
                <w:rFonts w:cs="David"/>
                <w:sz w:val="26"/>
                <w:szCs w:val="26"/>
                <w:rtl/>
              </w:rPr>
            </w:pPr>
            <w:r>
              <w:rPr>
                <w:rFonts w:cs="David" w:hint="cs"/>
                <w:sz w:val="26"/>
                <w:szCs w:val="26"/>
                <w:rtl/>
              </w:rPr>
              <w:t>(ג) בתקנה זו, "המרחק"- מרחק הנסיעה בדרכים.</w:t>
            </w:r>
          </w:p>
        </w:tc>
      </w:tr>
    </w:tbl>
    <w:p w:rsidR="004C5238" w:rsidRDefault="004C5238" w:rsidP="00DA496A"/>
    <w:sectPr w:rsidR="004C5238" w:rsidSect="00DA496A">
      <w:pgSz w:w="11906" w:h="16838"/>
      <w:pgMar w:top="1276" w:right="1800" w:bottom="1134"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96A"/>
    <w:rsid w:val="00021793"/>
    <w:rsid w:val="000361C9"/>
    <w:rsid w:val="000C02C1"/>
    <w:rsid w:val="00170645"/>
    <w:rsid w:val="00384F4F"/>
    <w:rsid w:val="004274A4"/>
    <w:rsid w:val="004C5238"/>
    <w:rsid w:val="004F6F0E"/>
    <w:rsid w:val="00565FBE"/>
    <w:rsid w:val="005B1F28"/>
    <w:rsid w:val="00621BBA"/>
    <w:rsid w:val="00DA496A"/>
    <w:rsid w:val="00E620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96A"/>
    <w:pPr>
      <w:bidi/>
      <w:spacing w:line="240" w:lineRule="auto"/>
    </w:pPr>
    <w:rPr>
      <w:rFonts w:ascii="Times New Roman" w:eastAsia="Calibri" w:hAnsi="Times New Roman"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sideheading">
    <w:name w:val="tablesideheading"/>
    <w:basedOn w:val="a"/>
    <w:rsid w:val="00DA496A"/>
    <w:pPr>
      <w:bidi w:val="0"/>
      <w:spacing w:after="0"/>
    </w:pPr>
    <w:rPr>
      <w:rFonts w:eastAsiaTheme="minorHAnsi" w:cs="Times New Roman"/>
    </w:rPr>
  </w:style>
  <w:style w:type="paragraph" w:customStyle="1" w:styleId="tabletext">
    <w:name w:val="tabletext"/>
    <w:basedOn w:val="a"/>
    <w:rsid w:val="00DA496A"/>
    <w:pPr>
      <w:bidi w:val="0"/>
      <w:spacing w:after="0"/>
    </w:pPr>
    <w:rPr>
      <w:rFonts w:eastAsiaTheme="minorHAnsi" w:cs="Times New Roman"/>
    </w:rPr>
  </w:style>
  <w:style w:type="paragraph" w:customStyle="1" w:styleId="tablehead">
    <w:name w:val="tablehead"/>
    <w:basedOn w:val="a"/>
    <w:rsid w:val="00DA496A"/>
    <w:pPr>
      <w:bidi w:val="0"/>
      <w:spacing w:after="0"/>
    </w:pPr>
    <w:rPr>
      <w:rFonts w:eastAsiaTheme="minorHAns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96A"/>
    <w:pPr>
      <w:bidi/>
      <w:spacing w:line="240" w:lineRule="auto"/>
    </w:pPr>
    <w:rPr>
      <w:rFonts w:ascii="Times New Roman" w:eastAsia="Calibri" w:hAnsi="Times New Roman"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sideheading">
    <w:name w:val="tablesideheading"/>
    <w:basedOn w:val="a"/>
    <w:rsid w:val="00DA496A"/>
    <w:pPr>
      <w:bidi w:val="0"/>
      <w:spacing w:after="0"/>
    </w:pPr>
    <w:rPr>
      <w:rFonts w:eastAsiaTheme="minorHAnsi" w:cs="Times New Roman"/>
    </w:rPr>
  </w:style>
  <w:style w:type="paragraph" w:customStyle="1" w:styleId="tabletext">
    <w:name w:val="tabletext"/>
    <w:basedOn w:val="a"/>
    <w:rsid w:val="00DA496A"/>
    <w:pPr>
      <w:bidi w:val="0"/>
      <w:spacing w:after="0"/>
    </w:pPr>
    <w:rPr>
      <w:rFonts w:eastAsiaTheme="minorHAnsi" w:cs="Times New Roman"/>
    </w:rPr>
  </w:style>
  <w:style w:type="paragraph" w:customStyle="1" w:styleId="tablehead">
    <w:name w:val="tablehead"/>
    <w:basedOn w:val="a"/>
    <w:rsid w:val="00DA496A"/>
    <w:pPr>
      <w:bidi w:val="0"/>
      <w:spacing w:after="0"/>
    </w:pPr>
    <w:rPr>
      <w:rFonts w:eastAsia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E2ECC6-276B-471F-A49E-FCCA4102A012}"/>
</file>

<file path=customXml/itemProps2.xml><?xml version="1.0" encoding="utf-8"?>
<ds:datastoreItem xmlns:ds="http://schemas.openxmlformats.org/officeDocument/2006/customXml" ds:itemID="{3D986D28-75C9-4581-93C4-C1E0287DF4C8}"/>
</file>

<file path=customXml/itemProps3.xml><?xml version="1.0" encoding="utf-8"?>
<ds:datastoreItem xmlns:ds="http://schemas.openxmlformats.org/officeDocument/2006/customXml" ds:itemID="{E7088FED-6E4D-42DB-8F7B-BD918FA81D13}"/>
</file>

<file path=docProps/app.xml><?xml version="1.0" encoding="utf-8"?>
<Properties xmlns="http://schemas.openxmlformats.org/officeDocument/2006/extended-properties" xmlns:vt="http://schemas.openxmlformats.org/officeDocument/2006/docPropsVTypes">
  <Template>Normal</Template>
  <TotalTime>2</TotalTime>
  <Pages>1</Pages>
  <Words>187</Words>
  <Characters>939</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MOAG</Company>
  <LinksUpToDate>false</LinksUpToDate>
  <CharactersWithSpaces>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אביאני [Efrat Aviani]</dc:creator>
  <cp:lastModifiedBy>אפרת אביאני [Efrat Aviani]</cp:lastModifiedBy>
  <cp:revision>3</cp:revision>
  <cp:lastPrinted>2014-04-24T10:25:00Z</cp:lastPrinted>
  <dcterms:created xsi:type="dcterms:W3CDTF">2014-04-24T10:15:00Z</dcterms:created>
  <dcterms:modified xsi:type="dcterms:W3CDTF">2014-04-24T10:15:00Z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