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40A" w:rsidRPr="000271E9" w:rsidRDefault="00283856" w:rsidP="006A740A">
      <w:pPr>
        <w:spacing w:line="240" w:lineRule="auto"/>
        <w:jc w:val="right"/>
        <w:rPr>
          <w:rFonts w:ascii="David" w:hAnsi="David" w:cs="David"/>
          <w:szCs w:val="22"/>
          <w:rtl/>
        </w:rPr>
      </w:pPr>
      <w:bookmarkStart w:id="0" w:name="_GoBack"/>
      <w:bookmarkEnd w:id="0"/>
      <w:r w:rsidRPr="000271E9">
        <w:rPr>
          <w:rFonts w:ascii="David" w:hAnsi="David" w:cs="David" w:hint="cs"/>
          <w:szCs w:val="22"/>
          <w:rtl/>
        </w:rPr>
        <w:t>ד</w:t>
      </w:r>
      <w:r w:rsidR="006A740A" w:rsidRPr="000271E9">
        <w:rPr>
          <w:rFonts w:ascii="David" w:hAnsi="David" w:cs="David" w:hint="cs"/>
          <w:szCs w:val="22"/>
          <w:rtl/>
        </w:rPr>
        <w:t xml:space="preserve">' באייר </w:t>
      </w:r>
      <w:proofErr w:type="spellStart"/>
      <w:r w:rsidR="006A740A" w:rsidRPr="000271E9">
        <w:rPr>
          <w:rFonts w:ascii="David" w:hAnsi="David" w:cs="David" w:hint="cs"/>
          <w:szCs w:val="22"/>
          <w:rtl/>
        </w:rPr>
        <w:t>התשע"ד</w:t>
      </w:r>
      <w:proofErr w:type="spellEnd"/>
    </w:p>
    <w:p w:rsidR="006A740A" w:rsidRPr="00B31FE1" w:rsidRDefault="00283856" w:rsidP="006A740A">
      <w:pPr>
        <w:spacing w:line="240" w:lineRule="auto"/>
        <w:jc w:val="right"/>
        <w:rPr>
          <w:rFonts w:ascii="David" w:hAnsi="David" w:cs="David"/>
          <w:szCs w:val="22"/>
          <w:rtl/>
        </w:rPr>
      </w:pPr>
      <w:r w:rsidRPr="000271E9">
        <w:rPr>
          <w:rFonts w:ascii="David" w:hAnsi="David" w:cs="David" w:hint="cs"/>
          <w:szCs w:val="22"/>
          <w:rtl/>
        </w:rPr>
        <w:t>4</w:t>
      </w:r>
      <w:r w:rsidR="006A740A" w:rsidRPr="000271E9">
        <w:rPr>
          <w:rFonts w:ascii="David" w:hAnsi="David" w:cs="David" w:hint="cs"/>
          <w:szCs w:val="22"/>
          <w:rtl/>
        </w:rPr>
        <w:t xml:space="preserve"> במאי 2014</w:t>
      </w:r>
    </w:p>
    <w:p w:rsidR="006A740A" w:rsidRDefault="006A740A" w:rsidP="006A740A">
      <w:pPr>
        <w:spacing w:line="240" w:lineRule="auto"/>
        <w:rPr>
          <w:rFonts w:cs="David"/>
          <w:u w:val="single"/>
          <w:rtl/>
        </w:rPr>
      </w:pPr>
    </w:p>
    <w:p w:rsidR="006A740A" w:rsidRDefault="006A740A" w:rsidP="006A740A">
      <w:pPr>
        <w:spacing w:line="240" w:lineRule="auto"/>
        <w:rPr>
          <w:rFonts w:cs="David"/>
          <w:u w:val="single"/>
          <w:rtl/>
        </w:rPr>
      </w:pPr>
    </w:p>
    <w:p w:rsidR="006A740A" w:rsidRDefault="006A740A" w:rsidP="006A740A">
      <w:pPr>
        <w:spacing w:line="240" w:lineRule="auto"/>
        <w:rPr>
          <w:rFonts w:cs="David"/>
          <w:rtl/>
        </w:rPr>
      </w:pPr>
      <w:r w:rsidRPr="00EA65F8">
        <w:rPr>
          <w:rFonts w:cs="David" w:hint="cs"/>
          <w:u w:val="single"/>
          <w:rtl/>
        </w:rPr>
        <w:t>אל</w:t>
      </w:r>
      <w:r>
        <w:rPr>
          <w:rFonts w:cs="David" w:hint="cs"/>
          <w:rtl/>
        </w:rPr>
        <w:t>: חברי ועדת החוקה, חוק ומשפט</w:t>
      </w:r>
    </w:p>
    <w:p w:rsidR="006A740A" w:rsidRDefault="006A740A" w:rsidP="006A740A">
      <w:pPr>
        <w:spacing w:line="240" w:lineRule="auto"/>
        <w:rPr>
          <w:rFonts w:cs="David"/>
          <w:rtl/>
        </w:rPr>
      </w:pPr>
      <w:r w:rsidRPr="00EA65F8">
        <w:rPr>
          <w:rFonts w:cs="David" w:hint="cs"/>
          <w:u w:val="single"/>
          <w:rtl/>
        </w:rPr>
        <w:t>מאת</w:t>
      </w:r>
      <w:r>
        <w:rPr>
          <w:rFonts w:cs="David" w:hint="cs"/>
          <w:rtl/>
        </w:rPr>
        <w:t>: הייעוץ המשפטי לוועדה</w:t>
      </w:r>
    </w:p>
    <w:p w:rsidR="006A740A" w:rsidRDefault="006A740A" w:rsidP="006A740A">
      <w:pPr>
        <w:spacing w:line="240" w:lineRule="auto"/>
        <w:rPr>
          <w:rFonts w:cs="David"/>
          <w:rtl/>
        </w:rPr>
      </w:pPr>
    </w:p>
    <w:p w:rsidR="006A740A" w:rsidRDefault="006A740A" w:rsidP="006A740A">
      <w:pPr>
        <w:spacing w:line="240" w:lineRule="auto"/>
        <w:rPr>
          <w:rFonts w:cs="David"/>
          <w:rtl/>
        </w:rPr>
      </w:pPr>
    </w:p>
    <w:p w:rsidR="006A740A" w:rsidRPr="000675CE" w:rsidRDefault="006A740A" w:rsidP="00435F7D">
      <w:pPr>
        <w:spacing w:after="240" w:line="276" w:lineRule="auto"/>
        <w:jc w:val="center"/>
        <w:rPr>
          <w:rFonts w:cs="David"/>
          <w:b/>
          <w:bCs/>
          <w:sz w:val="28"/>
          <w:szCs w:val="28"/>
          <w:u w:val="single"/>
          <w:rtl/>
        </w:rPr>
      </w:pPr>
      <w:r>
        <w:rPr>
          <w:rFonts w:cs="David" w:hint="cs"/>
          <w:b/>
          <w:bCs/>
          <w:sz w:val="28"/>
          <w:szCs w:val="28"/>
          <w:u w:val="single"/>
          <w:rtl/>
        </w:rPr>
        <w:t xml:space="preserve">הצעת חוק ההוצאה לפועל (תיקון מס'43), התשע"ד-2014; הצעת חוק ההוצאה לפועל (תיקון </w:t>
      </w:r>
      <w:r>
        <w:rPr>
          <w:rFonts w:cs="David"/>
          <w:b/>
          <w:bCs/>
          <w:sz w:val="28"/>
          <w:szCs w:val="28"/>
          <w:u w:val="single"/>
          <w:rtl/>
        </w:rPr>
        <w:t>–</w:t>
      </w:r>
      <w:r>
        <w:rPr>
          <w:rFonts w:cs="David" w:hint="cs"/>
          <w:b/>
          <w:bCs/>
          <w:sz w:val="28"/>
          <w:szCs w:val="28"/>
          <w:u w:val="single"/>
          <w:rtl/>
        </w:rPr>
        <w:t xml:space="preserve"> ביטול מאסר חייבים), התשע"ד-2014 של ח"כ מירב מיכאלי ו-77 ח"כ נוספים </w:t>
      </w:r>
      <w:r>
        <w:rPr>
          <w:rFonts w:cs="David"/>
          <w:b/>
          <w:bCs/>
          <w:sz w:val="28"/>
          <w:szCs w:val="28"/>
          <w:u w:val="single"/>
          <w:rtl/>
        </w:rPr>
        <w:t>–</w:t>
      </w:r>
      <w:r>
        <w:rPr>
          <w:rFonts w:cs="David" w:hint="cs"/>
          <w:b/>
          <w:bCs/>
          <w:sz w:val="28"/>
          <w:szCs w:val="28"/>
          <w:u w:val="single"/>
          <w:rtl/>
        </w:rPr>
        <w:t xml:space="preserve"> רקע ונקודות לדיון</w:t>
      </w:r>
    </w:p>
    <w:p w:rsidR="006A740A" w:rsidRPr="006C5F0E" w:rsidRDefault="006A740A" w:rsidP="006A740A">
      <w:pPr>
        <w:shd w:val="clear" w:color="auto" w:fill="BFBFBF" w:themeFill="background1" w:themeFillShade="BF"/>
        <w:spacing w:after="120" w:line="240" w:lineRule="auto"/>
        <w:jc w:val="center"/>
        <w:rPr>
          <w:rFonts w:cs="David"/>
          <w:b/>
          <w:bCs/>
          <w:sz w:val="24"/>
          <w:rtl/>
        </w:rPr>
      </w:pPr>
      <w:r w:rsidRPr="006C5F0E">
        <w:rPr>
          <w:rFonts w:cs="David" w:hint="cs"/>
          <w:b/>
          <w:bCs/>
          <w:sz w:val="24"/>
          <w:rtl/>
        </w:rPr>
        <w:t xml:space="preserve">מאסר חייבים והוראת השעה </w:t>
      </w:r>
      <w:r w:rsidRPr="006C5F0E">
        <w:rPr>
          <w:rFonts w:cs="David"/>
          <w:b/>
          <w:bCs/>
          <w:sz w:val="24"/>
          <w:rtl/>
        </w:rPr>
        <w:t>–</w:t>
      </w:r>
      <w:r w:rsidRPr="006C5F0E">
        <w:rPr>
          <w:rFonts w:cs="David" w:hint="cs"/>
          <w:b/>
          <w:bCs/>
          <w:sz w:val="24"/>
          <w:rtl/>
        </w:rPr>
        <w:t xml:space="preserve"> רקע</w:t>
      </w:r>
    </w:p>
    <w:p w:rsidR="006A740A" w:rsidRDefault="006A740A" w:rsidP="00435F7D">
      <w:pPr>
        <w:pStyle w:val="HesberWriters"/>
        <w:spacing w:before="0" w:after="120"/>
        <w:ind w:left="0"/>
        <w:jc w:val="both"/>
        <w:rPr>
          <w:b w:val="0"/>
          <w:bCs w:val="0"/>
          <w:color w:val="auto"/>
          <w:sz w:val="24"/>
          <w:szCs w:val="24"/>
          <w:rtl/>
        </w:rPr>
      </w:pPr>
      <w:r>
        <w:rPr>
          <w:rFonts w:hint="cs"/>
          <w:b w:val="0"/>
          <w:bCs w:val="0"/>
          <w:color w:val="auto"/>
          <w:sz w:val="24"/>
          <w:szCs w:val="24"/>
          <w:rtl/>
        </w:rPr>
        <w:t>השימוש ב</w:t>
      </w:r>
      <w:r w:rsidRPr="00265FDF">
        <w:rPr>
          <w:b w:val="0"/>
          <w:bCs w:val="0"/>
          <w:color w:val="auto"/>
          <w:sz w:val="24"/>
          <w:szCs w:val="24"/>
          <w:rtl/>
        </w:rPr>
        <w:t xml:space="preserve">מאסר </w:t>
      </w:r>
      <w:r>
        <w:rPr>
          <w:rFonts w:hint="cs"/>
          <w:b w:val="0"/>
          <w:bCs w:val="0"/>
          <w:color w:val="auto"/>
          <w:sz w:val="24"/>
          <w:szCs w:val="24"/>
          <w:rtl/>
        </w:rPr>
        <w:t>כאמצעי לגביית חוב אזרחי במדינת ישראל, עורר דיונים החל מראשית ימי המדינה</w:t>
      </w:r>
      <w:r w:rsidRPr="00247CAB">
        <w:rPr>
          <w:rStyle w:val="a6"/>
          <w:b w:val="0"/>
          <w:bCs w:val="0"/>
          <w:color w:val="auto"/>
          <w:szCs w:val="20"/>
          <w:rtl/>
        </w:rPr>
        <w:footnoteReference w:id="1"/>
      </w:r>
      <w:r>
        <w:rPr>
          <w:rFonts w:hint="cs"/>
          <w:b w:val="0"/>
          <w:bCs w:val="0"/>
          <w:color w:val="auto"/>
          <w:sz w:val="24"/>
          <w:szCs w:val="24"/>
          <w:rtl/>
        </w:rPr>
        <w:t xml:space="preserve">. </w:t>
      </w:r>
    </w:p>
    <w:p w:rsidR="006A740A" w:rsidRDefault="006A740A" w:rsidP="00435F7D">
      <w:pPr>
        <w:pStyle w:val="HesberWriters"/>
        <w:spacing w:before="0" w:after="120"/>
        <w:ind w:left="0"/>
        <w:jc w:val="both"/>
        <w:rPr>
          <w:b w:val="0"/>
          <w:bCs w:val="0"/>
          <w:color w:val="auto"/>
          <w:sz w:val="24"/>
          <w:szCs w:val="24"/>
          <w:rtl/>
        </w:rPr>
      </w:pPr>
      <w:r w:rsidRPr="006F08D4">
        <w:rPr>
          <w:rFonts w:hint="eastAsia"/>
          <w:b w:val="0"/>
          <w:bCs w:val="0"/>
          <w:color w:val="auto"/>
          <w:sz w:val="24"/>
          <w:szCs w:val="24"/>
          <w:rtl/>
        </w:rPr>
        <w:t>המצדדים</w:t>
      </w:r>
      <w:r w:rsidRPr="006F08D4">
        <w:rPr>
          <w:b w:val="0"/>
          <w:bCs w:val="0"/>
          <w:color w:val="auto"/>
          <w:sz w:val="24"/>
          <w:szCs w:val="24"/>
          <w:rtl/>
        </w:rPr>
        <w:t xml:space="preserve"> </w:t>
      </w:r>
      <w:r w:rsidRPr="006F08D4">
        <w:rPr>
          <w:rFonts w:hint="cs"/>
          <w:b w:val="0"/>
          <w:bCs w:val="0"/>
          <w:color w:val="auto"/>
          <w:sz w:val="24"/>
          <w:szCs w:val="24"/>
          <w:rtl/>
        </w:rPr>
        <w:t xml:space="preserve">בשימוש </w:t>
      </w:r>
      <w:r w:rsidRPr="006F08D4">
        <w:rPr>
          <w:rFonts w:hint="eastAsia"/>
          <w:b w:val="0"/>
          <w:bCs w:val="0"/>
          <w:color w:val="auto"/>
          <w:sz w:val="24"/>
          <w:szCs w:val="24"/>
          <w:rtl/>
        </w:rPr>
        <w:t>במאסר</w:t>
      </w:r>
      <w:r w:rsidRPr="006F08D4">
        <w:rPr>
          <w:b w:val="0"/>
          <w:bCs w:val="0"/>
          <w:color w:val="auto"/>
          <w:sz w:val="24"/>
          <w:szCs w:val="24"/>
          <w:rtl/>
        </w:rPr>
        <w:t xml:space="preserve"> </w:t>
      </w:r>
      <w:r w:rsidRPr="006F08D4">
        <w:rPr>
          <w:rFonts w:hint="cs"/>
          <w:b w:val="0"/>
          <w:bCs w:val="0"/>
          <w:color w:val="auto"/>
          <w:sz w:val="24"/>
          <w:szCs w:val="24"/>
          <w:rtl/>
        </w:rPr>
        <w:t xml:space="preserve">כאמצעי לגביית חובות מציינים בעיקר </w:t>
      </w:r>
      <w:r w:rsidRPr="006F08D4">
        <w:rPr>
          <w:rFonts w:hint="eastAsia"/>
          <w:b w:val="0"/>
          <w:bCs w:val="0"/>
          <w:color w:val="auto"/>
          <w:sz w:val="24"/>
          <w:szCs w:val="24"/>
          <w:rtl/>
        </w:rPr>
        <w:t>את</w:t>
      </w:r>
      <w:r w:rsidRPr="006F08D4">
        <w:rPr>
          <w:b w:val="0"/>
          <w:bCs w:val="0"/>
          <w:color w:val="auto"/>
          <w:sz w:val="24"/>
          <w:szCs w:val="24"/>
          <w:rtl/>
        </w:rPr>
        <w:t xml:space="preserve"> </w:t>
      </w:r>
      <w:r w:rsidRPr="006F08D4">
        <w:rPr>
          <w:rFonts w:hint="eastAsia"/>
          <w:b w:val="0"/>
          <w:bCs w:val="0"/>
          <w:color w:val="auto"/>
          <w:sz w:val="24"/>
          <w:szCs w:val="24"/>
          <w:rtl/>
        </w:rPr>
        <w:t>הפגיעה</w:t>
      </w:r>
      <w:r w:rsidRPr="006F08D4">
        <w:rPr>
          <w:b w:val="0"/>
          <w:bCs w:val="0"/>
          <w:color w:val="auto"/>
          <w:sz w:val="24"/>
          <w:szCs w:val="24"/>
          <w:rtl/>
        </w:rPr>
        <w:t xml:space="preserve"> </w:t>
      </w:r>
      <w:r w:rsidRPr="006F08D4">
        <w:rPr>
          <w:rFonts w:hint="eastAsia"/>
          <w:b w:val="0"/>
          <w:bCs w:val="0"/>
          <w:color w:val="auto"/>
          <w:sz w:val="24"/>
          <w:szCs w:val="24"/>
          <w:rtl/>
        </w:rPr>
        <w:t>ב</w:t>
      </w:r>
      <w:r w:rsidRPr="004C19F2">
        <w:rPr>
          <w:rFonts w:hint="eastAsia"/>
          <w:color w:val="auto"/>
          <w:sz w:val="24"/>
          <w:szCs w:val="24"/>
          <w:rtl/>
        </w:rPr>
        <w:t>זכות</w:t>
      </w:r>
      <w:r w:rsidRPr="004C19F2">
        <w:rPr>
          <w:color w:val="auto"/>
          <w:sz w:val="24"/>
          <w:szCs w:val="24"/>
          <w:rtl/>
        </w:rPr>
        <w:t xml:space="preserve"> </w:t>
      </w:r>
      <w:r w:rsidRPr="004C19F2">
        <w:rPr>
          <w:rFonts w:hint="eastAsia"/>
          <w:color w:val="auto"/>
          <w:sz w:val="24"/>
          <w:szCs w:val="24"/>
          <w:rtl/>
        </w:rPr>
        <w:t>הקניין</w:t>
      </w:r>
      <w:r w:rsidRPr="006F08D4">
        <w:rPr>
          <w:b w:val="0"/>
          <w:bCs w:val="0"/>
          <w:color w:val="auto"/>
          <w:sz w:val="24"/>
          <w:szCs w:val="24"/>
          <w:rtl/>
        </w:rPr>
        <w:t xml:space="preserve"> </w:t>
      </w:r>
      <w:r w:rsidRPr="006F08D4">
        <w:rPr>
          <w:rFonts w:hint="eastAsia"/>
          <w:b w:val="0"/>
          <w:bCs w:val="0"/>
          <w:color w:val="auto"/>
          <w:sz w:val="24"/>
          <w:szCs w:val="24"/>
          <w:rtl/>
        </w:rPr>
        <w:t>של</w:t>
      </w:r>
      <w:r w:rsidRPr="006F08D4">
        <w:rPr>
          <w:b w:val="0"/>
          <w:bCs w:val="0"/>
          <w:color w:val="auto"/>
          <w:sz w:val="24"/>
          <w:szCs w:val="24"/>
          <w:rtl/>
        </w:rPr>
        <w:t xml:space="preserve"> </w:t>
      </w:r>
      <w:r w:rsidRPr="006F08D4">
        <w:rPr>
          <w:rFonts w:hint="cs"/>
          <w:b w:val="0"/>
          <w:bCs w:val="0"/>
          <w:color w:val="auto"/>
          <w:sz w:val="24"/>
          <w:szCs w:val="24"/>
          <w:rtl/>
        </w:rPr>
        <w:t>הזוכה</w:t>
      </w:r>
      <w:r w:rsidRPr="006F08D4">
        <w:rPr>
          <w:b w:val="0"/>
          <w:bCs w:val="0"/>
          <w:color w:val="auto"/>
          <w:sz w:val="24"/>
          <w:szCs w:val="24"/>
          <w:rtl/>
        </w:rPr>
        <w:t xml:space="preserve">, </w:t>
      </w:r>
      <w:r w:rsidRPr="006F08D4">
        <w:rPr>
          <w:rFonts w:hint="eastAsia"/>
          <w:b w:val="0"/>
          <w:bCs w:val="0"/>
          <w:color w:val="auto"/>
          <w:sz w:val="24"/>
          <w:szCs w:val="24"/>
          <w:rtl/>
        </w:rPr>
        <w:t>שעלולה</w:t>
      </w:r>
      <w:r w:rsidRPr="006F08D4">
        <w:rPr>
          <w:b w:val="0"/>
          <w:bCs w:val="0"/>
          <w:color w:val="auto"/>
          <w:sz w:val="24"/>
          <w:szCs w:val="24"/>
          <w:rtl/>
        </w:rPr>
        <w:t xml:space="preserve"> </w:t>
      </w:r>
      <w:r w:rsidRPr="006F08D4">
        <w:rPr>
          <w:rFonts w:hint="eastAsia"/>
          <w:b w:val="0"/>
          <w:bCs w:val="0"/>
          <w:color w:val="auto"/>
          <w:sz w:val="24"/>
          <w:szCs w:val="24"/>
          <w:rtl/>
        </w:rPr>
        <w:t>להיגרם</w:t>
      </w:r>
      <w:r w:rsidRPr="006F08D4">
        <w:rPr>
          <w:b w:val="0"/>
          <w:bCs w:val="0"/>
          <w:color w:val="auto"/>
          <w:sz w:val="24"/>
          <w:szCs w:val="24"/>
          <w:rtl/>
        </w:rPr>
        <w:t xml:space="preserve"> </w:t>
      </w:r>
      <w:r w:rsidRPr="006F08D4">
        <w:rPr>
          <w:rFonts w:hint="eastAsia"/>
          <w:b w:val="0"/>
          <w:bCs w:val="0"/>
          <w:color w:val="auto"/>
          <w:sz w:val="24"/>
          <w:szCs w:val="24"/>
          <w:rtl/>
        </w:rPr>
        <w:t>כתוצאה</w:t>
      </w:r>
      <w:r w:rsidRPr="006F08D4">
        <w:rPr>
          <w:b w:val="0"/>
          <w:bCs w:val="0"/>
          <w:color w:val="auto"/>
          <w:sz w:val="24"/>
          <w:szCs w:val="24"/>
          <w:rtl/>
        </w:rPr>
        <w:t xml:space="preserve"> </w:t>
      </w:r>
      <w:r w:rsidRPr="006F08D4">
        <w:rPr>
          <w:rFonts w:hint="eastAsia"/>
          <w:b w:val="0"/>
          <w:bCs w:val="0"/>
          <w:color w:val="auto"/>
          <w:sz w:val="24"/>
          <w:szCs w:val="24"/>
          <w:rtl/>
        </w:rPr>
        <w:t>מהגבלת</w:t>
      </w:r>
      <w:r w:rsidRPr="006F08D4">
        <w:rPr>
          <w:b w:val="0"/>
          <w:bCs w:val="0"/>
          <w:color w:val="auto"/>
          <w:sz w:val="24"/>
          <w:szCs w:val="24"/>
          <w:rtl/>
        </w:rPr>
        <w:t xml:space="preserve"> </w:t>
      </w:r>
      <w:r w:rsidRPr="006F08D4">
        <w:rPr>
          <w:rFonts w:hint="eastAsia"/>
          <w:b w:val="0"/>
          <w:bCs w:val="0"/>
          <w:color w:val="auto"/>
          <w:sz w:val="24"/>
          <w:szCs w:val="24"/>
          <w:rtl/>
        </w:rPr>
        <w:t>יכולתו</w:t>
      </w:r>
      <w:r w:rsidRPr="006F08D4">
        <w:rPr>
          <w:b w:val="0"/>
          <w:bCs w:val="0"/>
          <w:color w:val="auto"/>
          <w:sz w:val="24"/>
          <w:szCs w:val="24"/>
          <w:rtl/>
        </w:rPr>
        <w:t xml:space="preserve"> </w:t>
      </w:r>
      <w:r w:rsidRPr="006F08D4">
        <w:rPr>
          <w:rFonts w:hint="eastAsia"/>
          <w:b w:val="0"/>
          <w:bCs w:val="0"/>
          <w:color w:val="auto"/>
          <w:sz w:val="24"/>
          <w:szCs w:val="24"/>
          <w:rtl/>
        </w:rPr>
        <w:t>לנקוט</w:t>
      </w:r>
      <w:r w:rsidRPr="006F08D4">
        <w:rPr>
          <w:b w:val="0"/>
          <w:bCs w:val="0"/>
          <w:color w:val="auto"/>
          <w:sz w:val="24"/>
          <w:szCs w:val="24"/>
          <w:rtl/>
        </w:rPr>
        <w:t xml:space="preserve"> </w:t>
      </w:r>
      <w:r w:rsidRPr="006F08D4">
        <w:rPr>
          <w:rFonts w:hint="eastAsia"/>
          <w:b w:val="0"/>
          <w:bCs w:val="0"/>
          <w:color w:val="auto"/>
          <w:sz w:val="24"/>
          <w:szCs w:val="24"/>
          <w:rtl/>
        </w:rPr>
        <w:t>באמצעים</w:t>
      </w:r>
      <w:r w:rsidRPr="006F08D4">
        <w:rPr>
          <w:b w:val="0"/>
          <w:bCs w:val="0"/>
          <w:color w:val="auto"/>
          <w:sz w:val="24"/>
          <w:szCs w:val="24"/>
          <w:rtl/>
        </w:rPr>
        <w:t xml:space="preserve"> </w:t>
      </w:r>
      <w:r w:rsidRPr="006F08D4">
        <w:rPr>
          <w:rFonts w:hint="eastAsia"/>
          <w:b w:val="0"/>
          <w:bCs w:val="0"/>
          <w:color w:val="auto"/>
          <w:sz w:val="24"/>
          <w:szCs w:val="24"/>
          <w:rtl/>
        </w:rPr>
        <w:t>חריפים</w:t>
      </w:r>
      <w:r w:rsidRPr="006F08D4">
        <w:rPr>
          <w:b w:val="0"/>
          <w:bCs w:val="0"/>
          <w:color w:val="auto"/>
          <w:sz w:val="24"/>
          <w:szCs w:val="24"/>
          <w:rtl/>
        </w:rPr>
        <w:t xml:space="preserve"> </w:t>
      </w:r>
      <w:r w:rsidRPr="006F08D4">
        <w:rPr>
          <w:rFonts w:hint="eastAsia"/>
          <w:b w:val="0"/>
          <w:bCs w:val="0"/>
          <w:color w:val="auto"/>
          <w:sz w:val="24"/>
          <w:szCs w:val="24"/>
          <w:rtl/>
        </w:rPr>
        <w:t>כדי</w:t>
      </w:r>
      <w:r w:rsidRPr="006F08D4">
        <w:rPr>
          <w:b w:val="0"/>
          <w:bCs w:val="0"/>
          <w:color w:val="auto"/>
          <w:sz w:val="24"/>
          <w:szCs w:val="24"/>
          <w:rtl/>
        </w:rPr>
        <w:t xml:space="preserve"> </w:t>
      </w:r>
      <w:r w:rsidRPr="006F08D4">
        <w:rPr>
          <w:rFonts w:hint="eastAsia"/>
          <w:b w:val="0"/>
          <w:bCs w:val="0"/>
          <w:color w:val="auto"/>
          <w:sz w:val="24"/>
          <w:szCs w:val="24"/>
          <w:rtl/>
        </w:rPr>
        <w:t>לגבות</w:t>
      </w:r>
      <w:r w:rsidRPr="006F08D4">
        <w:rPr>
          <w:b w:val="0"/>
          <w:bCs w:val="0"/>
          <w:color w:val="auto"/>
          <w:sz w:val="24"/>
          <w:szCs w:val="24"/>
          <w:rtl/>
        </w:rPr>
        <w:t xml:space="preserve"> </w:t>
      </w:r>
      <w:r w:rsidRPr="006F08D4">
        <w:rPr>
          <w:rFonts w:hint="eastAsia"/>
          <w:b w:val="0"/>
          <w:bCs w:val="0"/>
          <w:color w:val="auto"/>
          <w:sz w:val="24"/>
          <w:szCs w:val="24"/>
          <w:rtl/>
        </w:rPr>
        <w:t>את</w:t>
      </w:r>
      <w:r w:rsidRPr="006F08D4">
        <w:rPr>
          <w:b w:val="0"/>
          <w:bCs w:val="0"/>
          <w:color w:val="auto"/>
          <w:sz w:val="24"/>
          <w:szCs w:val="24"/>
          <w:rtl/>
        </w:rPr>
        <w:t xml:space="preserve"> </w:t>
      </w:r>
      <w:r w:rsidRPr="006F08D4">
        <w:rPr>
          <w:rFonts w:hint="eastAsia"/>
          <w:b w:val="0"/>
          <w:bCs w:val="0"/>
          <w:color w:val="auto"/>
          <w:sz w:val="24"/>
          <w:szCs w:val="24"/>
          <w:rtl/>
        </w:rPr>
        <w:t>חובותיו</w:t>
      </w:r>
      <w:r w:rsidRPr="006F08D4">
        <w:rPr>
          <w:b w:val="0"/>
          <w:bCs w:val="0"/>
          <w:color w:val="auto"/>
          <w:sz w:val="24"/>
          <w:szCs w:val="24"/>
          <w:rtl/>
        </w:rPr>
        <w:t>.</w:t>
      </w:r>
      <w:r w:rsidRPr="006F08D4">
        <w:rPr>
          <w:rFonts w:hint="cs"/>
          <w:b w:val="0"/>
          <w:bCs w:val="0"/>
          <w:color w:val="auto"/>
          <w:sz w:val="24"/>
          <w:szCs w:val="24"/>
          <w:rtl/>
        </w:rPr>
        <w:t xml:space="preserve"> לדידם, </w:t>
      </w:r>
      <w:r w:rsidRPr="006F08D4">
        <w:rPr>
          <w:b w:val="0"/>
          <w:bCs w:val="0"/>
          <w:color w:val="auto"/>
          <w:sz w:val="24"/>
          <w:szCs w:val="24"/>
          <w:rtl/>
        </w:rPr>
        <w:t xml:space="preserve">מערכת ההוצאה לפועל נועדה, בראש ובראשונה, להגן על זכות הקניין של הזוכה, שהינה זכות חוקתית המעוגנת בסעיף 3 לחוק יסוד: כבוד האדם וחירותו, </w:t>
      </w:r>
      <w:r w:rsidRPr="006F08D4">
        <w:rPr>
          <w:rFonts w:hint="cs"/>
          <w:b w:val="0"/>
          <w:bCs w:val="0"/>
          <w:color w:val="auto"/>
          <w:sz w:val="24"/>
          <w:szCs w:val="24"/>
          <w:rtl/>
        </w:rPr>
        <w:t xml:space="preserve">וזאת </w:t>
      </w:r>
      <w:r w:rsidRPr="006F08D4">
        <w:rPr>
          <w:b w:val="0"/>
          <w:bCs w:val="0"/>
          <w:color w:val="auto"/>
          <w:sz w:val="24"/>
          <w:szCs w:val="24"/>
          <w:rtl/>
        </w:rPr>
        <w:t xml:space="preserve">באמצעות </w:t>
      </w:r>
      <w:r w:rsidRPr="006F08D4">
        <w:rPr>
          <w:rFonts w:hint="cs"/>
          <w:b w:val="0"/>
          <w:bCs w:val="0"/>
          <w:color w:val="auto"/>
          <w:sz w:val="24"/>
          <w:szCs w:val="24"/>
          <w:rtl/>
        </w:rPr>
        <w:t>נקיטת</w:t>
      </w:r>
      <w:r w:rsidRPr="006F08D4">
        <w:rPr>
          <w:b w:val="0"/>
          <w:bCs w:val="0"/>
          <w:color w:val="auto"/>
          <w:sz w:val="24"/>
          <w:szCs w:val="24"/>
          <w:rtl/>
        </w:rPr>
        <w:t xml:space="preserve"> אמצעי</w:t>
      </w:r>
      <w:r w:rsidRPr="006F08D4">
        <w:rPr>
          <w:rFonts w:hint="cs"/>
          <w:b w:val="0"/>
          <w:bCs w:val="0"/>
          <w:color w:val="auto"/>
          <w:sz w:val="24"/>
          <w:szCs w:val="24"/>
          <w:rtl/>
        </w:rPr>
        <w:t>ם</w:t>
      </w:r>
      <w:r w:rsidRPr="006F08D4">
        <w:rPr>
          <w:b w:val="0"/>
          <w:bCs w:val="0"/>
          <w:color w:val="auto"/>
          <w:sz w:val="24"/>
          <w:szCs w:val="24"/>
          <w:rtl/>
        </w:rPr>
        <w:t xml:space="preserve"> יעילים</w:t>
      </w:r>
      <w:r w:rsidRPr="006F08D4">
        <w:rPr>
          <w:rFonts w:hint="cs"/>
          <w:b w:val="0"/>
          <w:bCs w:val="0"/>
          <w:color w:val="auto"/>
          <w:sz w:val="24"/>
          <w:szCs w:val="24"/>
          <w:rtl/>
        </w:rPr>
        <w:t xml:space="preserve"> לגביית החוב</w:t>
      </w:r>
      <w:r w:rsidRPr="006F08D4">
        <w:rPr>
          <w:b w:val="0"/>
          <w:bCs w:val="0"/>
          <w:color w:val="auto"/>
          <w:sz w:val="24"/>
          <w:szCs w:val="24"/>
          <w:rtl/>
        </w:rPr>
        <w:t>.</w:t>
      </w:r>
      <w:r w:rsidRPr="006F08D4">
        <w:rPr>
          <w:rFonts w:hint="cs"/>
          <w:b w:val="0"/>
          <w:bCs w:val="0"/>
          <w:color w:val="auto"/>
          <w:sz w:val="24"/>
          <w:szCs w:val="24"/>
          <w:rtl/>
        </w:rPr>
        <w:t xml:space="preserve"> </w:t>
      </w:r>
      <w:r w:rsidRPr="002310C8">
        <w:rPr>
          <w:rFonts w:hint="cs"/>
          <w:b w:val="0"/>
          <w:bCs w:val="0"/>
          <w:color w:val="auto"/>
          <w:sz w:val="24"/>
          <w:szCs w:val="24"/>
          <w:rtl/>
        </w:rPr>
        <w:t>שיקולים נוספים שהועלו כתמיכה בשימוש במאסר הם: החשש מפגיעה בשלטון החוק עקב אי תשלום החוב, יצירת הרתעה כלפי חייבים המבקשים להשתמט מתשלום</w:t>
      </w:r>
      <w:r>
        <w:rPr>
          <w:rFonts w:hint="cs"/>
          <w:b w:val="0"/>
          <w:bCs w:val="0"/>
          <w:color w:val="auto"/>
          <w:sz w:val="24"/>
          <w:szCs w:val="24"/>
          <w:rtl/>
        </w:rPr>
        <w:t xml:space="preserve"> החוב</w:t>
      </w:r>
      <w:r w:rsidRPr="002310C8">
        <w:rPr>
          <w:rFonts w:hint="cs"/>
          <w:b w:val="0"/>
          <w:bCs w:val="0"/>
          <w:color w:val="auto"/>
          <w:sz w:val="24"/>
          <w:szCs w:val="24"/>
          <w:rtl/>
        </w:rPr>
        <w:t>, חשש מפנייה של הנושים לחברות גבייה פרטיות העושות שימוש באמצעים לא חוקיים ועוד.</w:t>
      </w:r>
    </w:p>
    <w:p w:rsidR="006A740A" w:rsidRPr="002310C8" w:rsidRDefault="006A740A" w:rsidP="00435F7D">
      <w:pPr>
        <w:pStyle w:val="HesberWriters"/>
        <w:spacing w:before="0" w:after="120"/>
        <w:ind w:left="0"/>
        <w:jc w:val="both"/>
        <w:rPr>
          <w:b w:val="0"/>
          <w:bCs w:val="0"/>
          <w:color w:val="auto"/>
          <w:sz w:val="24"/>
          <w:szCs w:val="24"/>
          <w:rtl/>
        </w:rPr>
      </w:pPr>
      <w:r w:rsidRPr="006F08D4">
        <w:rPr>
          <w:rFonts w:hint="cs"/>
          <w:b w:val="0"/>
          <w:bCs w:val="0"/>
          <w:color w:val="auto"/>
          <w:sz w:val="24"/>
          <w:szCs w:val="24"/>
          <w:rtl/>
        </w:rPr>
        <w:t xml:space="preserve">מנגד, </w:t>
      </w:r>
      <w:r w:rsidRPr="006F08D4">
        <w:rPr>
          <w:rFonts w:hint="eastAsia"/>
          <w:b w:val="0"/>
          <w:bCs w:val="0"/>
          <w:color w:val="auto"/>
          <w:sz w:val="24"/>
          <w:szCs w:val="24"/>
          <w:rtl/>
        </w:rPr>
        <w:t>השוללים</w:t>
      </w:r>
      <w:r w:rsidRPr="006F08D4">
        <w:rPr>
          <w:b w:val="0"/>
          <w:bCs w:val="0"/>
          <w:color w:val="auto"/>
          <w:sz w:val="24"/>
          <w:szCs w:val="24"/>
          <w:rtl/>
        </w:rPr>
        <w:t xml:space="preserve"> </w:t>
      </w:r>
      <w:r w:rsidRPr="006F08D4">
        <w:rPr>
          <w:rFonts w:hint="eastAsia"/>
          <w:b w:val="0"/>
          <w:bCs w:val="0"/>
          <w:color w:val="auto"/>
          <w:sz w:val="24"/>
          <w:szCs w:val="24"/>
          <w:rtl/>
        </w:rPr>
        <w:t>את</w:t>
      </w:r>
      <w:r w:rsidRPr="006F08D4">
        <w:rPr>
          <w:b w:val="0"/>
          <w:bCs w:val="0"/>
          <w:color w:val="auto"/>
          <w:sz w:val="24"/>
          <w:szCs w:val="24"/>
          <w:rtl/>
        </w:rPr>
        <w:t xml:space="preserve"> </w:t>
      </w:r>
      <w:r w:rsidRPr="006F08D4">
        <w:rPr>
          <w:rFonts w:hint="cs"/>
          <w:b w:val="0"/>
          <w:bCs w:val="0"/>
          <w:color w:val="auto"/>
          <w:sz w:val="24"/>
          <w:szCs w:val="24"/>
          <w:rtl/>
        </w:rPr>
        <w:t>השימוש ב</w:t>
      </w:r>
      <w:r w:rsidRPr="006F08D4">
        <w:rPr>
          <w:rFonts w:hint="eastAsia"/>
          <w:b w:val="0"/>
          <w:bCs w:val="0"/>
          <w:color w:val="auto"/>
          <w:sz w:val="24"/>
          <w:szCs w:val="24"/>
          <w:rtl/>
        </w:rPr>
        <w:t>מאסר</w:t>
      </w:r>
      <w:r w:rsidRPr="006F08D4">
        <w:rPr>
          <w:b w:val="0"/>
          <w:bCs w:val="0"/>
          <w:color w:val="auto"/>
          <w:sz w:val="24"/>
          <w:szCs w:val="24"/>
          <w:rtl/>
        </w:rPr>
        <w:t xml:space="preserve"> </w:t>
      </w:r>
      <w:r w:rsidRPr="006F08D4">
        <w:rPr>
          <w:rFonts w:hint="cs"/>
          <w:b w:val="0"/>
          <w:bCs w:val="0"/>
          <w:color w:val="auto"/>
          <w:sz w:val="24"/>
          <w:szCs w:val="24"/>
          <w:rtl/>
        </w:rPr>
        <w:t xml:space="preserve">כאמצעי גבייה </w:t>
      </w:r>
      <w:r w:rsidRPr="006F08D4">
        <w:rPr>
          <w:rFonts w:hint="eastAsia"/>
          <w:b w:val="0"/>
          <w:bCs w:val="0"/>
          <w:color w:val="auto"/>
          <w:sz w:val="24"/>
          <w:szCs w:val="24"/>
          <w:rtl/>
        </w:rPr>
        <w:t>מעלים</w:t>
      </w:r>
      <w:r w:rsidRPr="006F08D4">
        <w:rPr>
          <w:b w:val="0"/>
          <w:bCs w:val="0"/>
          <w:color w:val="auto"/>
          <w:sz w:val="24"/>
          <w:szCs w:val="24"/>
          <w:rtl/>
        </w:rPr>
        <w:t xml:space="preserve"> </w:t>
      </w:r>
      <w:r w:rsidRPr="006F08D4">
        <w:rPr>
          <w:rFonts w:hint="eastAsia"/>
          <w:b w:val="0"/>
          <w:bCs w:val="0"/>
          <w:color w:val="auto"/>
          <w:sz w:val="24"/>
          <w:szCs w:val="24"/>
          <w:rtl/>
        </w:rPr>
        <w:t>על</w:t>
      </w:r>
      <w:r w:rsidRPr="006F08D4">
        <w:rPr>
          <w:b w:val="0"/>
          <w:bCs w:val="0"/>
          <w:color w:val="auto"/>
          <w:sz w:val="24"/>
          <w:szCs w:val="24"/>
          <w:rtl/>
        </w:rPr>
        <w:t xml:space="preserve"> </w:t>
      </w:r>
      <w:r w:rsidRPr="006F08D4">
        <w:rPr>
          <w:rFonts w:hint="eastAsia"/>
          <w:b w:val="0"/>
          <w:bCs w:val="0"/>
          <w:color w:val="auto"/>
          <w:sz w:val="24"/>
          <w:szCs w:val="24"/>
          <w:rtl/>
        </w:rPr>
        <w:t>נס</w:t>
      </w:r>
      <w:r w:rsidRPr="006F08D4">
        <w:rPr>
          <w:b w:val="0"/>
          <w:bCs w:val="0"/>
          <w:color w:val="auto"/>
          <w:sz w:val="24"/>
          <w:szCs w:val="24"/>
          <w:rtl/>
        </w:rPr>
        <w:t xml:space="preserve"> </w:t>
      </w:r>
      <w:r w:rsidRPr="006F08D4">
        <w:rPr>
          <w:rFonts w:hint="eastAsia"/>
          <w:b w:val="0"/>
          <w:bCs w:val="0"/>
          <w:color w:val="auto"/>
          <w:sz w:val="24"/>
          <w:szCs w:val="24"/>
          <w:rtl/>
        </w:rPr>
        <w:t>את</w:t>
      </w:r>
      <w:r w:rsidRPr="006F08D4">
        <w:rPr>
          <w:b w:val="0"/>
          <w:bCs w:val="0"/>
          <w:color w:val="auto"/>
          <w:sz w:val="24"/>
          <w:szCs w:val="24"/>
          <w:rtl/>
        </w:rPr>
        <w:t xml:space="preserve"> </w:t>
      </w:r>
      <w:r>
        <w:rPr>
          <w:rFonts w:hint="cs"/>
          <w:b w:val="0"/>
          <w:bCs w:val="0"/>
          <w:color w:val="auto"/>
          <w:sz w:val="24"/>
          <w:szCs w:val="24"/>
          <w:rtl/>
        </w:rPr>
        <w:t>ה</w:t>
      </w:r>
      <w:r w:rsidRPr="004C19F2">
        <w:rPr>
          <w:rFonts w:hint="cs"/>
          <w:color w:val="auto"/>
          <w:sz w:val="24"/>
          <w:szCs w:val="24"/>
          <w:rtl/>
        </w:rPr>
        <w:t>זכות לחירות</w:t>
      </w:r>
      <w:r>
        <w:rPr>
          <w:rFonts w:hint="cs"/>
          <w:b w:val="0"/>
          <w:bCs w:val="0"/>
          <w:color w:val="auto"/>
          <w:sz w:val="24"/>
          <w:szCs w:val="24"/>
          <w:rtl/>
        </w:rPr>
        <w:t xml:space="preserve"> </w:t>
      </w:r>
      <w:r w:rsidRPr="006F08D4">
        <w:rPr>
          <w:rFonts w:hint="cs"/>
          <w:b w:val="0"/>
          <w:bCs w:val="0"/>
          <w:color w:val="auto"/>
          <w:sz w:val="24"/>
          <w:szCs w:val="24"/>
          <w:rtl/>
        </w:rPr>
        <w:t>של החייב</w:t>
      </w:r>
      <w:r w:rsidRPr="006F08D4">
        <w:rPr>
          <w:b w:val="0"/>
          <w:bCs w:val="0"/>
          <w:color w:val="auto"/>
          <w:sz w:val="24"/>
          <w:szCs w:val="24"/>
          <w:rtl/>
        </w:rPr>
        <w:t xml:space="preserve">, </w:t>
      </w:r>
      <w:r w:rsidRPr="006F08D4">
        <w:rPr>
          <w:rFonts w:hint="cs"/>
          <w:b w:val="0"/>
          <w:bCs w:val="0"/>
          <w:color w:val="auto"/>
          <w:sz w:val="24"/>
          <w:szCs w:val="24"/>
          <w:rtl/>
        </w:rPr>
        <w:t xml:space="preserve">הנהנית </w:t>
      </w:r>
      <w:r w:rsidRPr="006F08D4">
        <w:rPr>
          <w:b w:val="0"/>
          <w:bCs w:val="0"/>
          <w:color w:val="auto"/>
          <w:sz w:val="24"/>
          <w:szCs w:val="24"/>
          <w:rtl/>
        </w:rPr>
        <w:t>אף היא ממעמד חוקתי</w:t>
      </w:r>
      <w:r w:rsidRPr="006F08D4">
        <w:rPr>
          <w:rFonts w:hint="cs"/>
          <w:b w:val="0"/>
          <w:bCs w:val="0"/>
          <w:color w:val="auto"/>
          <w:sz w:val="24"/>
          <w:szCs w:val="24"/>
          <w:rtl/>
        </w:rPr>
        <w:t xml:space="preserve"> לפי</w:t>
      </w:r>
      <w:r w:rsidRPr="006F08D4">
        <w:rPr>
          <w:b w:val="0"/>
          <w:bCs w:val="0"/>
          <w:color w:val="auto"/>
          <w:sz w:val="24"/>
          <w:szCs w:val="24"/>
          <w:rtl/>
        </w:rPr>
        <w:t xml:space="preserve"> סעיף 5 לחוק </w:t>
      </w:r>
      <w:r w:rsidRPr="006F08D4">
        <w:rPr>
          <w:rFonts w:hint="cs"/>
          <w:b w:val="0"/>
          <w:bCs w:val="0"/>
          <w:color w:val="auto"/>
          <w:sz w:val="24"/>
          <w:szCs w:val="24"/>
          <w:rtl/>
        </w:rPr>
        <w:t>ה</w:t>
      </w:r>
      <w:r w:rsidRPr="006F08D4">
        <w:rPr>
          <w:b w:val="0"/>
          <w:bCs w:val="0"/>
          <w:color w:val="auto"/>
          <w:sz w:val="24"/>
          <w:szCs w:val="24"/>
          <w:rtl/>
        </w:rPr>
        <w:t>יסוד</w:t>
      </w:r>
      <w:r w:rsidRPr="006F08D4">
        <w:rPr>
          <w:rFonts w:hint="cs"/>
          <w:b w:val="0"/>
          <w:bCs w:val="0"/>
          <w:color w:val="auto"/>
          <w:sz w:val="24"/>
          <w:szCs w:val="24"/>
          <w:rtl/>
        </w:rPr>
        <w:t xml:space="preserve"> האמור, </w:t>
      </w:r>
      <w:r w:rsidRPr="006F08D4">
        <w:rPr>
          <w:rFonts w:hint="eastAsia"/>
          <w:b w:val="0"/>
          <w:bCs w:val="0"/>
          <w:color w:val="auto"/>
          <w:sz w:val="24"/>
          <w:szCs w:val="24"/>
          <w:rtl/>
        </w:rPr>
        <w:t>הנפגע</w:t>
      </w:r>
      <w:r w:rsidRPr="006F08D4">
        <w:rPr>
          <w:rFonts w:hint="cs"/>
          <w:b w:val="0"/>
          <w:bCs w:val="0"/>
          <w:color w:val="auto"/>
          <w:sz w:val="24"/>
          <w:szCs w:val="24"/>
          <w:rtl/>
        </w:rPr>
        <w:t>ת</w:t>
      </w:r>
      <w:r w:rsidRPr="006F08D4">
        <w:rPr>
          <w:b w:val="0"/>
          <w:bCs w:val="0"/>
          <w:color w:val="auto"/>
          <w:sz w:val="24"/>
          <w:szCs w:val="24"/>
          <w:rtl/>
        </w:rPr>
        <w:t xml:space="preserve"> </w:t>
      </w:r>
      <w:r w:rsidRPr="006F08D4">
        <w:rPr>
          <w:rFonts w:hint="eastAsia"/>
          <w:b w:val="0"/>
          <w:bCs w:val="0"/>
          <w:color w:val="auto"/>
          <w:sz w:val="24"/>
          <w:szCs w:val="24"/>
          <w:rtl/>
        </w:rPr>
        <w:t>כתוצאה</w:t>
      </w:r>
      <w:r w:rsidRPr="006F08D4">
        <w:rPr>
          <w:b w:val="0"/>
          <w:bCs w:val="0"/>
          <w:color w:val="auto"/>
          <w:sz w:val="24"/>
          <w:szCs w:val="24"/>
          <w:rtl/>
        </w:rPr>
        <w:t xml:space="preserve"> </w:t>
      </w:r>
      <w:r w:rsidRPr="006F08D4">
        <w:rPr>
          <w:rFonts w:hint="eastAsia"/>
          <w:b w:val="0"/>
          <w:bCs w:val="0"/>
          <w:color w:val="auto"/>
          <w:sz w:val="24"/>
          <w:szCs w:val="24"/>
          <w:rtl/>
        </w:rPr>
        <w:t>מן</w:t>
      </w:r>
      <w:r w:rsidRPr="006F08D4">
        <w:rPr>
          <w:b w:val="0"/>
          <w:bCs w:val="0"/>
          <w:color w:val="auto"/>
          <w:sz w:val="24"/>
          <w:szCs w:val="24"/>
          <w:rtl/>
        </w:rPr>
        <w:t xml:space="preserve"> </w:t>
      </w:r>
      <w:r w:rsidRPr="006F08D4">
        <w:rPr>
          <w:rFonts w:hint="eastAsia"/>
          <w:b w:val="0"/>
          <w:bCs w:val="0"/>
          <w:color w:val="auto"/>
          <w:sz w:val="24"/>
          <w:szCs w:val="24"/>
          <w:rtl/>
        </w:rPr>
        <w:t>השימוש</w:t>
      </w:r>
      <w:r w:rsidRPr="006F08D4">
        <w:rPr>
          <w:b w:val="0"/>
          <w:bCs w:val="0"/>
          <w:color w:val="auto"/>
          <w:sz w:val="24"/>
          <w:szCs w:val="24"/>
          <w:rtl/>
        </w:rPr>
        <w:t xml:space="preserve"> </w:t>
      </w:r>
      <w:r w:rsidRPr="006F08D4">
        <w:rPr>
          <w:rFonts w:hint="eastAsia"/>
          <w:b w:val="0"/>
          <w:bCs w:val="0"/>
          <w:color w:val="auto"/>
          <w:sz w:val="24"/>
          <w:szCs w:val="24"/>
          <w:rtl/>
        </w:rPr>
        <w:t>במאסר</w:t>
      </w:r>
      <w:r w:rsidRPr="006F08D4">
        <w:rPr>
          <w:b w:val="0"/>
          <w:bCs w:val="0"/>
          <w:color w:val="auto"/>
          <w:sz w:val="24"/>
          <w:szCs w:val="24"/>
          <w:rtl/>
        </w:rPr>
        <w:t>.</w:t>
      </w:r>
      <w:r w:rsidRPr="002310C8">
        <w:rPr>
          <w:rFonts w:hint="cs"/>
          <w:b w:val="0"/>
          <w:bCs w:val="0"/>
          <w:color w:val="auto"/>
          <w:sz w:val="24"/>
          <w:szCs w:val="24"/>
          <w:rtl/>
        </w:rPr>
        <w:t xml:space="preserve"> שיקולים נוספים שהועלו נגד השימוש במאסר כאמצעי גבייה הם העובדה שהמאסר אינו מגביר את יכולת החייב לשלם את חובו ואף יש בו כדי להחמיר את מצבו הכלכלי, החשש מהסתבכות של החייב בלקיחת הלוואות בשוק האפור והשחור כדי להימנע מהמאסר, השלכות כלכליות שליליות שונות שעשויות להיות לשימוש במאסר הן בשל העלות הציבורית שיש למאסר והן בשל פגיעה בשוק האשראי, ועוד.</w:t>
      </w:r>
    </w:p>
    <w:p w:rsidR="006A740A" w:rsidRDefault="006A740A" w:rsidP="00435F7D">
      <w:pPr>
        <w:pStyle w:val="HesberWriters"/>
        <w:spacing w:before="0" w:after="120"/>
        <w:ind w:left="0"/>
        <w:jc w:val="both"/>
        <w:rPr>
          <w:b w:val="0"/>
          <w:bCs w:val="0"/>
          <w:color w:val="auto"/>
          <w:sz w:val="24"/>
          <w:szCs w:val="24"/>
          <w:rtl/>
        </w:rPr>
      </w:pPr>
      <w:r w:rsidRPr="00265FDF">
        <w:rPr>
          <w:rFonts w:hint="cs"/>
          <w:b w:val="0"/>
          <w:bCs w:val="0"/>
          <w:color w:val="auto"/>
          <w:sz w:val="24"/>
          <w:szCs w:val="24"/>
          <w:rtl/>
        </w:rPr>
        <w:t xml:space="preserve">מבט השוואתי על מדינות העולם מלמד כי המגמה הכללית </w:t>
      </w:r>
      <w:r w:rsidRPr="00265FDF">
        <w:rPr>
          <w:b w:val="0"/>
          <w:bCs w:val="0"/>
          <w:color w:val="auto"/>
          <w:sz w:val="24"/>
          <w:szCs w:val="24"/>
          <w:rtl/>
        </w:rPr>
        <w:t xml:space="preserve">במדינות המערב היא </w:t>
      </w:r>
      <w:r w:rsidRPr="00265FDF">
        <w:rPr>
          <w:rFonts w:hint="cs"/>
          <w:b w:val="0"/>
          <w:bCs w:val="0"/>
          <w:color w:val="auto"/>
          <w:sz w:val="24"/>
          <w:szCs w:val="24"/>
          <w:rtl/>
        </w:rPr>
        <w:t>ש</w:t>
      </w:r>
      <w:r w:rsidRPr="00265FDF">
        <w:rPr>
          <w:b w:val="0"/>
          <w:bCs w:val="0"/>
          <w:color w:val="auto"/>
          <w:sz w:val="24"/>
          <w:szCs w:val="24"/>
          <w:rtl/>
        </w:rPr>
        <w:t>אין לנקוט בהליכי מאסר נגד חייבים שא</w:t>
      </w:r>
      <w:r>
        <w:rPr>
          <w:rFonts w:hint="cs"/>
          <w:b w:val="0"/>
          <w:bCs w:val="0"/>
          <w:color w:val="auto"/>
          <w:sz w:val="24"/>
          <w:szCs w:val="24"/>
          <w:rtl/>
        </w:rPr>
        <w:t>ינם</w:t>
      </w:r>
      <w:r w:rsidRPr="00265FDF">
        <w:rPr>
          <w:b w:val="0"/>
          <w:bCs w:val="0"/>
          <w:color w:val="auto"/>
          <w:sz w:val="24"/>
          <w:szCs w:val="24"/>
          <w:rtl/>
        </w:rPr>
        <w:t xml:space="preserve"> משלמים את חובם.</w:t>
      </w:r>
      <w:r w:rsidRPr="00265FDF">
        <w:rPr>
          <w:rFonts w:hint="cs"/>
          <w:b w:val="0"/>
          <w:bCs w:val="0"/>
          <w:color w:val="auto"/>
          <w:sz w:val="24"/>
          <w:szCs w:val="24"/>
          <w:rtl/>
        </w:rPr>
        <w:t xml:space="preserve"> אמנם השימוש </w:t>
      </w:r>
      <w:r>
        <w:rPr>
          <w:rFonts w:hint="cs"/>
          <w:b w:val="0"/>
          <w:bCs w:val="0"/>
          <w:color w:val="auto"/>
          <w:sz w:val="24"/>
          <w:szCs w:val="24"/>
          <w:rtl/>
        </w:rPr>
        <w:t xml:space="preserve">באמצעי של </w:t>
      </w:r>
      <w:r w:rsidRPr="00265FDF">
        <w:rPr>
          <w:rFonts w:hint="cs"/>
          <w:b w:val="0"/>
          <w:bCs w:val="0"/>
          <w:color w:val="auto"/>
          <w:sz w:val="24"/>
          <w:szCs w:val="24"/>
          <w:rtl/>
        </w:rPr>
        <w:t xml:space="preserve">מאסר </w:t>
      </w:r>
      <w:r>
        <w:rPr>
          <w:rFonts w:hint="cs"/>
          <w:b w:val="0"/>
          <w:bCs w:val="0"/>
          <w:color w:val="auto"/>
          <w:sz w:val="24"/>
          <w:szCs w:val="24"/>
          <w:rtl/>
        </w:rPr>
        <w:t xml:space="preserve">כנגד </w:t>
      </w:r>
      <w:r w:rsidRPr="00265FDF">
        <w:rPr>
          <w:rFonts w:hint="cs"/>
          <w:b w:val="0"/>
          <w:bCs w:val="0"/>
          <w:color w:val="auto"/>
          <w:sz w:val="24"/>
          <w:szCs w:val="24"/>
          <w:rtl/>
        </w:rPr>
        <w:t xml:space="preserve">חייבים בחוב אזרחי לא בוטל כליל בכל המדינות המפותחות, אך המגמה הכללית היא כי </w:t>
      </w:r>
      <w:r>
        <w:rPr>
          <w:rFonts w:hint="cs"/>
          <w:b w:val="0"/>
          <w:bCs w:val="0"/>
          <w:color w:val="auto"/>
          <w:sz w:val="24"/>
          <w:szCs w:val="24"/>
          <w:rtl/>
        </w:rPr>
        <w:t xml:space="preserve">צמצום </w:t>
      </w:r>
      <w:r w:rsidRPr="00265FDF">
        <w:rPr>
          <w:rFonts w:hint="cs"/>
          <w:b w:val="0"/>
          <w:bCs w:val="0"/>
          <w:color w:val="auto"/>
          <w:sz w:val="24"/>
          <w:szCs w:val="24"/>
          <w:rtl/>
        </w:rPr>
        <w:t xml:space="preserve">השימוש במאסר כאמצעי לגביית חוב אזרחי. </w:t>
      </w:r>
    </w:p>
    <w:p w:rsidR="006A740A" w:rsidRPr="00A704C5" w:rsidRDefault="006A740A" w:rsidP="00435F7D">
      <w:pPr>
        <w:pStyle w:val="HesberWriters"/>
        <w:spacing w:before="0" w:after="120"/>
        <w:ind w:left="0"/>
        <w:jc w:val="both"/>
        <w:rPr>
          <w:b w:val="0"/>
          <w:bCs w:val="0"/>
          <w:color w:val="auto"/>
          <w:sz w:val="24"/>
          <w:szCs w:val="24"/>
          <w:rtl/>
        </w:rPr>
      </w:pPr>
      <w:r w:rsidRPr="00A704C5">
        <w:rPr>
          <w:b w:val="0"/>
          <w:bCs w:val="0"/>
          <w:color w:val="auto"/>
          <w:sz w:val="24"/>
          <w:szCs w:val="24"/>
          <w:rtl/>
        </w:rPr>
        <w:t>חוק ההוצאה לפועל (תיקון מס' 29), התשס"ט-2008 (להלן</w:t>
      </w:r>
      <w:r w:rsidRPr="00A704C5">
        <w:rPr>
          <w:rFonts w:hint="cs"/>
          <w:b w:val="0"/>
          <w:bCs w:val="0"/>
          <w:color w:val="auto"/>
          <w:sz w:val="24"/>
          <w:szCs w:val="24"/>
          <w:rtl/>
        </w:rPr>
        <w:t xml:space="preserve"> </w:t>
      </w:r>
      <w:r w:rsidRPr="00A704C5">
        <w:rPr>
          <w:b w:val="0"/>
          <w:bCs w:val="0"/>
          <w:color w:val="auto"/>
          <w:sz w:val="24"/>
          <w:szCs w:val="24"/>
          <w:rtl/>
        </w:rPr>
        <w:t xml:space="preserve">– </w:t>
      </w:r>
      <w:r w:rsidRPr="00A704C5">
        <w:rPr>
          <w:rFonts w:hint="cs"/>
          <w:b w:val="0"/>
          <w:bCs w:val="0"/>
          <w:color w:val="auto"/>
          <w:sz w:val="24"/>
          <w:szCs w:val="24"/>
          <w:rtl/>
        </w:rPr>
        <w:t>"תיקון 29"</w:t>
      </w:r>
      <w:r w:rsidRPr="00A704C5">
        <w:rPr>
          <w:b w:val="0"/>
          <w:bCs w:val="0"/>
          <w:color w:val="auto"/>
          <w:sz w:val="24"/>
          <w:szCs w:val="24"/>
          <w:rtl/>
        </w:rPr>
        <w:t xml:space="preserve">), אשר נכנס לתוקפו בשנת 2009, </w:t>
      </w:r>
      <w:r w:rsidRPr="00A704C5">
        <w:rPr>
          <w:rFonts w:hint="cs"/>
          <w:b w:val="0"/>
          <w:bCs w:val="0"/>
          <w:color w:val="auto"/>
          <w:sz w:val="24"/>
          <w:szCs w:val="24"/>
          <w:rtl/>
        </w:rPr>
        <w:t>ערך</w:t>
      </w:r>
      <w:r w:rsidRPr="00A704C5">
        <w:rPr>
          <w:b w:val="0"/>
          <w:bCs w:val="0"/>
          <w:color w:val="auto"/>
          <w:sz w:val="24"/>
          <w:szCs w:val="24"/>
          <w:rtl/>
        </w:rPr>
        <w:t xml:space="preserve"> רפורמה מקיפה בתחום ההוצאה לפועל. אחד מעקרונות </w:t>
      </w:r>
      <w:r w:rsidRPr="00A704C5">
        <w:rPr>
          <w:rFonts w:hint="cs"/>
          <w:b w:val="0"/>
          <w:bCs w:val="0"/>
          <w:color w:val="auto"/>
          <w:sz w:val="24"/>
          <w:szCs w:val="24"/>
          <w:rtl/>
        </w:rPr>
        <w:t>תיקון 29</w:t>
      </w:r>
      <w:r w:rsidRPr="00A704C5">
        <w:rPr>
          <w:b w:val="0"/>
          <w:bCs w:val="0"/>
          <w:color w:val="auto"/>
          <w:sz w:val="24"/>
          <w:szCs w:val="24"/>
          <w:rtl/>
        </w:rPr>
        <w:t xml:space="preserve"> היה הגברת יכולת הגבייה מנכסיו של החייב תוך צמצום הפגיעה בחירותו. לשם כך</w:t>
      </w:r>
      <w:r w:rsidRPr="00A704C5">
        <w:rPr>
          <w:rFonts w:hint="cs"/>
          <w:b w:val="0"/>
          <w:bCs w:val="0"/>
          <w:color w:val="auto"/>
          <w:sz w:val="24"/>
          <w:szCs w:val="24"/>
          <w:rtl/>
        </w:rPr>
        <w:t xml:space="preserve"> נקבעו בתיקון אמצעים לקבלת מידע על נכסי החייב מהם ניתן לגבות את החוב, וניתנה האפשרות להטיל מגבלות שונות </w:t>
      </w:r>
      <w:r w:rsidRPr="00A704C5">
        <w:rPr>
          <w:b w:val="0"/>
          <w:bCs w:val="0"/>
          <w:color w:val="auto"/>
          <w:sz w:val="24"/>
          <w:szCs w:val="24"/>
          <w:rtl/>
        </w:rPr>
        <w:lastRenderedPageBreak/>
        <w:t xml:space="preserve">על </w:t>
      </w:r>
      <w:r w:rsidRPr="00A704C5">
        <w:rPr>
          <w:rFonts w:hint="cs"/>
          <w:b w:val="0"/>
          <w:bCs w:val="0"/>
          <w:color w:val="auto"/>
          <w:sz w:val="24"/>
          <w:szCs w:val="24"/>
          <w:rtl/>
        </w:rPr>
        <w:t xml:space="preserve">חייבים, שפגיעתן קטנה מזו של מאסר. במסגרת תיקון 29 נקבעה </w:t>
      </w:r>
      <w:r w:rsidRPr="00A704C5">
        <w:rPr>
          <w:b w:val="0"/>
          <w:bCs w:val="0"/>
          <w:color w:val="auto"/>
          <w:sz w:val="24"/>
          <w:szCs w:val="24"/>
          <w:rtl/>
        </w:rPr>
        <w:t xml:space="preserve">הוראת שעה </w:t>
      </w:r>
      <w:r w:rsidRPr="00A704C5">
        <w:rPr>
          <w:rFonts w:hint="cs"/>
          <w:b w:val="0"/>
          <w:bCs w:val="0"/>
          <w:color w:val="auto"/>
          <w:sz w:val="24"/>
          <w:szCs w:val="24"/>
          <w:rtl/>
        </w:rPr>
        <w:t>לפיה</w:t>
      </w:r>
      <w:r w:rsidRPr="00A704C5">
        <w:rPr>
          <w:b w:val="0"/>
          <w:bCs w:val="0"/>
          <w:color w:val="auto"/>
          <w:sz w:val="24"/>
          <w:szCs w:val="24"/>
          <w:rtl/>
        </w:rPr>
        <w:t xml:space="preserve"> בתום שנתיים מיום כניסת התיקון לתוקף תבוטל </w:t>
      </w:r>
      <w:r w:rsidRPr="00A704C5">
        <w:rPr>
          <w:rFonts w:hint="cs"/>
          <w:b w:val="0"/>
          <w:bCs w:val="0"/>
          <w:color w:val="auto"/>
          <w:sz w:val="24"/>
          <w:szCs w:val="24"/>
          <w:rtl/>
        </w:rPr>
        <w:t xml:space="preserve">לחלוטין האפשרות לאסור חייב בהליכי ההוצאה לפועל, </w:t>
      </w:r>
      <w:r w:rsidRPr="00A704C5">
        <w:rPr>
          <w:b w:val="0"/>
          <w:bCs w:val="0"/>
          <w:color w:val="auto"/>
          <w:sz w:val="24"/>
          <w:szCs w:val="24"/>
          <w:rtl/>
        </w:rPr>
        <w:t>למשך שנתיים</w:t>
      </w:r>
      <w:r w:rsidRPr="00A704C5">
        <w:rPr>
          <w:rFonts w:hint="cs"/>
          <w:b w:val="0"/>
          <w:bCs w:val="0"/>
          <w:color w:val="auto"/>
          <w:sz w:val="24"/>
          <w:szCs w:val="24"/>
          <w:rtl/>
        </w:rPr>
        <w:t>, למעט מאסרים שיוטלו על חייבים במזונות</w:t>
      </w:r>
      <w:r w:rsidRPr="00A704C5">
        <w:rPr>
          <w:b w:val="0"/>
          <w:bCs w:val="0"/>
          <w:color w:val="auto"/>
          <w:sz w:val="24"/>
          <w:szCs w:val="24"/>
          <w:rtl/>
        </w:rPr>
        <w:t xml:space="preserve">. </w:t>
      </w:r>
      <w:r w:rsidRPr="00A704C5">
        <w:rPr>
          <w:rFonts w:hint="cs"/>
          <w:b w:val="0"/>
          <w:bCs w:val="0"/>
          <w:color w:val="auto"/>
          <w:sz w:val="24"/>
          <w:szCs w:val="24"/>
          <w:rtl/>
        </w:rPr>
        <w:t>זאת, על מנת לבחון את השפעת ביטול המאסרים על שיעורי הגבייה וה</w:t>
      </w:r>
      <w:r w:rsidRPr="00A704C5">
        <w:rPr>
          <w:b w:val="0"/>
          <w:bCs w:val="0"/>
          <w:color w:val="auto"/>
          <w:sz w:val="24"/>
          <w:szCs w:val="24"/>
          <w:rtl/>
        </w:rPr>
        <w:t xml:space="preserve">אם כלי האכיפה החדשים </w:t>
      </w:r>
      <w:r w:rsidRPr="00A704C5">
        <w:rPr>
          <w:rFonts w:hint="cs"/>
          <w:b w:val="0"/>
          <w:bCs w:val="0"/>
          <w:color w:val="auto"/>
          <w:sz w:val="24"/>
          <w:szCs w:val="24"/>
          <w:rtl/>
        </w:rPr>
        <w:t xml:space="preserve">יעילים ומספקים </w:t>
      </w:r>
      <w:r w:rsidRPr="00A704C5">
        <w:rPr>
          <w:b w:val="0"/>
          <w:bCs w:val="0"/>
          <w:color w:val="auto"/>
          <w:sz w:val="24"/>
          <w:szCs w:val="24"/>
          <w:rtl/>
        </w:rPr>
        <w:t xml:space="preserve">מענה הולם לגבייה, </w:t>
      </w:r>
      <w:r w:rsidRPr="00A704C5">
        <w:rPr>
          <w:rFonts w:hint="cs"/>
          <w:b w:val="0"/>
          <w:bCs w:val="0"/>
          <w:color w:val="auto"/>
          <w:sz w:val="24"/>
          <w:szCs w:val="24"/>
          <w:rtl/>
        </w:rPr>
        <w:t xml:space="preserve">באופן המאפשר לבטל כליל את </w:t>
      </w:r>
      <w:r w:rsidRPr="00A704C5">
        <w:rPr>
          <w:b w:val="0"/>
          <w:bCs w:val="0"/>
          <w:color w:val="auto"/>
          <w:sz w:val="24"/>
          <w:szCs w:val="24"/>
          <w:rtl/>
        </w:rPr>
        <w:t xml:space="preserve">השימוש במאסרים ככלי לגבייה אזרחית. </w:t>
      </w:r>
      <w:r w:rsidRPr="00A704C5">
        <w:rPr>
          <w:rFonts w:hint="cs"/>
          <w:b w:val="0"/>
          <w:bCs w:val="0"/>
          <w:color w:val="auto"/>
          <w:sz w:val="24"/>
          <w:szCs w:val="24"/>
          <w:rtl/>
        </w:rPr>
        <w:t xml:space="preserve">הוראת השעה הוארכה, והיא </w:t>
      </w:r>
      <w:r w:rsidRPr="00A704C5">
        <w:rPr>
          <w:b w:val="0"/>
          <w:bCs w:val="0"/>
          <w:color w:val="auto"/>
          <w:sz w:val="24"/>
          <w:szCs w:val="24"/>
          <w:rtl/>
        </w:rPr>
        <w:t>עומדת לפקוע ביום</w:t>
      </w:r>
      <w:r w:rsidRPr="00A704C5">
        <w:rPr>
          <w:rFonts w:hint="cs"/>
          <w:b w:val="0"/>
          <w:bCs w:val="0"/>
          <w:color w:val="auto"/>
          <w:sz w:val="24"/>
          <w:szCs w:val="24"/>
          <w:rtl/>
        </w:rPr>
        <w:t xml:space="preserve"> 15 במאי 2014.</w:t>
      </w:r>
    </w:p>
    <w:p w:rsidR="006A740A" w:rsidRPr="00B036F2" w:rsidRDefault="006A740A" w:rsidP="00435F7D">
      <w:pPr>
        <w:pStyle w:val="HesberWriters"/>
        <w:spacing w:before="0" w:after="120"/>
        <w:ind w:left="0"/>
        <w:jc w:val="both"/>
        <w:rPr>
          <w:b w:val="0"/>
          <w:bCs w:val="0"/>
          <w:color w:val="auto"/>
          <w:sz w:val="24"/>
          <w:szCs w:val="24"/>
          <w:rtl/>
        </w:rPr>
      </w:pPr>
      <w:r w:rsidRPr="00B036F2">
        <w:rPr>
          <w:rFonts w:hint="cs"/>
          <w:b w:val="0"/>
          <w:bCs w:val="0"/>
          <w:color w:val="auto"/>
          <w:sz w:val="24"/>
          <w:szCs w:val="24"/>
          <w:rtl/>
        </w:rPr>
        <w:t>בדברי ההסבר להצעות החוק נטען, כי הנתונים שנמסרו על ידי רשות האכיפה והגבייה בתקופת הוראת השעה מלמדים, שלמרות ביטול המאסרים חלה עלייה בשיעור הגבייה של מערכת ההוצאה לפועל. לאור האמור, הן הצעת החוק הממשלתית והן הצעת החוק של ח"כ מ</w:t>
      </w:r>
      <w:r w:rsidR="00E26798">
        <w:rPr>
          <w:rFonts w:hint="cs"/>
          <w:b w:val="0"/>
          <w:bCs w:val="0"/>
          <w:color w:val="auto"/>
          <w:sz w:val="24"/>
          <w:szCs w:val="24"/>
          <w:rtl/>
        </w:rPr>
        <w:t>י</w:t>
      </w:r>
      <w:r w:rsidRPr="00B036F2">
        <w:rPr>
          <w:rFonts w:hint="cs"/>
          <w:b w:val="0"/>
          <w:bCs w:val="0"/>
          <w:color w:val="auto"/>
          <w:sz w:val="24"/>
          <w:szCs w:val="24"/>
          <w:rtl/>
        </w:rPr>
        <w:t xml:space="preserve">רב מיכאלי ו-77 ח"כים נוספים מבקשות לבטל את המאסר כאמצעי לגביית חובות בהוצאה לפועל, פרט למאסר בשל חוב מזונות. לצד זאת, הצעת החוק הממשלתית מציעה להגדיל את אמצעי הגביה שעומדים לרשות הזוכה, במיוחד לצורך הטיפול באותה קבוצה של חייבים בעלי יכולת, שאינה משלמת על אף אמצעי האכיפה שנוספו בתיקון 29. </w:t>
      </w:r>
    </w:p>
    <w:p w:rsidR="006A740A" w:rsidRDefault="006A740A" w:rsidP="00435F7D">
      <w:pPr>
        <w:spacing w:after="120"/>
        <w:rPr>
          <w:rFonts w:cs="David"/>
          <w:sz w:val="24"/>
          <w:rtl/>
        </w:rPr>
      </w:pPr>
      <w:r>
        <w:rPr>
          <w:rFonts w:cs="David" w:hint="cs"/>
          <w:sz w:val="24"/>
          <w:rtl/>
        </w:rPr>
        <w:t xml:space="preserve">להלן עיקרי ההסדרים המוצעים בהצעת החוק הממשלתית ובהצעת החוק הפרטית: </w:t>
      </w:r>
    </w:p>
    <w:p w:rsidR="006A740A" w:rsidRDefault="006A740A" w:rsidP="00435F7D">
      <w:pPr>
        <w:spacing w:after="120"/>
        <w:rPr>
          <w:rFonts w:cs="David"/>
          <w:sz w:val="24"/>
          <w:rtl/>
        </w:rPr>
      </w:pPr>
    </w:p>
    <w:p w:rsidR="006A740A" w:rsidRPr="006C5F0E" w:rsidRDefault="006A740A" w:rsidP="006A740A">
      <w:pPr>
        <w:shd w:val="clear" w:color="auto" w:fill="BFBFBF" w:themeFill="background1" w:themeFillShade="BF"/>
        <w:spacing w:after="120" w:line="240" w:lineRule="auto"/>
        <w:jc w:val="center"/>
        <w:rPr>
          <w:rFonts w:cs="David"/>
          <w:b/>
          <w:bCs/>
          <w:sz w:val="24"/>
          <w:rtl/>
        </w:rPr>
      </w:pPr>
      <w:r w:rsidRPr="006C5F0E">
        <w:rPr>
          <w:rFonts w:cs="David" w:hint="cs"/>
          <w:b/>
          <w:bCs/>
          <w:sz w:val="24"/>
          <w:rtl/>
        </w:rPr>
        <w:t>עיקרי הצעת החוק הממשלתית והצעת החוק הפרטית</w:t>
      </w:r>
    </w:p>
    <w:p w:rsidR="006A740A" w:rsidRPr="00573524" w:rsidRDefault="006A740A" w:rsidP="00435F7D">
      <w:pPr>
        <w:spacing w:after="120" w:line="240" w:lineRule="auto"/>
        <w:rPr>
          <w:rFonts w:cs="David"/>
          <w:sz w:val="24"/>
          <w:u w:val="single"/>
          <w:rtl/>
        </w:rPr>
      </w:pPr>
      <w:r w:rsidRPr="00573524">
        <w:rPr>
          <w:rFonts w:cs="David" w:hint="cs"/>
          <w:sz w:val="24"/>
          <w:rtl/>
        </w:rPr>
        <w:t xml:space="preserve">(1) </w:t>
      </w:r>
      <w:r w:rsidRPr="006C5F0E">
        <w:rPr>
          <w:rFonts w:cs="David" w:hint="cs"/>
          <w:b/>
          <w:bCs/>
          <w:sz w:val="24"/>
          <w:u w:val="single"/>
          <w:rtl/>
        </w:rPr>
        <w:t>ביטול מאסר כאמצעי לגביית חובות בחוב שאינו חוב מזונות וההתאמות הנדרשות</w:t>
      </w:r>
    </w:p>
    <w:p w:rsidR="006A740A" w:rsidRPr="001E77D8" w:rsidRDefault="006A740A" w:rsidP="00435F7D">
      <w:pPr>
        <w:spacing w:after="120"/>
        <w:rPr>
          <w:rFonts w:cs="David"/>
          <w:sz w:val="24"/>
          <w:rtl/>
        </w:rPr>
      </w:pPr>
      <w:r w:rsidRPr="001E77D8">
        <w:rPr>
          <w:rFonts w:cs="David" w:hint="cs"/>
          <w:sz w:val="24"/>
          <w:rtl/>
        </w:rPr>
        <w:t xml:space="preserve">מכוח הנימוקים שהוזכרו לעיל, שתי הצעות החוק </w:t>
      </w:r>
      <w:r w:rsidRPr="001E77D8">
        <w:rPr>
          <w:rFonts w:cs="David"/>
          <w:sz w:val="24"/>
          <w:rtl/>
        </w:rPr>
        <w:t>–</w:t>
      </w:r>
      <w:r w:rsidRPr="001E77D8">
        <w:rPr>
          <w:rFonts w:cs="David" w:hint="cs"/>
          <w:sz w:val="24"/>
          <w:rtl/>
        </w:rPr>
        <w:t xml:space="preserve"> הממשלתית והפרטית </w:t>
      </w:r>
      <w:r w:rsidRPr="001E77D8">
        <w:rPr>
          <w:rFonts w:cs="David"/>
          <w:sz w:val="24"/>
          <w:rtl/>
        </w:rPr>
        <w:t>–</w:t>
      </w:r>
      <w:r w:rsidRPr="001E77D8">
        <w:rPr>
          <w:rFonts w:cs="David" w:hint="cs"/>
          <w:sz w:val="24"/>
          <w:rtl/>
        </w:rPr>
        <w:t xml:space="preserve"> מציעות לבטל את האפשרות להשתמש במאסר כאמצעי לגביית חובות, וזאת, למעט חוב מזונות. </w:t>
      </w:r>
    </w:p>
    <w:p w:rsidR="006A740A" w:rsidRPr="001E77D8" w:rsidRDefault="006A740A" w:rsidP="00435F7D">
      <w:pPr>
        <w:spacing w:after="120"/>
        <w:rPr>
          <w:rFonts w:cs="David"/>
          <w:sz w:val="24"/>
          <w:rtl/>
        </w:rPr>
      </w:pPr>
      <w:r w:rsidRPr="001E77D8">
        <w:rPr>
          <w:rFonts w:cs="David" w:hint="cs"/>
          <w:sz w:val="24"/>
          <w:rtl/>
        </w:rPr>
        <w:t>ביטול מאסר חייבים נעשה באמצעות מחיקתו של סעיף 70 לחוק שמסדיר את הנושא</w:t>
      </w:r>
      <w:r w:rsidRPr="001E77D8">
        <w:rPr>
          <w:rStyle w:val="a6"/>
          <w:rFonts w:cs="David"/>
          <w:sz w:val="20"/>
          <w:szCs w:val="20"/>
          <w:rtl/>
        </w:rPr>
        <w:footnoteReference w:id="2"/>
      </w:r>
      <w:r w:rsidRPr="001E77D8">
        <w:rPr>
          <w:rFonts w:cs="David" w:hint="cs"/>
          <w:sz w:val="24"/>
          <w:rtl/>
        </w:rPr>
        <w:t xml:space="preserve">, מחיקת </w:t>
      </w:r>
      <w:proofErr w:type="spellStart"/>
      <w:r w:rsidRPr="001E77D8">
        <w:rPr>
          <w:rFonts w:cs="David" w:hint="cs"/>
          <w:sz w:val="24"/>
          <w:rtl/>
        </w:rPr>
        <w:t>איזכורים</w:t>
      </w:r>
      <w:proofErr w:type="spellEnd"/>
      <w:r w:rsidRPr="001E77D8">
        <w:rPr>
          <w:rFonts w:cs="David" w:hint="cs"/>
          <w:sz w:val="24"/>
          <w:rtl/>
        </w:rPr>
        <w:t xml:space="preserve"> של סעיף 70</w:t>
      </w:r>
      <w:r w:rsidRPr="001E77D8">
        <w:rPr>
          <w:rStyle w:val="a6"/>
          <w:rFonts w:cs="David"/>
          <w:sz w:val="20"/>
          <w:szCs w:val="20"/>
          <w:rtl/>
        </w:rPr>
        <w:footnoteReference w:id="3"/>
      </w:r>
      <w:r w:rsidRPr="001E77D8">
        <w:rPr>
          <w:rFonts w:cs="David" w:hint="cs"/>
          <w:sz w:val="24"/>
          <w:rtl/>
        </w:rPr>
        <w:t xml:space="preserve"> או של אפשרות המאסר בסעיפים אחרים בחוק</w:t>
      </w:r>
      <w:r w:rsidRPr="001E77D8">
        <w:rPr>
          <w:rStyle w:val="a6"/>
          <w:rFonts w:cs="David"/>
          <w:sz w:val="20"/>
          <w:szCs w:val="20"/>
          <w:rtl/>
        </w:rPr>
        <w:footnoteReference w:id="4"/>
      </w:r>
      <w:r w:rsidRPr="001E77D8">
        <w:rPr>
          <w:rFonts w:cs="David" w:hint="cs"/>
          <w:sz w:val="24"/>
          <w:rtl/>
        </w:rPr>
        <w:t>, וכן מחיקתו של סעיף בפקודת פשיטת הרגל שמבוסס על סעיף 70 האמור</w:t>
      </w:r>
      <w:r w:rsidRPr="001E77D8">
        <w:rPr>
          <w:rStyle w:val="a6"/>
          <w:rFonts w:cs="David"/>
          <w:sz w:val="20"/>
          <w:szCs w:val="20"/>
          <w:rtl/>
        </w:rPr>
        <w:footnoteReference w:id="5"/>
      </w:r>
      <w:r w:rsidRPr="001E77D8">
        <w:rPr>
          <w:rFonts w:cs="David" w:hint="cs"/>
          <w:sz w:val="24"/>
          <w:rtl/>
        </w:rPr>
        <w:t>.</w:t>
      </w:r>
    </w:p>
    <w:p w:rsidR="00430276" w:rsidRDefault="00430276" w:rsidP="00430276">
      <w:pPr>
        <w:spacing w:after="120"/>
        <w:rPr>
          <w:rFonts w:cs="David"/>
          <w:sz w:val="24"/>
          <w:rtl/>
        </w:rPr>
      </w:pPr>
      <w:r>
        <w:rPr>
          <w:rFonts w:cs="David" w:hint="cs"/>
          <w:sz w:val="24"/>
          <w:u w:val="single"/>
          <w:rtl/>
        </w:rPr>
        <w:t>נקודות לדיון</w:t>
      </w:r>
      <w:r w:rsidR="006A740A" w:rsidRPr="001E77D8">
        <w:rPr>
          <w:rFonts w:cs="David" w:hint="cs"/>
          <w:sz w:val="24"/>
          <w:rtl/>
        </w:rPr>
        <w:t xml:space="preserve">: </w:t>
      </w:r>
    </w:p>
    <w:p w:rsidR="006A740A" w:rsidRPr="001E77D8" w:rsidRDefault="00430276" w:rsidP="00F74217">
      <w:pPr>
        <w:spacing w:after="120"/>
        <w:rPr>
          <w:rFonts w:cs="David"/>
          <w:sz w:val="24"/>
          <w:rtl/>
        </w:rPr>
      </w:pPr>
      <w:r w:rsidRPr="00430276">
        <w:rPr>
          <w:rFonts w:cs="David" w:hint="cs"/>
          <w:b/>
          <w:bCs/>
          <w:sz w:val="24"/>
          <w:rtl/>
        </w:rPr>
        <w:t xml:space="preserve">ביטול </w:t>
      </w:r>
      <w:r w:rsidR="00F74217">
        <w:rPr>
          <w:rFonts w:cs="David" w:hint="cs"/>
          <w:b/>
          <w:bCs/>
          <w:sz w:val="24"/>
          <w:rtl/>
        </w:rPr>
        <w:t xml:space="preserve">האפשרות למאסר חייבים </w:t>
      </w:r>
      <w:r w:rsidRPr="00430276">
        <w:rPr>
          <w:rFonts w:cs="David" w:hint="cs"/>
          <w:b/>
          <w:bCs/>
          <w:sz w:val="24"/>
          <w:rtl/>
        </w:rPr>
        <w:t>גם מפקודת המסים (גביה)</w:t>
      </w:r>
      <w:r w:rsidRPr="00430276">
        <w:rPr>
          <w:rFonts w:cs="David" w:hint="cs"/>
          <w:sz w:val="24"/>
          <w:rtl/>
        </w:rPr>
        <w:t xml:space="preserve"> </w:t>
      </w:r>
      <w:r w:rsidRPr="00430276">
        <w:rPr>
          <w:rFonts w:cs="David"/>
          <w:sz w:val="24"/>
          <w:rtl/>
        </w:rPr>
        <w:t>–</w:t>
      </w:r>
      <w:r>
        <w:rPr>
          <w:rFonts w:cs="David" w:hint="cs"/>
          <w:b/>
          <w:bCs/>
          <w:sz w:val="24"/>
          <w:rtl/>
        </w:rPr>
        <w:t xml:space="preserve"> </w:t>
      </w:r>
      <w:r w:rsidR="006A740A" w:rsidRPr="00430276">
        <w:rPr>
          <w:rFonts w:cs="David" w:hint="cs"/>
          <w:sz w:val="24"/>
          <w:u w:val="single"/>
          <w:rtl/>
        </w:rPr>
        <w:t xml:space="preserve">הנימוקים המצדיקים את ביטול האפשרות לעשות במאסר שימוש כאמצעי לגביית חובות בחוב אזרחי רגיל, מצדיקים </w:t>
      </w:r>
      <w:r w:rsidR="006A740A" w:rsidRPr="00430276">
        <w:rPr>
          <w:rFonts w:cs="David"/>
          <w:sz w:val="24"/>
          <w:u w:val="single"/>
          <w:rtl/>
        </w:rPr>
        <w:t>–</w:t>
      </w:r>
      <w:r w:rsidR="006A740A" w:rsidRPr="00430276">
        <w:rPr>
          <w:rFonts w:cs="David" w:hint="cs"/>
          <w:sz w:val="24"/>
          <w:u w:val="single"/>
          <w:rtl/>
        </w:rPr>
        <w:t xml:space="preserve"> לפחות באותה מידה, אם לא למעלה מכך </w:t>
      </w:r>
      <w:r w:rsidR="006A740A" w:rsidRPr="00430276">
        <w:rPr>
          <w:rFonts w:cs="David"/>
          <w:sz w:val="24"/>
          <w:u w:val="single"/>
          <w:rtl/>
        </w:rPr>
        <w:t>–</w:t>
      </w:r>
      <w:r w:rsidR="006A740A" w:rsidRPr="00430276">
        <w:rPr>
          <w:rFonts w:cs="David" w:hint="cs"/>
          <w:sz w:val="24"/>
          <w:u w:val="single"/>
          <w:rtl/>
        </w:rPr>
        <w:t xml:space="preserve"> ביטול אפשרות זו גם מסעיף 10 לפקודת המסים (גביה), מקום שמדובר בחוב שהאזרח חייב לרשות שלטונית</w:t>
      </w:r>
      <w:r w:rsidR="006A740A" w:rsidRPr="001E77D8">
        <w:rPr>
          <w:rFonts w:cs="David" w:hint="cs"/>
          <w:sz w:val="24"/>
          <w:rtl/>
        </w:rPr>
        <w:t xml:space="preserve">. </w:t>
      </w:r>
    </w:p>
    <w:p w:rsidR="006A740A" w:rsidRDefault="006A740A" w:rsidP="00435F7D">
      <w:pPr>
        <w:spacing w:after="120"/>
        <w:rPr>
          <w:rFonts w:cs="David"/>
          <w:sz w:val="24"/>
          <w:rtl/>
        </w:rPr>
      </w:pPr>
    </w:p>
    <w:p w:rsidR="00F74217" w:rsidRDefault="00F74217" w:rsidP="00435F7D">
      <w:pPr>
        <w:spacing w:after="120"/>
        <w:rPr>
          <w:rFonts w:cs="David"/>
          <w:sz w:val="24"/>
          <w:rtl/>
        </w:rPr>
      </w:pPr>
    </w:p>
    <w:p w:rsidR="00F74217" w:rsidRPr="00492CF4" w:rsidRDefault="00F74217" w:rsidP="00435F7D">
      <w:pPr>
        <w:spacing w:after="120"/>
        <w:rPr>
          <w:rFonts w:cs="David"/>
          <w:sz w:val="24"/>
          <w:rtl/>
        </w:rPr>
      </w:pPr>
    </w:p>
    <w:p w:rsidR="006A740A" w:rsidRPr="00492CF4" w:rsidRDefault="006A740A" w:rsidP="00435F7D">
      <w:pPr>
        <w:spacing w:after="120" w:line="240" w:lineRule="auto"/>
        <w:rPr>
          <w:rFonts w:cs="David"/>
          <w:sz w:val="24"/>
          <w:rtl/>
        </w:rPr>
      </w:pPr>
      <w:r w:rsidRPr="00492CF4">
        <w:rPr>
          <w:rFonts w:cs="David" w:hint="cs"/>
          <w:sz w:val="24"/>
          <w:rtl/>
        </w:rPr>
        <w:lastRenderedPageBreak/>
        <w:t xml:space="preserve">(2) </w:t>
      </w:r>
      <w:r w:rsidRPr="006C5F0E">
        <w:rPr>
          <w:rFonts w:cs="David" w:hint="cs"/>
          <w:b/>
          <w:bCs/>
          <w:sz w:val="24"/>
          <w:u w:val="single"/>
          <w:rtl/>
        </w:rPr>
        <w:t>עדכון על כניסת החייב לישראל</w:t>
      </w:r>
      <w:r w:rsidRPr="00492CF4">
        <w:rPr>
          <w:rFonts w:cs="David" w:hint="cs"/>
          <w:sz w:val="24"/>
          <w:u w:val="single"/>
          <w:rtl/>
        </w:rPr>
        <w:t xml:space="preserve"> </w:t>
      </w:r>
    </w:p>
    <w:p w:rsidR="006A740A" w:rsidRPr="00492CF4" w:rsidRDefault="006A740A" w:rsidP="00435F7D">
      <w:pPr>
        <w:spacing w:after="120"/>
        <w:rPr>
          <w:rFonts w:cs="David"/>
          <w:sz w:val="24"/>
          <w:rtl/>
        </w:rPr>
      </w:pPr>
      <w:r w:rsidRPr="00492CF4">
        <w:rPr>
          <w:rFonts w:cs="David" w:hint="cs"/>
          <w:sz w:val="24"/>
          <w:rtl/>
        </w:rPr>
        <w:t>הצעת החוק הממשלתית מבקשת לערוך תיקונים שיסמיכו את רשם ההוצאה לפועל לקבל עדכון ממרשם האוכלוסין על כניסתו של החייב לישראל, וזאת בשני הקשרים:</w:t>
      </w:r>
    </w:p>
    <w:p w:rsidR="006A740A" w:rsidRPr="00492CF4" w:rsidRDefault="006A740A" w:rsidP="00435F7D">
      <w:pPr>
        <w:spacing w:after="120"/>
        <w:rPr>
          <w:rFonts w:cs="David"/>
          <w:sz w:val="24"/>
          <w:rtl/>
        </w:rPr>
      </w:pPr>
      <w:r w:rsidRPr="00492CF4">
        <w:rPr>
          <w:rFonts w:cs="David" w:hint="cs"/>
          <w:sz w:val="24"/>
          <w:rtl/>
        </w:rPr>
        <w:t xml:space="preserve">א. </w:t>
      </w:r>
      <w:r w:rsidRPr="00492CF4">
        <w:rPr>
          <w:rFonts w:cs="David" w:hint="cs"/>
          <w:b/>
          <w:bCs/>
          <w:sz w:val="24"/>
          <w:rtl/>
        </w:rPr>
        <w:t>המצאת אזהרה</w:t>
      </w:r>
      <w:r w:rsidRPr="00492CF4">
        <w:rPr>
          <w:rFonts w:cs="David" w:hint="cs"/>
          <w:sz w:val="24"/>
          <w:rtl/>
        </w:rPr>
        <w:t xml:space="preserve"> </w:t>
      </w:r>
      <w:r w:rsidRPr="00492CF4">
        <w:rPr>
          <w:rFonts w:cs="David"/>
          <w:sz w:val="24"/>
          <w:rtl/>
        </w:rPr>
        <w:t>–</w:t>
      </w:r>
      <w:r w:rsidRPr="00492CF4">
        <w:rPr>
          <w:rFonts w:cs="David" w:hint="cs"/>
          <w:sz w:val="24"/>
          <w:rtl/>
        </w:rPr>
        <w:t xml:space="preserve"> כיום יש לרשם ההוצאה לפועל סמכות להורות למרשם האוכלוסין למסור מידע בדבר יציאות החייב מישראל והכניסות אליה, אם סבר כי לא ניתן להמציא את האזהרה לחייב מאחר שנראה כי החייב נמצא מחוץ לישראל. המידע המתקבל ממרשם האוכלוסין נמסר לרשם ההוצאה לפועל בלבד והוא רשאי להודיע לזוכה אם החייב נמצא בארץ, ואם שוכנע שיש בכך צורך גם למסור לזוכה מידע בדבר יציאותיו של החייב מן הארץ וכניסותיו אליה. מידע כאמור אינו כולל מידע בזמן אמת על כניסתו לארץ של חייב ששהה מחוץ לישראל, והצעת החוק הממשלתית (סעיף 2 להצעת החוק)</w:t>
      </w:r>
      <w:r w:rsidRPr="00492CF4">
        <w:rPr>
          <w:rStyle w:val="a6"/>
          <w:rFonts w:cs="David"/>
          <w:sz w:val="20"/>
          <w:szCs w:val="20"/>
          <w:rtl/>
        </w:rPr>
        <w:footnoteReference w:id="6"/>
      </w:r>
      <w:r w:rsidRPr="00492CF4">
        <w:rPr>
          <w:rFonts w:cs="David" w:hint="cs"/>
          <w:sz w:val="24"/>
          <w:rtl/>
        </w:rPr>
        <w:t xml:space="preserve"> מבקשת לקבוע כי רשם ההוצאה לפועל יוכל לקבל עדכון כאשר החייב שב לישראל, ואם הוא שוכנע שיש בכך צורך להעביר את העדכון גם לזוכה כדי שתתאפשר המצאת האזהרה.</w:t>
      </w:r>
    </w:p>
    <w:p w:rsidR="006A740A" w:rsidRPr="00AB028A" w:rsidRDefault="006A740A" w:rsidP="00435F7D">
      <w:pPr>
        <w:spacing w:after="120"/>
        <w:rPr>
          <w:rFonts w:cs="David"/>
          <w:sz w:val="24"/>
          <w:rtl/>
        </w:rPr>
      </w:pPr>
      <w:r w:rsidRPr="00492CF4">
        <w:rPr>
          <w:rFonts w:cs="David" w:hint="cs"/>
          <w:sz w:val="24"/>
          <w:rtl/>
        </w:rPr>
        <w:t xml:space="preserve">ב. </w:t>
      </w:r>
      <w:r w:rsidRPr="00492CF4">
        <w:rPr>
          <w:rFonts w:cs="David" w:hint="cs"/>
          <w:b/>
          <w:bCs/>
          <w:sz w:val="24"/>
          <w:rtl/>
        </w:rPr>
        <w:t>נקיטת הליכי גבייה</w:t>
      </w:r>
      <w:r w:rsidRPr="00492CF4">
        <w:rPr>
          <w:rFonts w:cs="David" w:hint="cs"/>
          <w:sz w:val="24"/>
          <w:rtl/>
        </w:rPr>
        <w:t xml:space="preserve"> </w:t>
      </w:r>
      <w:r w:rsidRPr="00492CF4">
        <w:rPr>
          <w:rFonts w:cs="David"/>
          <w:sz w:val="24"/>
          <w:rtl/>
        </w:rPr>
        <w:t>–</w:t>
      </w:r>
      <w:r w:rsidRPr="00492CF4">
        <w:rPr>
          <w:rFonts w:cs="David" w:hint="cs"/>
          <w:sz w:val="24"/>
          <w:rtl/>
        </w:rPr>
        <w:t xml:space="preserve"> בהקשר דומה, מבקשת הצעת החוק </w:t>
      </w:r>
      <w:r>
        <w:rPr>
          <w:rFonts w:cs="David" w:hint="cs"/>
          <w:sz w:val="24"/>
          <w:rtl/>
        </w:rPr>
        <w:t xml:space="preserve">הממשלתית </w:t>
      </w:r>
      <w:r w:rsidRPr="00492CF4">
        <w:rPr>
          <w:rFonts w:cs="David" w:hint="cs"/>
          <w:sz w:val="24"/>
          <w:rtl/>
        </w:rPr>
        <w:t>(סעיף 4 להצעת החוק)</w:t>
      </w:r>
      <w:r w:rsidRPr="00492CF4">
        <w:rPr>
          <w:rStyle w:val="a6"/>
          <w:rFonts w:cs="David"/>
          <w:sz w:val="20"/>
          <w:szCs w:val="20"/>
          <w:rtl/>
        </w:rPr>
        <w:footnoteReference w:id="7"/>
      </w:r>
      <w:r w:rsidRPr="00492CF4">
        <w:rPr>
          <w:rFonts w:cs="David" w:hint="cs"/>
          <w:sz w:val="24"/>
          <w:rtl/>
        </w:rPr>
        <w:t xml:space="preserve"> להסמיך את רשם ההוצאה לפועל להורות למרשם האוכלוסין למסור עדכון על כניסתו של חייב לארץ, אם שוכנע </w:t>
      </w:r>
      <w:r w:rsidRPr="00492CF4">
        <w:rPr>
          <w:rFonts w:cs="David"/>
          <w:sz w:val="24"/>
          <w:rtl/>
        </w:rPr>
        <w:t>–</w:t>
      </w:r>
      <w:r w:rsidRPr="00492CF4">
        <w:rPr>
          <w:rFonts w:cs="David" w:hint="cs"/>
          <w:sz w:val="24"/>
          <w:rtl/>
        </w:rPr>
        <w:t xml:space="preserve"> על יסוד בקשת זוכה </w:t>
      </w:r>
      <w:r w:rsidRPr="00492CF4">
        <w:rPr>
          <w:rFonts w:cs="David"/>
          <w:sz w:val="24"/>
          <w:rtl/>
        </w:rPr>
        <w:t>–</w:t>
      </w:r>
      <w:r w:rsidRPr="00492CF4">
        <w:rPr>
          <w:rFonts w:cs="David" w:hint="cs"/>
          <w:sz w:val="24"/>
          <w:rtl/>
        </w:rPr>
        <w:t xml:space="preserve"> כי החייב נמצא מחוץ לישראל ועקב כך הזוכה מתקשה לנקוט נגדו הליכי גבייה. כדי לצמצם את הפגיעה בפרטיות החייב ולהבטיח כי המידע יימסר רק במקרים המתאימים, מוצע לקבוע כי הרשם יהיה מוסמך להורות על מסירת המידע רק אם חלפו 45 ימים ממועד המצאת האזהרה לחייב, והחייב הוא בעל יכולת המשתמט מתשלום חובותיו או </w:t>
      </w:r>
      <w:r w:rsidRPr="00AB028A">
        <w:rPr>
          <w:rFonts w:cs="David" w:hint="cs"/>
          <w:sz w:val="24"/>
          <w:rtl/>
        </w:rPr>
        <w:t>שרואים אותו ככזה לפי חזקות שונות שבחוק</w:t>
      </w:r>
      <w:r w:rsidRPr="00AB028A">
        <w:rPr>
          <w:rStyle w:val="a6"/>
          <w:rFonts w:cs="David"/>
          <w:sz w:val="20"/>
          <w:szCs w:val="20"/>
          <w:rtl/>
        </w:rPr>
        <w:footnoteReference w:id="8"/>
      </w:r>
      <w:r w:rsidRPr="00AB028A">
        <w:rPr>
          <w:rFonts w:cs="David" w:hint="cs"/>
          <w:sz w:val="24"/>
          <w:rtl/>
        </w:rPr>
        <w:t xml:space="preserve">. </w:t>
      </w:r>
    </w:p>
    <w:p w:rsidR="006A740A" w:rsidRPr="00AB028A" w:rsidRDefault="006A740A" w:rsidP="00435F7D">
      <w:pPr>
        <w:spacing w:after="120"/>
        <w:rPr>
          <w:rFonts w:cs="David"/>
          <w:sz w:val="24"/>
          <w:rtl/>
        </w:rPr>
      </w:pPr>
    </w:p>
    <w:p w:rsidR="006A740A" w:rsidRPr="00AB028A" w:rsidRDefault="006A740A" w:rsidP="00435F7D">
      <w:pPr>
        <w:spacing w:after="120" w:line="240" w:lineRule="auto"/>
        <w:rPr>
          <w:rFonts w:cs="David"/>
          <w:sz w:val="24"/>
          <w:u w:val="single"/>
          <w:rtl/>
        </w:rPr>
      </w:pPr>
      <w:r w:rsidRPr="00AB028A">
        <w:rPr>
          <w:rFonts w:cs="David" w:hint="cs"/>
          <w:sz w:val="24"/>
          <w:rtl/>
        </w:rPr>
        <w:t xml:space="preserve">(3) </w:t>
      </w:r>
      <w:r w:rsidRPr="006C5F0E">
        <w:rPr>
          <w:rFonts w:cs="David" w:hint="cs"/>
          <w:b/>
          <w:bCs/>
          <w:sz w:val="24"/>
          <w:u w:val="single"/>
          <w:rtl/>
        </w:rPr>
        <w:t>קבלת מידע על הטלפונים של החייב</w:t>
      </w:r>
    </w:p>
    <w:p w:rsidR="006A740A" w:rsidRPr="00AB028A" w:rsidRDefault="006A740A" w:rsidP="00435F7D">
      <w:pPr>
        <w:spacing w:after="120"/>
        <w:rPr>
          <w:rFonts w:cs="David"/>
          <w:sz w:val="24"/>
          <w:rtl/>
        </w:rPr>
      </w:pPr>
      <w:r w:rsidRPr="00AB028A">
        <w:rPr>
          <w:rFonts w:cs="David" w:hint="cs"/>
          <w:sz w:val="24"/>
          <w:rtl/>
        </w:rPr>
        <w:t xml:space="preserve">כיום, מוסמך רשם ההוצאה לפועל </w:t>
      </w:r>
      <w:r w:rsidRPr="00AB028A">
        <w:rPr>
          <w:rFonts w:cs="David"/>
          <w:sz w:val="24"/>
          <w:rtl/>
        </w:rPr>
        <w:t>–</w:t>
      </w:r>
      <w:r w:rsidRPr="00AB028A">
        <w:rPr>
          <w:rFonts w:cs="David" w:hint="cs"/>
          <w:sz w:val="24"/>
          <w:rtl/>
        </w:rPr>
        <w:t xml:space="preserve"> ובהקשרים מסוימים גם מנהל לשכת ההוצאה לפועל </w:t>
      </w:r>
      <w:r w:rsidRPr="00AB028A">
        <w:rPr>
          <w:rFonts w:cs="David"/>
          <w:sz w:val="24"/>
          <w:rtl/>
        </w:rPr>
        <w:t>–</w:t>
      </w:r>
      <w:r w:rsidRPr="00AB028A">
        <w:rPr>
          <w:rFonts w:cs="David" w:hint="cs"/>
          <w:sz w:val="24"/>
          <w:rtl/>
        </w:rPr>
        <w:t xml:space="preserve"> להורות לגופים שונים למסור לו סוגים שונים של מידע אודות החייב. הצעת החוק הממשלתית (סעיף 3 להצעת החוק) מבקשת להסמיך את מנהל מערכת ההוצאה לפועל ואת רשם ההוצאה לפועל לצוות על החברות המספקות שירותים טלפוניים </w:t>
      </w:r>
      <w:r w:rsidRPr="00AB028A">
        <w:rPr>
          <w:rFonts w:cs="David"/>
          <w:sz w:val="24"/>
          <w:rtl/>
        </w:rPr>
        <w:t>–</w:t>
      </w:r>
      <w:r w:rsidRPr="00AB028A">
        <w:rPr>
          <w:rFonts w:cs="David" w:hint="cs"/>
          <w:sz w:val="24"/>
          <w:rtl/>
        </w:rPr>
        <w:t xml:space="preserve"> נייחים או ניידים </w:t>
      </w:r>
      <w:r w:rsidRPr="00AB028A">
        <w:rPr>
          <w:rFonts w:cs="David"/>
          <w:sz w:val="24"/>
          <w:rtl/>
        </w:rPr>
        <w:t>–</w:t>
      </w:r>
      <w:r w:rsidRPr="00AB028A">
        <w:rPr>
          <w:rFonts w:cs="David" w:hint="cs"/>
          <w:sz w:val="24"/>
          <w:rtl/>
        </w:rPr>
        <w:t xml:space="preserve"> למסור להם את מספרי הטלפון הנייח או הנייד של החייב. מספרי הטלפון לא יועברו לזוכה וישמשו את עובדי מערכת ההוצאה לפועל לשם יצירת קשר עם החייב במהלך ניהול תיק ההוצאה לפועל. זאת מתוך הבנה שיצירת קשר עם החייב במהלך ניהול התיק ויידועו על הליכי ההוצאה לפועל המתנהלים נגדו עשויה לסייע בצמצום חסמים העומדים בפני רבים מחייבי ההוצאה לפועל, ובייחוד בפני חייבים שאינם מכירים את הליך ההוצאה לפועל או אינם יודעים שנפתח נגדם תיק. הצעת החוק מבהירה שאין ביידוע טלפוני כדי לשמש כתחליף לחובה על המצאת אזהרה לחייב.</w:t>
      </w:r>
    </w:p>
    <w:p w:rsidR="006A740A" w:rsidRPr="00AB028A" w:rsidRDefault="006A740A" w:rsidP="00435F7D">
      <w:pPr>
        <w:spacing w:after="120"/>
        <w:rPr>
          <w:rFonts w:cs="David"/>
          <w:sz w:val="24"/>
          <w:rtl/>
        </w:rPr>
      </w:pPr>
      <w:r w:rsidRPr="00AB028A">
        <w:rPr>
          <w:rFonts w:cs="David" w:hint="cs"/>
          <w:sz w:val="24"/>
          <w:rtl/>
        </w:rPr>
        <w:t>לשם שמירה על פרטיות החייב, מוצע לקבוע כי לא יימסר מספר טלפון של חייב, שביקש מבעל הרישיון כאמור שמספר הטלפון שלו יהיה חסוי, וכן מוצע להסמיך את שר המשפטים לקבוע הוראות בעניין האופן שבו יועבר המידע.</w:t>
      </w:r>
    </w:p>
    <w:p w:rsidR="006A740A" w:rsidRPr="00E71A10" w:rsidRDefault="006A740A" w:rsidP="00435F7D">
      <w:pPr>
        <w:spacing w:after="120"/>
        <w:rPr>
          <w:rFonts w:cs="David"/>
          <w:sz w:val="24"/>
          <w:rtl/>
        </w:rPr>
      </w:pPr>
    </w:p>
    <w:p w:rsidR="006A740A" w:rsidRPr="00E71A10" w:rsidRDefault="006A740A" w:rsidP="00435F7D">
      <w:pPr>
        <w:spacing w:after="120" w:line="240" w:lineRule="auto"/>
        <w:rPr>
          <w:rFonts w:cs="David"/>
          <w:sz w:val="24"/>
          <w:u w:val="single"/>
          <w:rtl/>
        </w:rPr>
      </w:pPr>
      <w:r w:rsidRPr="00E71A10">
        <w:rPr>
          <w:rFonts w:cs="David" w:hint="cs"/>
          <w:sz w:val="24"/>
          <w:rtl/>
        </w:rPr>
        <w:t xml:space="preserve">(4) </w:t>
      </w:r>
      <w:r w:rsidRPr="00D37F94">
        <w:rPr>
          <w:rFonts w:cs="David" w:hint="cs"/>
          <w:b/>
          <w:bCs/>
          <w:sz w:val="24"/>
          <w:u w:val="single"/>
          <w:rtl/>
        </w:rPr>
        <w:t>הוספת גורמים נוספים שניתן לקבל מהם מידע על החייב</w:t>
      </w:r>
    </w:p>
    <w:p w:rsidR="006A740A" w:rsidRPr="00E71A10" w:rsidRDefault="006A740A" w:rsidP="00435F7D">
      <w:pPr>
        <w:spacing w:after="120"/>
        <w:rPr>
          <w:rFonts w:cs="David"/>
          <w:sz w:val="24"/>
          <w:rtl/>
        </w:rPr>
      </w:pPr>
      <w:r w:rsidRPr="00E71A10">
        <w:rPr>
          <w:rFonts w:cs="David" w:hint="cs"/>
          <w:sz w:val="24"/>
          <w:rtl/>
        </w:rPr>
        <w:t>הצעת החוק הממשלתית מבקשת להרחיב את הגורמים שרשם ההוצאה לפועל מוסמך, בהתקיים נסיבות מסוימות, להורות להם למסור לו מידע המצוי בידיהם אודות החייב. בהקשר זה כוללת הצעת החוק שני תיקונים:</w:t>
      </w:r>
    </w:p>
    <w:p w:rsidR="006A740A" w:rsidRPr="00E71A10" w:rsidRDefault="006A740A" w:rsidP="00435F7D">
      <w:pPr>
        <w:spacing w:after="120"/>
        <w:rPr>
          <w:rFonts w:cs="David"/>
          <w:sz w:val="24"/>
          <w:rtl/>
        </w:rPr>
      </w:pPr>
      <w:r w:rsidRPr="00E71A10">
        <w:rPr>
          <w:rFonts w:cs="David" w:hint="cs"/>
          <w:sz w:val="24"/>
          <w:rtl/>
        </w:rPr>
        <w:t xml:space="preserve">א. </w:t>
      </w:r>
      <w:r w:rsidRPr="00E71A10">
        <w:rPr>
          <w:rFonts w:cs="David" w:hint="cs"/>
          <w:b/>
          <w:bCs/>
          <w:sz w:val="24"/>
          <w:rtl/>
        </w:rPr>
        <w:t xml:space="preserve">תיקון התוספת </w:t>
      </w:r>
      <w:proofErr w:type="spellStart"/>
      <w:r w:rsidRPr="00E71A10">
        <w:rPr>
          <w:rFonts w:cs="David" w:hint="cs"/>
          <w:b/>
          <w:bCs/>
          <w:sz w:val="24"/>
          <w:rtl/>
        </w:rPr>
        <w:t>השניה</w:t>
      </w:r>
      <w:proofErr w:type="spellEnd"/>
      <w:r w:rsidRPr="00E71A10">
        <w:rPr>
          <w:rFonts w:cs="David" w:hint="cs"/>
          <w:b/>
          <w:bCs/>
          <w:sz w:val="24"/>
          <w:rtl/>
        </w:rPr>
        <w:t xml:space="preserve"> </w:t>
      </w:r>
      <w:r w:rsidRPr="00E71A10">
        <w:rPr>
          <w:rFonts w:cs="David"/>
          <w:sz w:val="24"/>
          <w:rtl/>
        </w:rPr>
        <w:t>–</w:t>
      </w:r>
      <w:r w:rsidRPr="00E71A10">
        <w:rPr>
          <w:rFonts w:cs="David" w:hint="cs"/>
          <w:sz w:val="24"/>
          <w:rtl/>
        </w:rPr>
        <w:t xml:space="preserve"> התוספת </w:t>
      </w:r>
      <w:proofErr w:type="spellStart"/>
      <w:r w:rsidRPr="00E71A10">
        <w:rPr>
          <w:rFonts w:cs="David" w:hint="cs"/>
          <w:sz w:val="24"/>
          <w:rtl/>
        </w:rPr>
        <w:t>השניה</w:t>
      </w:r>
      <w:proofErr w:type="spellEnd"/>
      <w:r w:rsidRPr="00E71A10">
        <w:rPr>
          <w:rFonts w:cs="David" w:hint="cs"/>
          <w:sz w:val="24"/>
          <w:rtl/>
        </w:rPr>
        <w:t xml:space="preserve"> מפרטת רשימה של גורמים שעשוי להיות בידיהם מידע אודות רכוש או זכויות של החייב</w:t>
      </w:r>
      <w:r w:rsidRPr="00E71A10">
        <w:rPr>
          <w:rStyle w:val="a6"/>
          <w:rFonts w:cs="David"/>
          <w:sz w:val="20"/>
          <w:szCs w:val="20"/>
          <w:rtl/>
        </w:rPr>
        <w:footnoteReference w:id="9"/>
      </w:r>
      <w:r w:rsidRPr="00E71A10">
        <w:rPr>
          <w:rFonts w:cs="David" w:hint="cs"/>
          <w:sz w:val="24"/>
          <w:rtl/>
        </w:rPr>
        <w:t xml:space="preserve">. הצעת החוק הממשלתית (סעיף 13 להצעת החוק) מבקשת להוסיף לתוספת </w:t>
      </w:r>
      <w:proofErr w:type="spellStart"/>
      <w:r w:rsidRPr="00E71A10">
        <w:rPr>
          <w:rFonts w:cs="David" w:hint="cs"/>
          <w:sz w:val="24"/>
          <w:rtl/>
        </w:rPr>
        <w:t>השניה</w:t>
      </w:r>
      <w:proofErr w:type="spellEnd"/>
      <w:r w:rsidRPr="00E71A10">
        <w:rPr>
          <w:rFonts w:cs="David" w:hint="cs"/>
          <w:sz w:val="24"/>
          <w:rtl/>
        </w:rPr>
        <w:t xml:space="preserve"> את מערכת ההוצאה לפועל ולקבוע כי יימסר מידע ממערכת ההוצאה לפועל לגבי חייב, שהוא זוכה בתיק הוצאה לפועל אחר. זאת, כדי שיהיה ניתן להטיל עיקול על כספים שמתקבלים במסגרת תיק ההוצאה לפועל לזכות החייב.</w:t>
      </w:r>
    </w:p>
    <w:p w:rsidR="006A740A" w:rsidRPr="004D5C17" w:rsidRDefault="006A740A" w:rsidP="00435F7D">
      <w:pPr>
        <w:spacing w:after="120"/>
        <w:rPr>
          <w:rFonts w:cs="David"/>
          <w:sz w:val="24"/>
          <w:rtl/>
        </w:rPr>
      </w:pPr>
      <w:r w:rsidRPr="00E71A10">
        <w:rPr>
          <w:rFonts w:cs="David" w:hint="cs"/>
          <w:sz w:val="24"/>
          <w:rtl/>
        </w:rPr>
        <w:t xml:space="preserve">ב. </w:t>
      </w:r>
      <w:r w:rsidRPr="00E71A10">
        <w:rPr>
          <w:rFonts w:cs="David" w:hint="cs"/>
          <w:b/>
          <w:bCs/>
          <w:sz w:val="24"/>
          <w:rtl/>
        </w:rPr>
        <w:t>תיקון התוספת השלישית</w:t>
      </w:r>
      <w:r w:rsidRPr="00E71A10">
        <w:rPr>
          <w:rFonts w:cs="David" w:hint="cs"/>
          <w:sz w:val="24"/>
          <w:rtl/>
        </w:rPr>
        <w:t xml:space="preserve"> </w:t>
      </w:r>
      <w:r w:rsidRPr="00E71A10">
        <w:rPr>
          <w:rFonts w:cs="David"/>
          <w:sz w:val="24"/>
          <w:rtl/>
        </w:rPr>
        <w:t>–</w:t>
      </w:r>
      <w:r w:rsidRPr="00E71A10">
        <w:rPr>
          <w:rFonts w:cs="David" w:hint="cs"/>
          <w:sz w:val="24"/>
          <w:rtl/>
        </w:rPr>
        <w:t xml:space="preserve"> התוספת השלישית לחוק מפרטת את הגורמים שמנהל לשכת ההוצאה לפועל או רשם ההוצאה לפועל רשאים לצוות עליהם למסור מידע על כתובתו של חייב, אם נוכחו כי הכתובת המופיעה בתיק אינה הכתובת הנכונה. כיום, ניתן לקבל מידע על כתובת החייב, לפי התוספת השלישית, באמצעות פנייה פרטנית לכל רשות מקומית. הצעת החוק הממשלתית (סעיף 14 להצעת החוק) מציעה לקבוע כי מידע על כתובת יתקבל גם באמצעות גופים המספקים לרשויות המקומיות תוכנות לניהול מידע, כמו למשל החברה לאוטומציה בע"מ. בדברי ההסבר נטען, כי </w:t>
      </w:r>
      <w:r>
        <w:rPr>
          <w:rFonts w:cs="David" w:hint="cs"/>
          <w:sz w:val="24"/>
          <w:rtl/>
        </w:rPr>
        <w:t xml:space="preserve">פנייה לחברות המרכזות את המידע בעבור הרשויות המקומיות עשויה לחסוך זמן </w:t>
      </w:r>
      <w:r w:rsidRPr="004D5C17">
        <w:rPr>
          <w:rFonts w:cs="David" w:hint="cs"/>
          <w:sz w:val="24"/>
          <w:rtl/>
        </w:rPr>
        <w:t xml:space="preserve">וכסף, וכך לייעל את הליך הגבייה. </w:t>
      </w:r>
    </w:p>
    <w:p w:rsidR="006A740A" w:rsidRPr="004D5C17" w:rsidRDefault="006A740A" w:rsidP="00435F7D">
      <w:pPr>
        <w:spacing w:after="120"/>
        <w:rPr>
          <w:rFonts w:cs="David"/>
          <w:sz w:val="24"/>
          <w:rtl/>
        </w:rPr>
      </w:pPr>
    </w:p>
    <w:p w:rsidR="006A740A" w:rsidRPr="00D37F94" w:rsidRDefault="006A740A" w:rsidP="00435F7D">
      <w:pPr>
        <w:spacing w:after="120" w:line="240" w:lineRule="auto"/>
        <w:rPr>
          <w:rFonts w:cs="David"/>
          <w:b/>
          <w:bCs/>
          <w:sz w:val="24"/>
          <w:u w:val="single"/>
          <w:rtl/>
        </w:rPr>
      </w:pPr>
      <w:r w:rsidRPr="004D5C17">
        <w:rPr>
          <w:rFonts w:cs="David" w:hint="cs"/>
          <w:sz w:val="24"/>
          <w:rtl/>
        </w:rPr>
        <w:t xml:space="preserve">(5) </w:t>
      </w:r>
      <w:r w:rsidRPr="00D37F94">
        <w:rPr>
          <w:rFonts w:cs="David" w:hint="cs"/>
          <w:b/>
          <w:bCs/>
          <w:sz w:val="24"/>
          <w:u w:val="single"/>
          <w:rtl/>
        </w:rPr>
        <w:t>מרשם החייבים המשתמטים</w:t>
      </w:r>
    </w:p>
    <w:p w:rsidR="006A740A" w:rsidRPr="004D5C17" w:rsidRDefault="006A740A" w:rsidP="00361A78">
      <w:pPr>
        <w:rPr>
          <w:rFonts w:cs="David"/>
          <w:sz w:val="24"/>
          <w:rtl/>
        </w:rPr>
      </w:pPr>
      <w:r w:rsidRPr="004D5C17">
        <w:rPr>
          <w:rFonts w:cs="David" w:hint="cs"/>
          <w:sz w:val="24"/>
          <w:rtl/>
        </w:rPr>
        <w:t xml:space="preserve">אמצעי האכיפה המרכזי שאותו מבקשת הצעת החוק הממשלתית להוסיף לארסנל </w:t>
      </w:r>
      <w:r>
        <w:rPr>
          <w:rFonts w:cs="David" w:hint="cs"/>
          <w:sz w:val="24"/>
          <w:rtl/>
        </w:rPr>
        <w:t xml:space="preserve">אמצעי הגבייה </w:t>
      </w:r>
      <w:r w:rsidRPr="004D5C17">
        <w:rPr>
          <w:rFonts w:cs="David" w:hint="cs"/>
          <w:sz w:val="24"/>
          <w:rtl/>
        </w:rPr>
        <w:t>המצוי בידי רשות האכיפה והגבייה, הוא יצירת מרשם של חייבים משתמטים. על פי הצעת החוק הממשלתית (סעיף 7 להצעת החוק), מערכת ההוצאה לפועל תנהל מרשם של חייבים בעלי יכולת המשתמטים מתשלום חובותיהם. בדברי ההסבר להצעה נטען, כי מידע על היותו של החייב בעל יכולת המשתמט מתשלום חובותיו הוא בעל חשיבות בשלושה הקשרים:</w:t>
      </w:r>
    </w:p>
    <w:p w:rsidR="006A740A" w:rsidRPr="001F2B37" w:rsidRDefault="006A740A" w:rsidP="00361A78">
      <w:pPr>
        <w:pStyle w:val="a7"/>
        <w:numPr>
          <w:ilvl w:val="0"/>
          <w:numId w:val="13"/>
        </w:numPr>
        <w:spacing w:line="360" w:lineRule="auto"/>
        <w:rPr>
          <w:rFonts w:ascii="Times New Roman" w:eastAsia="Times New Roman" w:hAnsi="Times New Roman" w:cs="David"/>
          <w:color w:val="auto"/>
          <w:spacing w:val="0"/>
          <w:sz w:val="24"/>
          <w:szCs w:val="24"/>
          <w:lang w:eastAsia="he-IL"/>
        </w:rPr>
      </w:pPr>
      <w:r w:rsidRPr="004D5C17">
        <w:rPr>
          <w:rFonts w:ascii="Times New Roman" w:eastAsia="Times New Roman" w:hAnsi="Times New Roman" w:cs="David" w:hint="cs"/>
          <w:color w:val="auto"/>
          <w:spacing w:val="0"/>
          <w:sz w:val="24"/>
          <w:szCs w:val="24"/>
          <w:rtl/>
          <w:lang w:eastAsia="he-IL"/>
        </w:rPr>
        <w:t xml:space="preserve">בעבור מי שמבקש להתקשר עם החייב </w:t>
      </w:r>
      <w:r w:rsidRPr="004D5C17">
        <w:rPr>
          <w:rFonts w:ascii="Times New Roman" w:eastAsia="Times New Roman" w:hAnsi="Times New Roman" w:cs="David"/>
          <w:color w:val="auto"/>
          <w:spacing w:val="0"/>
          <w:sz w:val="24"/>
          <w:szCs w:val="24"/>
          <w:rtl/>
          <w:lang w:eastAsia="he-IL"/>
        </w:rPr>
        <w:t>–</w:t>
      </w:r>
      <w:r w:rsidRPr="004D5C17">
        <w:rPr>
          <w:rFonts w:ascii="Times New Roman" w:eastAsia="Times New Roman" w:hAnsi="Times New Roman" w:cs="David" w:hint="cs"/>
          <w:color w:val="auto"/>
          <w:spacing w:val="0"/>
          <w:sz w:val="24"/>
          <w:szCs w:val="24"/>
          <w:rtl/>
          <w:lang w:eastAsia="he-IL"/>
        </w:rPr>
        <w:t xml:space="preserve"> שכן הוא עשוי ללמוד ממנו על הסיכונים האפשריים הכרוכים </w:t>
      </w:r>
      <w:r w:rsidRPr="001F2B37">
        <w:rPr>
          <w:rFonts w:ascii="Times New Roman" w:eastAsia="Times New Roman" w:hAnsi="Times New Roman" w:cs="David" w:hint="cs"/>
          <w:color w:val="auto"/>
          <w:spacing w:val="0"/>
          <w:sz w:val="24"/>
          <w:szCs w:val="24"/>
          <w:rtl/>
          <w:lang w:eastAsia="he-IL"/>
        </w:rPr>
        <w:t xml:space="preserve">בהתקשרות כאמור; </w:t>
      </w:r>
    </w:p>
    <w:p w:rsidR="006A740A" w:rsidRPr="001F2B37" w:rsidRDefault="006A740A" w:rsidP="00361A78">
      <w:pPr>
        <w:pStyle w:val="a7"/>
        <w:numPr>
          <w:ilvl w:val="0"/>
          <w:numId w:val="13"/>
        </w:numPr>
        <w:spacing w:line="360" w:lineRule="auto"/>
        <w:rPr>
          <w:rFonts w:ascii="Times New Roman" w:eastAsia="Times New Roman" w:hAnsi="Times New Roman" w:cs="David"/>
          <w:color w:val="auto"/>
          <w:spacing w:val="0"/>
          <w:sz w:val="24"/>
          <w:szCs w:val="24"/>
          <w:lang w:eastAsia="he-IL"/>
        </w:rPr>
      </w:pPr>
      <w:r w:rsidRPr="001F2B37">
        <w:rPr>
          <w:rFonts w:ascii="Times New Roman" w:eastAsia="Times New Roman" w:hAnsi="Times New Roman" w:cs="David" w:hint="cs"/>
          <w:color w:val="auto"/>
          <w:spacing w:val="0"/>
          <w:sz w:val="24"/>
          <w:szCs w:val="24"/>
          <w:rtl/>
          <w:lang w:eastAsia="he-IL"/>
        </w:rPr>
        <w:t xml:space="preserve">בעבור זוכים אחרים המנהלים או שוקלים לנהל תיקים נגד החייב </w:t>
      </w:r>
      <w:r w:rsidRPr="001F2B37">
        <w:rPr>
          <w:rFonts w:ascii="Times New Roman" w:eastAsia="Times New Roman" w:hAnsi="Times New Roman" w:cs="David"/>
          <w:color w:val="auto"/>
          <w:spacing w:val="0"/>
          <w:sz w:val="24"/>
          <w:szCs w:val="24"/>
          <w:rtl/>
          <w:lang w:eastAsia="he-IL"/>
        </w:rPr>
        <w:t>–</w:t>
      </w:r>
      <w:r w:rsidRPr="001F2B37">
        <w:rPr>
          <w:rFonts w:ascii="Times New Roman" w:eastAsia="Times New Roman" w:hAnsi="Times New Roman" w:cs="David" w:hint="cs"/>
          <w:color w:val="auto"/>
          <w:spacing w:val="0"/>
          <w:sz w:val="24"/>
          <w:szCs w:val="24"/>
          <w:rtl/>
          <w:lang w:eastAsia="he-IL"/>
        </w:rPr>
        <w:t xml:space="preserve"> זוכה שמעוניין לפעול נגד חייב שנרשם במרשם, ישקול את צעדיו בהתאם לתועלת הצפויה מניהול הליכים ולסיכויי ההצלחה המשוערים לנוכח הידיעה כי מדובר בחייב בעל יכולת המשתמט מתשלום חובותיו; </w:t>
      </w:r>
    </w:p>
    <w:p w:rsidR="006A740A" w:rsidRPr="001F2B37" w:rsidRDefault="006A740A" w:rsidP="00361A78">
      <w:pPr>
        <w:pStyle w:val="a7"/>
        <w:numPr>
          <w:ilvl w:val="0"/>
          <w:numId w:val="13"/>
        </w:numPr>
        <w:spacing w:after="120" w:line="360" w:lineRule="auto"/>
        <w:rPr>
          <w:rFonts w:ascii="Times New Roman" w:eastAsia="Times New Roman" w:hAnsi="Times New Roman" w:cs="David"/>
          <w:color w:val="auto"/>
          <w:spacing w:val="0"/>
          <w:sz w:val="24"/>
          <w:szCs w:val="24"/>
          <w:rtl/>
          <w:lang w:eastAsia="he-IL"/>
        </w:rPr>
      </w:pPr>
      <w:r w:rsidRPr="001F2B37">
        <w:rPr>
          <w:rFonts w:ascii="Times New Roman" w:eastAsia="Times New Roman" w:hAnsi="Times New Roman" w:cs="David" w:hint="cs"/>
          <w:color w:val="auto"/>
          <w:spacing w:val="0"/>
          <w:sz w:val="24"/>
          <w:szCs w:val="24"/>
          <w:rtl/>
          <w:lang w:eastAsia="he-IL"/>
        </w:rPr>
        <w:t xml:space="preserve">הרתעת החייב </w:t>
      </w:r>
      <w:r w:rsidRPr="001F2B37">
        <w:rPr>
          <w:rFonts w:ascii="Times New Roman" w:eastAsia="Times New Roman" w:hAnsi="Times New Roman" w:cs="David"/>
          <w:color w:val="auto"/>
          <w:spacing w:val="0"/>
          <w:sz w:val="24"/>
          <w:szCs w:val="24"/>
          <w:rtl/>
          <w:lang w:eastAsia="he-IL"/>
        </w:rPr>
        <w:t>–</w:t>
      </w:r>
      <w:r w:rsidRPr="001F2B37">
        <w:rPr>
          <w:rFonts w:ascii="Times New Roman" w:eastAsia="Times New Roman" w:hAnsi="Times New Roman" w:cs="David" w:hint="cs"/>
          <w:color w:val="auto"/>
          <w:spacing w:val="0"/>
          <w:sz w:val="24"/>
          <w:szCs w:val="24"/>
          <w:rtl/>
          <w:lang w:eastAsia="he-IL"/>
        </w:rPr>
        <w:t xml:space="preserve"> בנוסף, החשש מרישום חייב במרשם, או הרצון להסירו מהמרשם בהקדם האפשרי, עשוי להוות לחייב תמריץ לתשלום החוב.</w:t>
      </w:r>
    </w:p>
    <w:p w:rsidR="006A740A" w:rsidRDefault="006A740A" w:rsidP="00361A78">
      <w:pPr>
        <w:spacing w:after="120"/>
        <w:rPr>
          <w:rFonts w:cs="David"/>
          <w:sz w:val="24"/>
          <w:rtl/>
        </w:rPr>
      </w:pPr>
      <w:r>
        <w:rPr>
          <w:rFonts w:cs="David" w:hint="cs"/>
          <w:sz w:val="24"/>
          <w:rtl/>
        </w:rPr>
        <w:lastRenderedPageBreak/>
        <w:t xml:space="preserve">העקרונות העומדים ביסוד ההסדר המוצע, כמו </w:t>
      </w:r>
      <w:r w:rsidRPr="0013068B">
        <w:rPr>
          <w:rFonts w:cs="David" w:hint="cs"/>
          <w:sz w:val="24"/>
          <w:rtl/>
        </w:rPr>
        <w:t>גם האופן שבו הצעת החוק מבקשת לעצב את תוכן ההסדר מעוררים שאלות הן במישור הקונספטואלי והן במישור המעשי. להלן, סקירה של עיקרי ההוראות המוצעות ביחס להסדר והצעת נקודות לדיון.</w:t>
      </w:r>
    </w:p>
    <w:p w:rsidR="006A740A" w:rsidRDefault="006A740A" w:rsidP="007F5D3C">
      <w:pPr>
        <w:spacing w:after="120" w:line="240" w:lineRule="auto"/>
        <w:rPr>
          <w:rFonts w:cs="David"/>
          <w:sz w:val="24"/>
          <w:rtl/>
        </w:rPr>
      </w:pPr>
      <w:r w:rsidRPr="0013068B">
        <w:rPr>
          <w:rFonts w:cs="David" w:hint="cs"/>
          <w:sz w:val="24"/>
          <w:rtl/>
        </w:rPr>
        <w:t xml:space="preserve">א. </w:t>
      </w:r>
      <w:r w:rsidRPr="00D37F94">
        <w:rPr>
          <w:rFonts w:cs="David" w:hint="cs"/>
          <w:sz w:val="24"/>
          <w:u w:val="single"/>
          <w:rtl/>
        </w:rPr>
        <w:t xml:space="preserve">תנאים לרישום במרשם (סעיף 66ה המוצע) </w:t>
      </w:r>
    </w:p>
    <w:p w:rsidR="006A740A" w:rsidRPr="0013068B" w:rsidRDefault="006A740A" w:rsidP="00361A78">
      <w:pPr>
        <w:rPr>
          <w:rFonts w:cs="David"/>
          <w:sz w:val="24"/>
          <w:rtl/>
        </w:rPr>
      </w:pPr>
      <w:r w:rsidRPr="0013068B">
        <w:rPr>
          <w:rFonts w:cs="David" w:hint="cs"/>
          <w:sz w:val="24"/>
          <w:rtl/>
        </w:rPr>
        <w:t xml:space="preserve">על פי המוצע, במרשם יירשמו שמותיהם של חייבים בעלי יכולת המשתמטים מתשלום חובותיהם, רק לאחר שהתקיימו </w:t>
      </w:r>
      <w:r w:rsidRPr="0013068B">
        <w:rPr>
          <w:rFonts w:cs="David" w:hint="cs"/>
          <w:sz w:val="24"/>
          <w:u w:val="single"/>
          <w:rtl/>
        </w:rPr>
        <w:t>כל</w:t>
      </w:r>
      <w:r w:rsidRPr="0013068B">
        <w:rPr>
          <w:rFonts w:cs="David" w:hint="cs"/>
          <w:sz w:val="24"/>
          <w:rtl/>
        </w:rPr>
        <w:t xml:space="preserve"> התנאים הבאים:</w:t>
      </w:r>
    </w:p>
    <w:p w:rsidR="006A740A" w:rsidRPr="0013068B" w:rsidRDefault="006A740A" w:rsidP="00361A78">
      <w:pPr>
        <w:pStyle w:val="a7"/>
        <w:numPr>
          <w:ilvl w:val="0"/>
          <w:numId w:val="18"/>
        </w:numPr>
        <w:spacing w:line="360" w:lineRule="auto"/>
        <w:rPr>
          <w:rFonts w:ascii="Times New Roman" w:eastAsia="Times New Roman" w:hAnsi="Times New Roman" w:cs="David"/>
          <w:color w:val="auto"/>
          <w:spacing w:val="0"/>
          <w:sz w:val="24"/>
          <w:szCs w:val="24"/>
          <w:lang w:eastAsia="he-IL"/>
        </w:rPr>
      </w:pPr>
      <w:r w:rsidRPr="0013068B">
        <w:rPr>
          <w:rFonts w:ascii="Times New Roman" w:eastAsia="Times New Roman" w:hAnsi="Times New Roman" w:cs="David" w:hint="cs"/>
          <w:color w:val="auto"/>
          <w:spacing w:val="0"/>
          <w:sz w:val="24"/>
          <w:szCs w:val="24"/>
          <w:rtl/>
          <w:lang w:eastAsia="he-IL"/>
        </w:rPr>
        <w:t>רשם ההוצאה לפועל שוכנע שמוצדק בנסיבות העניין לרשום את החייב במרשם, בהתחשב בפגיעה בחייב ובהליכים ש</w:t>
      </w:r>
      <w:r>
        <w:rPr>
          <w:rFonts w:ascii="Times New Roman" w:eastAsia="Times New Roman" w:hAnsi="Times New Roman" w:cs="David" w:hint="cs"/>
          <w:color w:val="auto"/>
          <w:spacing w:val="0"/>
          <w:sz w:val="24"/>
          <w:szCs w:val="24"/>
          <w:rtl/>
          <w:lang w:eastAsia="he-IL"/>
        </w:rPr>
        <w:t xml:space="preserve">כבר </w:t>
      </w:r>
      <w:r w:rsidRPr="0013068B">
        <w:rPr>
          <w:rFonts w:ascii="Times New Roman" w:eastAsia="Times New Roman" w:hAnsi="Times New Roman" w:cs="David" w:hint="cs"/>
          <w:color w:val="auto"/>
          <w:spacing w:val="0"/>
          <w:sz w:val="24"/>
          <w:szCs w:val="24"/>
          <w:rtl/>
          <w:lang w:eastAsia="he-IL"/>
        </w:rPr>
        <w:t>ננקטו לשם גביית החוב.</w:t>
      </w:r>
    </w:p>
    <w:p w:rsidR="006A740A" w:rsidRPr="0013068B" w:rsidRDefault="006A740A" w:rsidP="00361A78">
      <w:pPr>
        <w:pStyle w:val="a7"/>
        <w:numPr>
          <w:ilvl w:val="0"/>
          <w:numId w:val="18"/>
        </w:numPr>
        <w:spacing w:line="360" w:lineRule="auto"/>
        <w:rPr>
          <w:rFonts w:ascii="Times New Roman" w:eastAsia="Times New Roman" w:hAnsi="Times New Roman" w:cs="David"/>
          <w:color w:val="auto"/>
          <w:spacing w:val="0"/>
          <w:sz w:val="24"/>
          <w:szCs w:val="24"/>
          <w:lang w:eastAsia="he-IL"/>
        </w:rPr>
      </w:pPr>
      <w:r w:rsidRPr="0013068B">
        <w:rPr>
          <w:rFonts w:ascii="Times New Roman" w:eastAsia="Times New Roman" w:hAnsi="Times New Roman" w:cs="David" w:hint="cs"/>
          <w:color w:val="auto"/>
          <w:spacing w:val="0"/>
          <w:sz w:val="24"/>
          <w:szCs w:val="24"/>
          <w:rtl/>
          <w:lang w:eastAsia="he-IL"/>
        </w:rPr>
        <w:t xml:space="preserve">חובות החייב עולים במצטבר על 2,500 ₪. </w:t>
      </w:r>
    </w:p>
    <w:p w:rsidR="006A740A" w:rsidRPr="0013068B" w:rsidRDefault="006A740A" w:rsidP="00361A78">
      <w:pPr>
        <w:pStyle w:val="a7"/>
        <w:numPr>
          <w:ilvl w:val="0"/>
          <w:numId w:val="18"/>
        </w:numPr>
        <w:spacing w:line="360" w:lineRule="auto"/>
        <w:rPr>
          <w:rFonts w:ascii="Times New Roman" w:eastAsia="Times New Roman" w:hAnsi="Times New Roman" w:cs="David"/>
          <w:color w:val="auto"/>
          <w:spacing w:val="0"/>
          <w:sz w:val="24"/>
          <w:szCs w:val="24"/>
          <w:lang w:eastAsia="he-IL"/>
        </w:rPr>
      </w:pPr>
      <w:r w:rsidRPr="0013068B">
        <w:rPr>
          <w:rFonts w:ascii="Times New Roman" w:eastAsia="Times New Roman" w:hAnsi="Times New Roman" w:cs="David" w:hint="cs"/>
          <w:color w:val="auto"/>
          <w:spacing w:val="0"/>
          <w:sz w:val="24"/>
          <w:szCs w:val="24"/>
          <w:rtl/>
          <w:lang w:eastAsia="he-IL"/>
        </w:rPr>
        <w:t xml:space="preserve">התקיימה אחת מהחלופות הבאות: </w:t>
      </w:r>
    </w:p>
    <w:p w:rsidR="006A740A" w:rsidRPr="0013068B" w:rsidRDefault="006A740A" w:rsidP="00361A78">
      <w:pPr>
        <w:pStyle w:val="a7"/>
        <w:numPr>
          <w:ilvl w:val="1"/>
          <w:numId w:val="18"/>
        </w:numPr>
        <w:spacing w:line="360" w:lineRule="auto"/>
        <w:rPr>
          <w:rFonts w:ascii="Times New Roman" w:eastAsia="Times New Roman" w:hAnsi="Times New Roman" w:cs="David"/>
          <w:color w:val="auto"/>
          <w:spacing w:val="0"/>
          <w:sz w:val="24"/>
          <w:szCs w:val="24"/>
          <w:lang w:eastAsia="he-IL"/>
        </w:rPr>
      </w:pPr>
      <w:r w:rsidRPr="0013068B">
        <w:rPr>
          <w:rFonts w:ascii="Times New Roman" w:eastAsia="Times New Roman" w:hAnsi="Times New Roman" w:cs="David" w:hint="cs"/>
          <w:color w:val="auto"/>
          <w:spacing w:val="0"/>
          <w:sz w:val="24"/>
          <w:szCs w:val="24"/>
          <w:u w:val="single"/>
          <w:rtl/>
          <w:lang w:eastAsia="he-IL"/>
        </w:rPr>
        <w:t>חלופה א'</w:t>
      </w:r>
      <w:r w:rsidRPr="0013068B">
        <w:rPr>
          <w:rFonts w:ascii="Times New Roman" w:eastAsia="Times New Roman" w:hAnsi="Times New Roman" w:cs="David" w:hint="cs"/>
          <w:color w:val="auto"/>
          <w:spacing w:val="0"/>
          <w:sz w:val="24"/>
          <w:szCs w:val="24"/>
          <w:rtl/>
          <w:lang w:eastAsia="he-IL"/>
        </w:rPr>
        <w:t xml:space="preserve">: החייב היה אצל הרשם בחצי שנה שקדמה לרישום (דהיינו: המידע שעליו מתבסס הרשם בהחלטתו הוא מעודכן), והוכח לרשם, לאחר שהחייב עמד בפניו וטען את טענותיו לעניין יכולתו הכלכלית, שמדובר בחייב שהוא בעל יכולת שמשתמט מתשלום חובותיו. </w:t>
      </w:r>
    </w:p>
    <w:p w:rsidR="006A740A" w:rsidRPr="0013068B" w:rsidRDefault="006A740A" w:rsidP="00361A78">
      <w:pPr>
        <w:pStyle w:val="a7"/>
        <w:numPr>
          <w:ilvl w:val="1"/>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u w:val="single"/>
          <w:rtl/>
          <w:lang w:eastAsia="he-IL"/>
        </w:rPr>
        <w:t>חלופה ב'</w:t>
      </w:r>
      <w:r w:rsidRPr="0013068B">
        <w:rPr>
          <w:rFonts w:ascii="Times New Roman" w:eastAsia="Times New Roman" w:hAnsi="Times New Roman" w:cs="David" w:hint="cs"/>
          <w:color w:val="auto"/>
          <w:spacing w:val="0"/>
          <w:sz w:val="24"/>
          <w:szCs w:val="24"/>
          <w:rtl/>
          <w:lang w:eastAsia="he-IL"/>
        </w:rPr>
        <w:t>: התקיימו כל התנאים הבאים:</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 xml:space="preserve">רואים את החייב כבעל יכולת המשתמט מתשלום חובותיו מכוח חזקות שונות שבחוק; </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 xml:space="preserve">חלפה חצי שנה מהמועד שבו הומצאה לחייב אזהרה בהמצאה מלאה; </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 xml:space="preserve">נשלחה לחייב, בדואר רשום עם אישור מסירה, הזמנה לדיון בעניין רישום שמו במרשם; </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 xml:space="preserve">החייב לא התייצב ולא סיפק הסבר סביר להיעדרותו. </w:t>
      </w:r>
    </w:p>
    <w:p w:rsidR="006A740A" w:rsidRPr="0013068B" w:rsidRDefault="006A740A" w:rsidP="00361A78">
      <w:pPr>
        <w:pStyle w:val="a7"/>
        <w:numPr>
          <w:ilvl w:val="1"/>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u w:val="single"/>
          <w:rtl/>
          <w:lang w:eastAsia="he-IL"/>
        </w:rPr>
        <w:t>חלופה ג'</w:t>
      </w:r>
      <w:r w:rsidRPr="0013068B">
        <w:rPr>
          <w:rFonts w:ascii="Times New Roman" w:eastAsia="Times New Roman" w:hAnsi="Times New Roman" w:cs="David" w:hint="cs"/>
          <w:color w:val="auto"/>
          <w:spacing w:val="0"/>
          <w:sz w:val="24"/>
          <w:szCs w:val="24"/>
          <w:rtl/>
          <w:lang w:eastAsia="he-IL"/>
        </w:rPr>
        <w:t>: התקיימו כל התנאים הבאים:</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 xml:space="preserve">רואים את החייב כבעל יכולת המשתמט מתשלום חובותיו מכוח חזקות שונות שבחוק; </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 xml:space="preserve">חלפה חצי שנה מהמועד שבו הומצאה לחייב אזהרה בהמצאה מלאה; </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נשלחה לחייב, בדואר רשום עם אישור מסירה, הזמנה לדיון בעניין רישום שמו במרשם.</w:t>
      </w:r>
    </w:p>
    <w:p w:rsidR="006A740A" w:rsidRPr="0013068B" w:rsidRDefault="006A740A" w:rsidP="00361A78">
      <w:pPr>
        <w:pStyle w:val="a7"/>
        <w:numPr>
          <w:ilvl w:val="2"/>
          <w:numId w:val="18"/>
        </w:numPr>
        <w:spacing w:after="120" w:line="360" w:lineRule="auto"/>
        <w:rPr>
          <w:rFonts w:cs="David"/>
          <w:color w:val="auto"/>
          <w:sz w:val="24"/>
          <w:rtl/>
        </w:rPr>
      </w:pPr>
      <w:r w:rsidRPr="0013068B">
        <w:rPr>
          <w:rFonts w:ascii="Times New Roman" w:eastAsia="Times New Roman" w:hAnsi="Times New Roman" w:cs="David" w:hint="cs"/>
          <w:color w:val="auto"/>
          <w:spacing w:val="0"/>
          <w:sz w:val="24"/>
          <w:szCs w:val="24"/>
          <w:rtl/>
          <w:lang w:eastAsia="he-IL"/>
        </w:rPr>
        <w:t>החייב התייצב לפני הרשם, והוכח לרשם כי החייב הוא בעל יכולת המשתמט מתשלום החוב.</w:t>
      </w:r>
    </w:p>
    <w:p w:rsidR="006A740A" w:rsidRPr="0013068B" w:rsidRDefault="006A740A" w:rsidP="00361A78">
      <w:pPr>
        <w:rPr>
          <w:rFonts w:cs="David"/>
          <w:sz w:val="24"/>
          <w:highlight w:val="yellow"/>
          <w:rtl/>
        </w:rPr>
      </w:pPr>
    </w:p>
    <w:p w:rsidR="006A740A" w:rsidRPr="0013068B" w:rsidRDefault="006A740A" w:rsidP="00361A78">
      <w:pPr>
        <w:spacing w:after="120" w:line="240" w:lineRule="auto"/>
        <w:rPr>
          <w:rFonts w:cs="David"/>
          <w:sz w:val="24"/>
          <w:rtl/>
        </w:rPr>
      </w:pPr>
      <w:r w:rsidRPr="0013068B">
        <w:rPr>
          <w:rFonts w:cs="David" w:hint="cs"/>
          <w:sz w:val="24"/>
          <w:u w:val="single"/>
          <w:rtl/>
        </w:rPr>
        <w:t>נקודות לדיון</w:t>
      </w:r>
      <w:r w:rsidRPr="0013068B">
        <w:rPr>
          <w:rFonts w:cs="David" w:hint="cs"/>
          <w:sz w:val="24"/>
          <w:rtl/>
        </w:rPr>
        <w:t>:</w:t>
      </w:r>
    </w:p>
    <w:p w:rsidR="006A740A" w:rsidRPr="0013068B" w:rsidRDefault="006A740A" w:rsidP="00361A78">
      <w:pPr>
        <w:spacing w:after="120"/>
        <w:rPr>
          <w:rFonts w:cs="David"/>
          <w:sz w:val="24"/>
          <w:rtl/>
        </w:rPr>
      </w:pPr>
      <w:r w:rsidRPr="0013068B">
        <w:rPr>
          <w:rFonts w:cs="David" w:hint="cs"/>
          <w:sz w:val="24"/>
          <w:rtl/>
        </w:rPr>
        <w:t>1.</w:t>
      </w:r>
      <w:r w:rsidRPr="0013068B">
        <w:rPr>
          <w:rFonts w:cs="David" w:hint="cs"/>
          <w:b/>
          <w:bCs/>
          <w:sz w:val="24"/>
          <w:rtl/>
        </w:rPr>
        <w:t xml:space="preserve"> נתונים על כמות החייבים שפוטנציאלית ניתן להפעיל נגד את אמצעי האכיפה המוצע </w:t>
      </w:r>
      <w:r w:rsidRPr="0013068B">
        <w:rPr>
          <w:rFonts w:cs="David"/>
          <w:sz w:val="24"/>
          <w:rtl/>
        </w:rPr>
        <w:t>–</w:t>
      </w:r>
      <w:r w:rsidRPr="0013068B">
        <w:rPr>
          <w:rFonts w:cs="David" w:hint="cs"/>
          <w:sz w:val="24"/>
          <w:rtl/>
        </w:rPr>
        <w:t xml:space="preserve"> רישומו של חייב במרשם מותנה בכך שהרשם יגיע למסקנה שמדובר בחייב בעל יכולת המשתמט מתשלום חובותיו או שמכוח חזקות שונות בחוק החייב יוגדר ככזה. האם יש למערכת ההוצאה לפועל נתונים כמה חייבים כאלה יש כיום במערכת ביחס לכמות החייבים הכללית? לשון אחר: האם יש בידי מערכת ההוצאה לפועל נתונים מהו פוטנציאל החייבים שניתן יהיה להפעיל כלפיו את אמצעי האכיפה של רישום במרשם?</w:t>
      </w:r>
    </w:p>
    <w:p w:rsidR="006A740A" w:rsidRDefault="006A740A" w:rsidP="00361A78">
      <w:pPr>
        <w:spacing w:after="120"/>
        <w:rPr>
          <w:rFonts w:cs="David"/>
          <w:sz w:val="24"/>
          <w:rtl/>
        </w:rPr>
      </w:pPr>
      <w:r w:rsidRPr="0013068B">
        <w:rPr>
          <w:rFonts w:cs="David" w:hint="cs"/>
          <w:sz w:val="24"/>
          <w:rtl/>
        </w:rPr>
        <w:lastRenderedPageBreak/>
        <w:t>2.</w:t>
      </w:r>
      <w:r w:rsidRPr="0013068B">
        <w:rPr>
          <w:rFonts w:cs="David" w:hint="cs"/>
          <w:b/>
          <w:bCs/>
          <w:sz w:val="24"/>
          <w:rtl/>
        </w:rPr>
        <w:t xml:space="preserve"> שימוש באמצעי האכיפה של רישום במרשם</w:t>
      </w:r>
      <w:r>
        <w:rPr>
          <w:rFonts w:cs="David" w:hint="cs"/>
          <w:b/>
          <w:bCs/>
          <w:sz w:val="24"/>
          <w:rtl/>
        </w:rPr>
        <w:t xml:space="preserve"> החייבים המשתמטים</w:t>
      </w:r>
      <w:r w:rsidRPr="0013068B">
        <w:rPr>
          <w:rFonts w:cs="David" w:hint="cs"/>
          <w:b/>
          <w:bCs/>
          <w:sz w:val="24"/>
          <w:rtl/>
        </w:rPr>
        <w:t xml:space="preserve"> </w:t>
      </w:r>
      <w:r w:rsidRPr="0013068B">
        <w:rPr>
          <w:rFonts w:cs="David"/>
          <w:sz w:val="24"/>
          <w:rtl/>
        </w:rPr>
        <w:t>–</w:t>
      </w:r>
      <w:r w:rsidRPr="0013068B">
        <w:rPr>
          <w:rFonts w:cs="David" w:hint="cs"/>
          <w:sz w:val="24"/>
          <w:rtl/>
        </w:rPr>
        <w:t xml:space="preserve"> ככלל, ההגבלות שניתן להטיל על חייב לפי פרק ו'1 לחוק, משפיעות על החייב בעיקר בתקופה שבה ההגבלה בתוקף. כך, למשל, </w:t>
      </w:r>
      <w:r>
        <w:rPr>
          <w:rFonts w:cs="David" w:hint="cs"/>
          <w:sz w:val="24"/>
          <w:rtl/>
        </w:rPr>
        <w:t xml:space="preserve">אם מוטלת על חייב </w:t>
      </w:r>
      <w:r w:rsidRPr="0013068B">
        <w:rPr>
          <w:rFonts w:cs="David" w:hint="cs"/>
          <w:sz w:val="24"/>
          <w:rtl/>
        </w:rPr>
        <w:t xml:space="preserve">הגבלה </w:t>
      </w:r>
      <w:r>
        <w:rPr>
          <w:rFonts w:cs="David" w:hint="cs"/>
          <w:sz w:val="24"/>
          <w:rtl/>
        </w:rPr>
        <w:t>המונעת ממנו מ</w:t>
      </w:r>
      <w:r w:rsidRPr="0013068B">
        <w:rPr>
          <w:rFonts w:cs="David" w:hint="cs"/>
          <w:sz w:val="24"/>
          <w:rtl/>
        </w:rPr>
        <w:t xml:space="preserve">לייסד תאגיד, </w:t>
      </w:r>
      <w:r>
        <w:rPr>
          <w:rFonts w:cs="David" w:hint="cs"/>
          <w:sz w:val="24"/>
          <w:rtl/>
        </w:rPr>
        <w:t>מ</w:t>
      </w:r>
      <w:r w:rsidRPr="0013068B">
        <w:rPr>
          <w:rFonts w:cs="David" w:hint="cs"/>
          <w:sz w:val="24"/>
          <w:rtl/>
        </w:rPr>
        <w:t xml:space="preserve">להשתמש בכרטיס חיוב, </w:t>
      </w:r>
      <w:r>
        <w:rPr>
          <w:rFonts w:cs="David" w:hint="cs"/>
          <w:sz w:val="24"/>
          <w:rtl/>
        </w:rPr>
        <w:t>מ</w:t>
      </w:r>
      <w:r w:rsidRPr="0013068B">
        <w:rPr>
          <w:rFonts w:cs="David" w:hint="cs"/>
          <w:sz w:val="24"/>
          <w:rtl/>
        </w:rPr>
        <w:t xml:space="preserve">לחדש את </w:t>
      </w:r>
      <w:proofErr w:type="spellStart"/>
      <w:r w:rsidRPr="0013068B">
        <w:rPr>
          <w:rFonts w:cs="David" w:hint="cs"/>
          <w:sz w:val="24"/>
          <w:rtl/>
        </w:rPr>
        <w:t>רשיון</w:t>
      </w:r>
      <w:proofErr w:type="spellEnd"/>
      <w:r w:rsidRPr="0013068B">
        <w:rPr>
          <w:rFonts w:cs="David" w:hint="cs"/>
          <w:sz w:val="24"/>
          <w:rtl/>
        </w:rPr>
        <w:t xml:space="preserve"> הנהיגה שלו או </w:t>
      </w:r>
      <w:r>
        <w:rPr>
          <w:rFonts w:cs="David" w:hint="cs"/>
          <w:sz w:val="24"/>
          <w:rtl/>
        </w:rPr>
        <w:t>מ</w:t>
      </w:r>
      <w:r w:rsidRPr="0013068B">
        <w:rPr>
          <w:rFonts w:cs="David" w:hint="cs"/>
          <w:sz w:val="24"/>
          <w:rtl/>
        </w:rPr>
        <w:t xml:space="preserve">לצאת מהארץ, </w:t>
      </w:r>
      <w:r>
        <w:rPr>
          <w:rFonts w:cs="David" w:hint="cs"/>
          <w:sz w:val="24"/>
          <w:rtl/>
        </w:rPr>
        <w:t xml:space="preserve">ההגבלה </w:t>
      </w:r>
      <w:r w:rsidRPr="0013068B">
        <w:rPr>
          <w:rFonts w:cs="David" w:hint="cs"/>
          <w:sz w:val="24"/>
          <w:rtl/>
        </w:rPr>
        <w:t xml:space="preserve">פוגעת בחייב רק בפרק הזמן שבו ההגבלה בתוקף. </w:t>
      </w:r>
      <w:r>
        <w:rPr>
          <w:rFonts w:cs="David" w:hint="cs"/>
          <w:sz w:val="24"/>
          <w:rtl/>
        </w:rPr>
        <w:t xml:space="preserve">מנגד, </w:t>
      </w:r>
      <w:r w:rsidRPr="0013068B">
        <w:rPr>
          <w:rFonts w:cs="David" w:hint="cs"/>
          <w:sz w:val="24"/>
          <w:rtl/>
        </w:rPr>
        <w:t xml:space="preserve">רישום פרטיו של חייב במרשם החייבים המשתמטים הוא אמצעי אכיפה </w:t>
      </w:r>
      <w:r>
        <w:rPr>
          <w:rFonts w:cs="David" w:hint="cs"/>
          <w:sz w:val="24"/>
          <w:rtl/>
        </w:rPr>
        <w:t xml:space="preserve">שפגיעתו בחייב עלולה להיות לא רק בפרק הזמן שבו החייב רשום במרשם, אלא </w:t>
      </w:r>
      <w:r w:rsidRPr="0013068B">
        <w:rPr>
          <w:rFonts w:cs="David" w:hint="cs"/>
          <w:sz w:val="24"/>
          <w:rtl/>
        </w:rPr>
        <w:t xml:space="preserve">אף זמן רב לאחר מחיקתו מהמרשם. </w:t>
      </w:r>
      <w:r>
        <w:rPr>
          <w:rFonts w:cs="David" w:hint="cs"/>
          <w:sz w:val="24"/>
          <w:rtl/>
        </w:rPr>
        <w:t xml:space="preserve">הפגיעה בפרטיותו ובמיוחד בשמו הטוב של החייב עקב רישומו במרשם עלולה להיות בלתי הפיכה. יש בה כדי להדביק לחייב "אות קין" שהוא </w:t>
      </w:r>
      <w:r w:rsidRPr="0013068B">
        <w:rPr>
          <w:rFonts w:cs="David" w:hint="cs"/>
          <w:sz w:val="24"/>
          <w:rtl/>
        </w:rPr>
        <w:t>יתקשה מאוד להשתחרר ממנו</w:t>
      </w:r>
      <w:r>
        <w:rPr>
          <w:rFonts w:cs="David" w:hint="cs"/>
          <w:sz w:val="24"/>
          <w:rtl/>
        </w:rPr>
        <w:t xml:space="preserve"> </w:t>
      </w:r>
      <w:r w:rsidRPr="0013068B">
        <w:rPr>
          <w:rFonts w:cs="David" w:hint="cs"/>
          <w:sz w:val="24"/>
          <w:rtl/>
        </w:rPr>
        <w:t>אף לאחר מחיקתו מהמרשם</w:t>
      </w:r>
      <w:r>
        <w:rPr>
          <w:rFonts w:cs="David" w:hint="cs"/>
          <w:sz w:val="24"/>
          <w:rtl/>
        </w:rPr>
        <w:t>,</w:t>
      </w:r>
      <w:r w:rsidRPr="0013068B">
        <w:rPr>
          <w:rFonts w:cs="David" w:hint="cs"/>
          <w:sz w:val="24"/>
          <w:rtl/>
        </w:rPr>
        <w:t xml:space="preserve"> </w:t>
      </w:r>
      <w:r>
        <w:rPr>
          <w:rFonts w:cs="David" w:hint="cs"/>
          <w:sz w:val="24"/>
          <w:rtl/>
        </w:rPr>
        <w:t>דבר שיוביל לכך שאנשים</w:t>
      </w:r>
      <w:r w:rsidRPr="0013068B">
        <w:rPr>
          <w:rFonts w:cs="David" w:hint="cs"/>
          <w:sz w:val="24"/>
          <w:rtl/>
        </w:rPr>
        <w:t xml:space="preserve"> </w:t>
      </w:r>
      <w:r>
        <w:rPr>
          <w:rFonts w:cs="David" w:hint="cs"/>
          <w:sz w:val="24"/>
          <w:rtl/>
        </w:rPr>
        <w:t xml:space="preserve">יתרחקו מלעשות </w:t>
      </w:r>
      <w:proofErr w:type="spellStart"/>
      <w:r>
        <w:rPr>
          <w:rFonts w:cs="David" w:hint="cs"/>
          <w:sz w:val="24"/>
          <w:rtl/>
        </w:rPr>
        <w:t>איתו</w:t>
      </w:r>
      <w:proofErr w:type="spellEnd"/>
      <w:r>
        <w:rPr>
          <w:rFonts w:cs="David" w:hint="cs"/>
          <w:sz w:val="24"/>
          <w:rtl/>
        </w:rPr>
        <w:t xml:space="preserve"> עסקים.</w:t>
      </w:r>
    </w:p>
    <w:p w:rsidR="006A740A" w:rsidRPr="004B3767" w:rsidRDefault="006A740A" w:rsidP="00361A78">
      <w:pPr>
        <w:rPr>
          <w:rFonts w:cs="David"/>
          <w:sz w:val="24"/>
          <w:rtl/>
        </w:rPr>
      </w:pPr>
      <w:r>
        <w:rPr>
          <w:rFonts w:cs="David" w:hint="cs"/>
          <w:sz w:val="24"/>
          <w:rtl/>
        </w:rPr>
        <w:t xml:space="preserve">בשל אלמנט חוסר ההפיכות של הפגיעה </w:t>
      </w:r>
      <w:r w:rsidRPr="0013068B">
        <w:rPr>
          <w:rFonts w:cs="David" w:hint="cs"/>
          <w:sz w:val="24"/>
          <w:rtl/>
        </w:rPr>
        <w:t xml:space="preserve">שעלולה להיגרם לחייב עקב רישומו במרשם החייבים המשתמטים, יש </w:t>
      </w:r>
      <w:r>
        <w:rPr>
          <w:rFonts w:cs="David" w:hint="cs"/>
          <w:sz w:val="24"/>
          <w:rtl/>
        </w:rPr>
        <w:t xml:space="preserve">צורך </w:t>
      </w:r>
      <w:r w:rsidRPr="004B3767">
        <w:rPr>
          <w:rFonts w:cs="David" w:hint="cs"/>
          <w:sz w:val="24"/>
          <w:rtl/>
        </w:rPr>
        <w:t xml:space="preserve">לוודא מספר דברים: </w:t>
      </w:r>
    </w:p>
    <w:p w:rsidR="006A740A" w:rsidRPr="004B3767" w:rsidRDefault="006A740A" w:rsidP="004B3767">
      <w:pPr>
        <w:pStyle w:val="a7"/>
        <w:numPr>
          <w:ilvl w:val="0"/>
          <w:numId w:val="19"/>
        </w:numPr>
        <w:spacing w:line="360" w:lineRule="auto"/>
        <w:rPr>
          <w:rFonts w:ascii="Times New Roman" w:eastAsia="Times New Roman" w:hAnsi="Times New Roman" w:cs="David"/>
          <w:color w:val="auto"/>
          <w:spacing w:val="0"/>
          <w:sz w:val="24"/>
          <w:szCs w:val="24"/>
          <w:lang w:eastAsia="he-IL"/>
        </w:rPr>
      </w:pPr>
      <w:r w:rsidRPr="004B3767">
        <w:rPr>
          <w:rFonts w:ascii="Times New Roman" w:eastAsia="Times New Roman" w:hAnsi="Times New Roman" w:cs="David" w:hint="cs"/>
          <w:color w:val="auto"/>
          <w:spacing w:val="0"/>
          <w:sz w:val="24"/>
          <w:szCs w:val="24"/>
          <w:u w:val="single"/>
          <w:rtl/>
          <w:lang w:eastAsia="he-IL"/>
        </w:rPr>
        <w:t>אמצעי האכיפה האחרים לא יעילים/רלוונטיים</w:t>
      </w:r>
      <w:r w:rsidRPr="004B3767">
        <w:rPr>
          <w:rFonts w:ascii="Times New Roman" w:eastAsia="Times New Roman" w:hAnsi="Times New Roman" w:cs="David" w:hint="cs"/>
          <w:color w:val="auto"/>
          <w:spacing w:val="0"/>
          <w:sz w:val="24"/>
          <w:szCs w:val="24"/>
          <w:rtl/>
          <w:lang w:eastAsia="he-IL"/>
        </w:rPr>
        <w:t xml:space="preserve">: </w:t>
      </w:r>
      <w:r w:rsidR="00C900B4" w:rsidRPr="004B3767">
        <w:rPr>
          <w:rFonts w:ascii="Times New Roman" w:eastAsia="Times New Roman" w:hAnsi="Times New Roman" w:cs="David" w:hint="cs"/>
          <w:color w:val="auto"/>
          <w:spacing w:val="0"/>
          <w:sz w:val="24"/>
          <w:szCs w:val="24"/>
          <w:rtl/>
          <w:lang w:eastAsia="he-IL"/>
        </w:rPr>
        <w:t xml:space="preserve">לנוכח </w:t>
      </w:r>
      <w:r w:rsidRPr="004B3767">
        <w:rPr>
          <w:rFonts w:ascii="Times New Roman" w:eastAsia="Times New Roman" w:hAnsi="Times New Roman" w:cs="David" w:hint="cs"/>
          <w:color w:val="auto"/>
          <w:spacing w:val="0"/>
          <w:sz w:val="24"/>
          <w:szCs w:val="24"/>
          <w:rtl/>
          <w:lang w:eastAsia="he-IL"/>
        </w:rPr>
        <w:t xml:space="preserve">העובדה שמדובר בפגיעה שעלולה להיות בלתי הפיכה ובעלת השלכות ארוכות טווח, </w:t>
      </w:r>
      <w:r w:rsidR="00C900B4" w:rsidRPr="004B3767">
        <w:rPr>
          <w:rFonts w:ascii="Times New Roman" w:eastAsia="Times New Roman" w:hAnsi="Times New Roman" w:cs="David" w:hint="cs"/>
          <w:b/>
          <w:bCs/>
          <w:color w:val="auto"/>
          <w:spacing w:val="0"/>
          <w:sz w:val="24"/>
          <w:szCs w:val="24"/>
          <w:rtl/>
          <w:lang w:eastAsia="he-IL"/>
        </w:rPr>
        <w:t xml:space="preserve">יש מקום לשקול </w:t>
      </w:r>
      <w:r w:rsidR="00082CFF" w:rsidRPr="004B3767">
        <w:rPr>
          <w:rFonts w:ascii="Times New Roman" w:eastAsia="Times New Roman" w:hAnsi="Times New Roman" w:cs="David" w:hint="cs"/>
          <w:b/>
          <w:bCs/>
          <w:color w:val="auto"/>
          <w:spacing w:val="0"/>
          <w:sz w:val="24"/>
          <w:szCs w:val="24"/>
          <w:rtl/>
          <w:lang w:eastAsia="he-IL"/>
        </w:rPr>
        <w:t xml:space="preserve">לקבוע כי השימוש באמצעי האכיפה האמור ייעשה רק אם רשם </w:t>
      </w:r>
      <w:r w:rsidRPr="004B3767">
        <w:rPr>
          <w:rFonts w:ascii="Times New Roman" w:eastAsia="Times New Roman" w:hAnsi="Times New Roman" w:cs="David" w:hint="cs"/>
          <w:b/>
          <w:bCs/>
          <w:color w:val="auto"/>
          <w:spacing w:val="0"/>
          <w:sz w:val="24"/>
          <w:szCs w:val="24"/>
          <w:rtl/>
          <w:lang w:eastAsia="he-IL"/>
        </w:rPr>
        <w:t xml:space="preserve">ההוצאה לפועל השתכנע </w:t>
      </w:r>
      <w:r w:rsidR="00082CFF" w:rsidRPr="004B3767">
        <w:rPr>
          <w:rFonts w:ascii="Times New Roman" w:eastAsia="Times New Roman" w:hAnsi="Times New Roman" w:cs="David" w:hint="cs"/>
          <w:b/>
          <w:bCs/>
          <w:color w:val="auto"/>
          <w:spacing w:val="0"/>
          <w:sz w:val="24"/>
          <w:szCs w:val="24"/>
          <w:rtl/>
          <w:lang w:eastAsia="he-IL"/>
        </w:rPr>
        <w:t>ש</w:t>
      </w:r>
      <w:r w:rsidRPr="004B3767">
        <w:rPr>
          <w:rFonts w:ascii="Times New Roman" w:eastAsia="Times New Roman" w:hAnsi="Times New Roman" w:cs="David" w:hint="cs"/>
          <w:b/>
          <w:bCs/>
          <w:color w:val="auto"/>
          <w:spacing w:val="0"/>
          <w:sz w:val="24"/>
          <w:szCs w:val="24"/>
          <w:rtl/>
          <w:lang w:eastAsia="he-IL"/>
        </w:rPr>
        <w:t>אמצעי האכיפה האחרים אינם יעילים או אינם רלוונטיים בנסיבות העניין</w:t>
      </w:r>
      <w:r w:rsidRPr="004B3767">
        <w:rPr>
          <w:rFonts w:ascii="Times New Roman" w:eastAsia="Times New Roman" w:hAnsi="Times New Roman" w:cs="David" w:hint="cs"/>
          <w:color w:val="auto"/>
          <w:spacing w:val="0"/>
          <w:sz w:val="24"/>
          <w:szCs w:val="24"/>
          <w:rtl/>
          <w:lang w:eastAsia="he-IL"/>
        </w:rPr>
        <w:t>, ועל כן מוצדק להשתמש באמצעי אכיפה זה. זאת, בדומה להסדר שקבע המחוקק לגבי מאסר החייב בשנתיים שלאחר כניסתו לתוקף של תיקון 29.</w:t>
      </w:r>
    </w:p>
    <w:p w:rsidR="006A740A" w:rsidRPr="004B3767" w:rsidRDefault="006A740A" w:rsidP="00361A78">
      <w:pPr>
        <w:pStyle w:val="a7"/>
        <w:numPr>
          <w:ilvl w:val="0"/>
          <w:numId w:val="19"/>
        </w:numPr>
        <w:spacing w:after="120" w:line="360" w:lineRule="auto"/>
        <w:rPr>
          <w:rFonts w:ascii="Times New Roman" w:eastAsia="Times New Roman" w:hAnsi="Times New Roman" w:cs="David"/>
          <w:color w:val="auto"/>
          <w:spacing w:val="0"/>
          <w:sz w:val="24"/>
          <w:szCs w:val="24"/>
          <w:rtl/>
          <w:lang w:eastAsia="he-IL"/>
        </w:rPr>
      </w:pPr>
      <w:r w:rsidRPr="004B3767">
        <w:rPr>
          <w:rFonts w:ascii="Times New Roman" w:eastAsia="Times New Roman" w:hAnsi="Times New Roman" w:cs="David" w:hint="cs"/>
          <w:color w:val="auto"/>
          <w:spacing w:val="0"/>
          <w:sz w:val="24"/>
          <w:szCs w:val="24"/>
          <w:u w:val="single"/>
          <w:rtl/>
          <w:lang w:eastAsia="he-IL"/>
        </w:rPr>
        <w:t>ערעור על החלטת הרשם</w:t>
      </w:r>
      <w:r w:rsidR="0058442D" w:rsidRPr="004B3767">
        <w:rPr>
          <w:rFonts w:ascii="Times New Roman" w:eastAsia="Times New Roman" w:hAnsi="Times New Roman" w:cs="David" w:hint="cs"/>
          <w:color w:val="auto"/>
          <w:spacing w:val="0"/>
          <w:sz w:val="24"/>
          <w:szCs w:val="24"/>
          <w:u w:val="single"/>
          <w:rtl/>
          <w:lang w:eastAsia="he-IL"/>
        </w:rPr>
        <w:t xml:space="preserve"> לרשום חייב במרשם</w:t>
      </w:r>
      <w:r w:rsidRPr="004B3767">
        <w:rPr>
          <w:rFonts w:ascii="Times New Roman" w:eastAsia="Times New Roman" w:hAnsi="Times New Roman" w:cs="David" w:hint="cs"/>
          <w:color w:val="auto"/>
          <w:spacing w:val="0"/>
          <w:sz w:val="24"/>
          <w:szCs w:val="24"/>
          <w:rtl/>
          <w:lang w:eastAsia="he-IL"/>
        </w:rPr>
        <w:t xml:space="preserve"> </w:t>
      </w:r>
      <w:r w:rsidRPr="004B3767">
        <w:rPr>
          <w:rFonts w:ascii="Times New Roman" w:eastAsia="Times New Roman" w:hAnsi="Times New Roman" w:cs="David"/>
          <w:color w:val="auto"/>
          <w:spacing w:val="0"/>
          <w:sz w:val="24"/>
          <w:szCs w:val="24"/>
          <w:rtl/>
          <w:lang w:eastAsia="he-IL"/>
        </w:rPr>
        <w:t>–</w:t>
      </w:r>
      <w:r w:rsidRPr="004B3767">
        <w:rPr>
          <w:rFonts w:ascii="Times New Roman" w:eastAsia="Times New Roman" w:hAnsi="Times New Roman" w:cs="David" w:hint="cs"/>
          <w:color w:val="auto"/>
          <w:spacing w:val="0"/>
          <w:sz w:val="24"/>
          <w:szCs w:val="24"/>
          <w:rtl/>
          <w:lang w:eastAsia="he-IL"/>
        </w:rPr>
        <w:t xml:space="preserve"> </w:t>
      </w:r>
      <w:r w:rsidR="008B4FD0" w:rsidRPr="004B3767">
        <w:rPr>
          <w:rFonts w:ascii="Times New Roman" w:eastAsia="Times New Roman" w:hAnsi="Times New Roman" w:cs="David" w:hint="cs"/>
          <w:color w:val="auto"/>
          <w:spacing w:val="0"/>
          <w:sz w:val="24"/>
          <w:szCs w:val="24"/>
          <w:rtl/>
          <w:lang w:eastAsia="he-IL"/>
        </w:rPr>
        <w:t xml:space="preserve">ס' 80(ב) לחוק קובע כי, ככלל, צווים והחלטות של רשם ההוצאה לפועל ניתנים לערעור </w:t>
      </w:r>
      <w:r w:rsidR="008B4FD0" w:rsidRPr="004B3767">
        <w:rPr>
          <w:rFonts w:ascii="Times New Roman" w:eastAsia="Times New Roman" w:hAnsi="Times New Roman" w:cs="David" w:hint="cs"/>
          <w:b/>
          <w:bCs/>
          <w:color w:val="auto"/>
          <w:spacing w:val="0"/>
          <w:sz w:val="24"/>
          <w:szCs w:val="24"/>
          <w:rtl/>
          <w:lang w:eastAsia="he-IL"/>
        </w:rPr>
        <w:t>ברשות</w:t>
      </w:r>
      <w:r w:rsidR="008B4FD0" w:rsidRPr="004B3767">
        <w:rPr>
          <w:rFonts w:ascii="Times New Roman" w:eastAsia="Times New Roman" w:hAnsi="Times New Roman" w:cs="David" w:hint="cs"/>
          <w:color w:val="auto"/>
          <w:spacing w:val="0"/>
          <w:sz w:val="24"/>
          <w:szCs w:val="24"/>
          <w:rtl/>
          <w:lang w:eastAsia="he-IL"/>
        </w:rPr>
        <w:t xml:space="preserve"> שופט של בית משפט השלום, ואולם יש סוגי החלטות של הרשם שהערעור עליהן הוא </w:t>
      </w:r>
      <w:r w:rsidR="008B4FD0" w:rsidRPr="004B3767">
        <w:rPr>
          <w:rFonts w:ascii="Times New Roman" w:eastAsia="Times New Roman" w:hAnsi="Times New Roman" w:cs="David" w:hint="cs"/>
          <w:b/>
          <w:bCs/>
          <w:color w:val="auto"/>
          <w:spacing w:val="0"/>
          <w:sz w:val="24"/>
          <w:szCs w:val="24"/>
          <w:rtl/>
          <w:lang w:eastAsia="he-IL"/>
        </w:rPr>
        <w:t>בזכות</w:t>
      </w:r>
      <w:r w:rsidR="008B4FD0" w:rsidRPr="004B3767">
        <w:rPr>
          <w:rFonts w:ascii="Times New Roman" w:eastAsia="Times New Roman" w:hAnsi="Times New Roman" w:cs="David" w:hint="cs"/>
          <w:color w:val="auto"/>
          <w:spacing w:val="0"/>
          <w:sz w:val="24"/>
          <w:szCs w:val="24"/>
          <w:rtl/>
          <w:lang w:eastAsia="he-IL"/>
        </w:rPr>
        <w:t xml:space="preserve">. כך, למשל, נקבע כי החלטות לפי ס' 66א(1) ו-(2), קרי: הטלת מגבלות לגבי דרכונו של החייב או עיכוב יציאה מהארץ של החייב, ניתנות לערעור בזכות. </w:t>
      </w:r>
      <w:r w:rsidR="00CA1902" w:rsidRPr="004B3767">
        <w:rPr>
          <w:rFonts w:ascii="Times New Roman" w:eastAsia="Times New Roman" w:hAnsi="Times New Roman" w:cs="David" w:hint="cs"/>
          <w:color w:val="auto"/>
          <w:spacing w:val="0"/>
          <w:sz w:val="24"/>
          <w:szCs w:val="24"/>
          <w:rtl/>
          <w:lang w:eastAsia="he-IL"/>
        </w:rPr>
        <w:t>לנוכח הפוגעניות שיש ב</w:t>
      </w:r>
      <w:r w:rsidR="008B4FD0" w:rsidRPr="004B3767">
        <w:rPr>
          <w:rFonts w:ascii="Times New Roman" w:eastAsia="Times New Roman" w:hAnsi="Times New Roman" w:cs="David" w:hint="cs"/>
          <w:color w:val="auto"/>
          <w:spacing w:val="0"/>
          <w:sz w:val="24"/>
          <w:szCs w:val="24"/>
          <w:rtl/>
          <w:lang w:eastAsia="he-IL"/>
        </w:rPr>
        <w:t>רישום פרטיו של חייב במרשם החייבים המשתמטים</w:t>
      </w:r>
      <w:r w:rsidR="00CA1902" w:rsidRPr="004B3767">
        <w:rPr>
          <w:rFonts w:ascii="Times New Roman" w:eastAsia="Times New Roman" w:hAnsi="Times New Roman" w:cs="David" w:hint="cs"/>
          <w:color w:val="auto"/>
          <w:spacing w:val="0"/>
          <w:sz w:val="24"/>
          <w:szCs w:val="24"/>
          <w:rtl/>
          <w:lang w:eastAsia="he-IL"/>
        </w:rPr>
        <w:t xml:space="preserve">, </w:t>
      </w:r>
      <w:r w:rsidR="008B4FD0" w:rsidRPr="004B3767">
        <w:rPr>
          <w:rFonts w:ascii="Times New Roman" w:eastAsia="Times New Roman" w:hAnsi="Times New Roman" w:cs="David" w:hint="cs"/>
          <w:color w:val="auto"/>
          <w:spacing w:val="0"/>
          <w:sz w:val="24"/>
          <w:szCs w:val="24"/>
          <w:rtl/>
          <w:lang w:eastAsia="he-IL"/>
        </w:rPr>
        <w:t xml:space="preserve">נראה </w:t>
      </w:r>
      <w:r w:rsidR="0058442D" w:rsidRPr="004B3767">
        <w:rPr>
          <w:rFonts w:ascii="Times New Roman" w:eastAsia="Times New Roman" w:hAnsi="Times New Roman" w:cs="David" w:hint="cs"/>
          <w:color w:val="auto"/>
          <w:spacing w:val="0"/>
          <w:sz w:val="24"/>
          <w:szCs w:val="24"/>
          <w:rtl/>
          <w:lang w:eastAsia="he-IL"/>
        </w:rPr>
        <w:t xml:space="preserve">כי </w:t>
      </w:r>
      <w:r w:rsidR="008B4FD0" w:rsidRPr="004B3767">
        <w:rPr>
          <w:rFonts w:ascii="Times New Roman" w:eastAsia="Times New Roman" w:hAnsi="Times New Roman" w:cs="David" w:hint="cs"/>
          <w:color w:val="auto"/>
          <w:spacing w:val="0"/>
          <w:sz w:val="24"/>
          <w:szCs w:val="24"/>
          <w:rtl/>
          <w:lang w:eastAsia="he-IL"/>
        </w:rPr>
        <w:t xml:space="preserve">מוצדק לאפשר </w:t>
      </w:r>
      <w:r w:rsidR="008B4FD0" w:rsidRPr="004B3767">
        <w:rPr>
          <w:rFonts w:ascii="Times New Roman" w:eastAsia="Times New Roman" w:hAnsi="Times New Roman" w:cs="David" w:hint="cs"/>
          <w:b/>
          <w:bCs/>
          <w:color w:val="auto"/>
          <w:spacing w:val="0"/>
          <w:sz w:val="24"/>
          <w:szCs w:val="24"/>
          <w:rtl/>
          <w:lang w:eastAsia="he-IL"/>
        </w:rPr>
        <w:t>ערעור בזכות</w:t>
      </w:r>
      <w:r w:rsidR="008B4FD0" w:rsidRPr="004B3767">
        <w:rPr>
          <w:rFonts w:ascii="Times New Roman" w:eastAsia="Times New Roman" w:hAnsi="Times New Roman" w:cs="David" w:hint="cs"/>
          <w:color w:val="auto"/>
          <w:spacing w:val="0"/>
          <w:sz w:val="24"/>
          <w:szCs w:val="24"/>
          <w:rtl/>
          <w:lang w:eastAsia="he-IL"/>
        </w:rPr>
        <w:t xml:space="preserve"> על החלטת רשם לרשום את פרטי החייב במרשם.</w:t>
      </w:r>
    </w:p>
    <w:p w:rsidR="006A740A" w:rsidRPr="004B3767" w:rsidRDefault="00CA1902" w:rsidP="00361A78">
      <w:pPr>
        <w:spacing w:after="120"/>
        <w:rPr>
          <w:rFonts w:cs="David"/>
          <w:sz w:val="24"/>
          <w:rtl/>
        </w:rPr>
      </w:pPr>
      <w:r w:rsidRPr="004B3767">
        <w:rPr>
          <w:rFonts w:cs="David" w:hint="cs"/>
          <w:sz w:val="24"/>
          <w:rtl/>
        </w:rPr>
        <w:t>3.</w:t>
      </w:r>
      <w:r w:rsidR="006A740A" w:rsidRPr="004B3767">
        <w:rPr>
          <w:rFonts w:cs="David" w:hint="cs"/>
          <w:b/>
          <w:bCs/>
          <w:sz w:val="24"/>
          <w:rtl/>
        </w:rPr>
        <w:t xml:space="preserve"> דיווחים ל</w:t>
      </w:r>
      <w:r w:rsidR="00DC4912" w:rsidRPr="004B3767">
        <w:rPr>
          <w:rFonts w:cs="David" w:hint="cs"/>
          <w:b/>
          <w:bCs/>
          <w:sz w:val="24"/>
          <w:rtl/>
        </w:rPr>
        <w:t>כנסת</w:t>
      </w:r>
      <w:r w:rsidR="006A740A" w:rsidRPr="004B3767">
        <w:rPr>
          <w:rFonts w:cs="David" w:hint="cs"/>
          <w:sz w:val="24"/>
          <w:rtl/>
        </w:rPr>
        <w:t xml:space="preserve"> </w:t>
      </w:r>
      <w:r w:rsidR="006A740A" w:rsidRPr="004B3767">
        <w:rPr>
          <w:rFonts w:cs="David"/>
          <w:sz w:val="24"/>
          <w:rtl/>
        </w:rPr>
        <w:t>–</w:t>
      </w:r>
      <w:r w:rsidR="006A740A" w:rsidRPr="004B3767">
        <w:rPr>
          <w:rFonts w:cs="David" w:hint="cs"/>
          <w:sz w:val="24"/>
          <w:rtl/>
        </w:rPr>
        <w:t xml:space="preserve"> לנוכח ההשלכות שעשויות להיות למרשם החייבים המשתמטים, יש מקום לשקול </w:t>
      </w:r>
      <w:r w:rsidR="00DC4912" w:rsidRPr="004B3767">
        <w:rPr>
          <w:rFonts w:cs="David" w:hint="cs"/>
          <w:sz w:val="24"/>
          <w:rtl/>
        </w:rPr>
        <w:t xml:space="preserve">להטיל על מערכת ההוצאה לפועל חובת דיווח לכנסת, כדי שהכנסת תוכל לפקח ולעקוב אחרי היקף השימוש באמצעי אכיפה זה ומידת יעילותו. </w:t>
      </w:r>
    </w:p>
    <w:p w:rsidR="006A740A" w:rsidRDefault="006A740A" w:rsidP="00361A78">
      <w:pPr>
        <w:spacing w:after="120"/>
        <w:rPr>
          <w:rFonts w:cs="David"/>
          <w:color w:val="0070C0"/>
          <w:sz w:val="24"/>
          <w:highlight w:val="yellow"/>
          <w:rtl/>
        </w:rPr>
      </w:pPr>
    </w:p>
    <w:p w:rsidR="00E81955" w:rsidRPr="00363896" w:rsidRDefault="00E81955" w:rsidP="007F5D3C">
      <w:pPr>
        <w:spacing w:after="120" w:line="240" w:lineRule="auto"/>
        <w:rPr>
          <w:rFonts w:cs="David"/>
          <w:sz w:val="24"/>
          <w:rtl/>
        </w:rPr>
      </w:pPr>
      <w:r>
        <w:rPr>
          <w:rFonts w:cs="David" w:hint="cs"/>
          <w:sz w:val="24"/>
          <w:rtl/>
        </w:rPr>
        <w:t>ב</w:t>
      </w:r>
      <w:r w:rsidRPr="0013068B">
        <w:rPr>
          <w:rFonts w:cs="David" w:hint="cs"/>
          <w:sz w:val="24"/>
          <w:rtl/>
        </w:rPr>
        <w:t xml:space="preserve">. </w:t>
      </w:r>
      <w:r>
        <w:rPr>
          <w:rFonts w:cs="David" w:hint="cs"/>
          <w:sz w:val="24"/>
          <w:u w:val="single"/>
          <w:rtl/>
        </w:rPr>
        <w:t>ניהול ה</w:t>
      </w:r>
      <w:r w:rsidRPr="00D37F94">
        <w:rPr>
          <w:rFonts w:cs="David" w:hint="cs"/>
          <w:sz w:val="24"/>
          <w:u w:val="single"/>
          <w:rtl/>
        </w:rPr>
        <w:t>מרשם (סעיף 66</w:t>
      </w:r>
      <w:r>
        <w:rPr>
          <w:rFonts w:cs="David" w:hint="cs"/>
          <w:sz w:val="24"/>
          <w:u w:val="single"/>
          <w:rtl/>
        </w:rPr>
        <w:t>ו</w:t>
      </w:r>
      <w:r w:rsidRPr="00D37F94">
        <w:rPr>
          <w:rFonts w:cs="David" w:hint="cs"/>
          <w:sz w:val="24"/>
          <w:u w:val="single"/>
          <w:rtl/>
        </w:rPr>
        <w:t xml:space="preserve"> המוצע) </w:t>
      </w:r>
    </w:p>
    <w:p w:rsidR="006A740A" w:rsidRPr="00363896" w:rsidRDefault="00E81955" w:rsidP="00361A78">
      <w:pPr>
        <w:spacing w:after="120"/>
        <w:rPr>
          <w:rFonts w:cs="David"/>
          <w:sz w:val="24"/>
          <w:rtl/>
        </w:rPr>
      </w:pPr>
      <w:r w:rsidRPr="00363896">
        <w:rPr>
          <w:rFonts w:cs="David" w:hint="cs"/>
          <w:sz w:val="24"/>
          <w:rtl/>
        </w:rPr>
        <w:t xml:space="preserve">מוצע לקבוע כי מרשם </w:t>
      </w:r>
      <w:r w:rsidR="00C16F51" w:rsidRPr="00363896">
        <w:rPr>
          <w:rFonts w:cs="David" w:hint="cs"/>
          <w:sz w:val="24"/>
          <w:rtl/>
        </w:rPr>
        <w:t xml:space="preserve">החייבים המשתמטים </w:t>
      </w:r>
      <w:r w:rsidRPr="00363896">
        <w:rPr>
          <w:rFonts w:cs="David" w:hint="cs"/>
          <w:sz w:val="24"/>
          <w:rtl/>
        </w:rPr>
        <w:t>יכלול את שם החייב</w:t>
      </w:r>
      <w:r w:rsidR="00C16F51" w:rsidRPr="00363896">
        <w:rPr>
          <w:rFonts w:cs="David" w:hint="cs"/>
          <w:sz w:val="24"/>
          <w:rtl/>
        </w:rPr>
        <w:t xml:space="preserve"> שהוחלט על רישומו</w:t>
      </w:r>
      <w:r w:rsidRPr="00363896">
        <w:rPr>
          <w:rFonts w:cs="David" w:hint="cs"/>
          <w:sz w:val="24"/>
          <w:rtl/>
        </w:rPr>
        <w:t>, מספר הזהות שלו ותאריך ההחלטה על רישומו במרשם. המרשם יהיה פתוח לעיון הציבור באתר האינטרנט של מערכת ההוצאה לפועל, וינוהל על דרך של שאילתה פרטנית. אדם המעוניין לקבל מידע על חייב, יתבקש לציין פרטים על עצמו ועל החייב, כפי שייקבע שר המשפטים.</w:t>
      </w:r>
    </w:p>
    <w:p w:rsidR="005E5F85" w:rsidRPr="00363896" w:rsidRDefault="00E81955" w:rsidP="00361A78">
      <w:pPr>
        <w:spacing w:after="120"/>
        <w:rPr>
          <w:rFonts w:cs="David"/>
          <w:sz w:val="24"/>
          <w:rtl/>
        </w:rPr>
      </w:pPr>
      <w:r w:rsidRPr="00363896">
        <w:rPr>
          <w:rFonts w:cs="David" w:hint="cs"/>
          <w:sz w:val="24"/>
          <w:rtl/>
        </w:rPr>
        <w:t xml:space="preserve">כדי לצמצם את הפגיעה בפרטיות ולמנוע טעויות, מוצע לקבוע כי </w:t>
      </w:r>
      <w:r w:rsidR="00363896">
        <w:rPr>
          <w:rFonts w:cs="David" w:hint="cs"/>
          <w:sz w:val="24"/>
          <w:rtl/>
        </w:rPr>
        <w:t xml:space="preserve">חייב </w:t>
      </w:r>
      <w:r w:rsidRPr="00363896">
        <w:rPr>
          <w:rFonts w:cs="David" w:hint="cs"/>
          <w:sz w:val="24"/>
          <w:rtl/>
        </w:rPr>
        <w:t xml:space="preserve">שעיין במידע המפורט לגביו במרשם ומצא כי אינו נכון, שלם, ברור או מעודכן, </w:t>
      </w:r>
      <w:r w:rsidR="00363896">
        <w:rPr>
          <w:rFonts w:cs="David" w:hint="cs"/>
          <w:sz w:val="24"/>
          <w:rtl/>
        </w:rPr>
        <w:t xml:space="preserve">יהיה </w:t>
      </w:r>
      <w:r w:rsidRPr="00363896">
        <w:rPr>
          <w:rFonts w:cs="David" w:hint="cs"/>
          <w:sz w:val="24"/>
          <w:rtl/>
        </w:rPr>
        <w:t xml:space="preserve">רשאי לפנות למנהל לשכת ההוצאה לפועל בבקשה לתקן את המידע או למחוק אותו. אם הסכים המנהל לבקשה </w:t>
      </w:r>
      <w:r w:rsidRPr="00363896">
        <w:rPr>
          <w:rFonts w:cs="David"/>
          <w:sz w:val="24"/>
          <w:rtl/>
        </w:rPr>
        <w:t>–</w:t>
      </w:r>
      <w:r w:rsidRPr="00363896">
        <w:rPr>
          <w:rFonts w:cs="David" w:hint="cs"/>
          <w:sz w:val="24"/>
          <w:rtl/>
        </w:rPr>
        <w:t xml:space="preserve"> יבצע את השינויים הנדרשים בתוך תקופה שתיקבע ויודיע עליהם לכל מי שקיבל את המידע השגוי במהלך התקופה, </w:t>
      </w:r>
      <w:r w:rsidRPr="00363896">
        <w:rPr>
          <w:rFonts w:cs="David" w:hint="cs"/>
          <w:sz w:val="24"/>
          <w:rtl/>
        </w:rPr>
        <w:lastRenderedPageBreak/>
        <w:t xml:space="preserve">כפי שתיקבע, שקדמה לתיקון או למחיקה. אם סירב המנהל לבקשה של אדם לתקן את המידע לגביו או למחוק אותו </w:t>
      </w:r>
      <w:r w:rsidRPr="00363896">
        <w:rPr>
          <w:rFonts w:cs="David"/>
          <w:sz w:val="24"/>
          <w:rtl/>
        </w:rPr>
        <w:t>–</w:t>
      </w:r>
      <w:r w:rsidRPr="00363896">
        <w:rPr>
          <w:rFonts w:cs="David" w:hint="cs"/>
          <w:sz w:val="24"/>
          <w:rtl/>
        </w:rPr>
        <w:t xml:space="preserve"> יודיע על כך למבקש.</w:t>
      </w:r>
      <w:r w:rsidR="005E5F85" w:rsidRPr="00363896">
        <w:rPr>
          <w:rFonts w:cs="David" w:hint="cs"/>
          <w:sz w:val="24"/>
          <w:rtl/>
        </w:rPr>
        <w:t xml:space="preserve"> </w:t>
      </w:r>
    </w:p>
    <w:p w:rsidR="006A740A" w:rsidRPr="00357F7A" w:rsidRDefault="005E5F85" w:rsidP="00361A78">
      <w:pPr>
        <w:spacing w:after="120"/>
        <w:rPr>
          <w:rFonts w:cs="David"/>
          <w:sz w:val="24"/>
          <w:rtl/>
        </w:rPr>
      </w:pPr>
      <w:r w:rsidRPr="00363896">
        <w:rPr>
          <w:rFonts w:cs="David" w:hint="cs"/>
          <w:sz w:val="24"/>
          <w:rtl/>
        </w:rPr>
        <w:t xml:space="preserve">כמו כן, </w:t>
      </w:r>
      <w:r w:rsidR="00E81955" w:rsidRPr="00357F7A">
        <w:rPr>
          <w:rFonts w:cs="David" w:hint="cs"/>
          <w:sz w:val="24"/>
          <w:rtl/>
        </w:rPr>
        <w:t>מוצע להסמיך את שר המשפטים לקבוע הוראות לעניין ניהול המרשם.</w:t>
      </w:r>
    </w:p>
    <w:p w:rsidR="00E81955" w:rsidRPr="00335612" w:rsidRDefault="005E5F85" w:rsidP="00361A78">
      <w:pPr>
        <w:spacing w:after="120" w:line="240" w:lineRule="auto"/>
        <w:rPr>
          <w:rFonts w:cs="David"/>
          <w:sz w:val="24"/>
          <w:rtl/>
        </w:rPr>
      </w:pPr>
      <w:r w:rsidRPr="00335612">
        <w:rPr>
          <w:rFonts w:cs="David" w:hint="cs"/>
          <w:sz w:val="24"/>
          <w:u w:val="single"/>
          <w:rtl/>
        </w:rPr>
        <w:t>נקודות לדיון</w:t>
      </w:r>
      <w:r w:rsidRPr="00335612">
        <w:rPr>
          <w:rFonts w:cs="David" w:hint="cs"/>
          <w:sz w:val="24"/>
          <w:rtl/>
        </w:rPr>
        <w:t>:</w:t>
      </w:r>
    </w:p>
    <w:p w:rsidR="008D4873" w:rsidRPr="00335612" w:rsidRDefault="005E5F85" w:rsidP="00361A78">
      <w:pPr>
        <w:spacing w:after="120"/>
        <w:rPr>
          <w:rFonts w:cs="David"/>
          <w:sz w:val="24"/>
          <w:rtl/>
        </w:rPr>
      </w:pPr>
      <w:r w:rsidRPr="00335612">
        <w:rPr>
          <w:rFonts w:cs="David" w:hint="cs"/>
          <w:b/>
          <w:bCs/>
          <w:sz w:val="24"/>
          <w:rtl/>
        </w:rPr>
        <w:t>מטרות בקשת המידע</w:t>
      </w:r>
      <w:r w:rsidR="00363896" w:rsidRPr="00335612">
        <w:rPr>
          <w:rFonts w:cs="David" w:hint="cs"/>
          <w:b/>
          <w:bCs/>
          <w:sz w:val="24"/>
          <w:rtl/>
        </w:rPr>
        <w:t xml:space="preserve"> </w:t>
      </w:r>
      <w:r w:rsidR="008E0FF6" w:rsidRPr="00335612">
        <w:rPr>
          <w:rFonts w:cs="David" w:hint="cs"/>
          <w:b/>
          <w:bCs/>
          <w:sz w:val="24"/>
          <w:rtl/>
        </w:rPr>
        <w:t>מהמרש</w:t>
      </w:r>
      <w:r w:rsidR="00C93478" w:rsidRPr="00335612">
        <w:rPr>
          <w:rFonts w:cs="David" w:hint="cs"/>
          <w:b/>
          <w:bCs/>
          <w:sz w:val="24"/>
          <w:rtl/>
        </w:rPr>
        <w:t>ם והשימושים המותרים בו</w:t>
      </w:r>
      <w:r w:rsidR="008E0FF6" w:rsidRPr="00335612">
        <w:rPr>
          <w:rFonts w:cs="David" w:hint="cs"/>
          <w:b/>
          <w:bCs/>
          <w:sz w:val="24"/>
          <w:rtl/>
        </w:rPr>
        <w:t xml:space="preserve"> </w:t>
      </w:r>
      <w:r w:rsidRPr="00335612">
        <w:rPr>
          <w:rFonts w:cs="David"/>
          <w:sz w:val="24"/>
          <w:rtl/>
        </w:rPr>
        <w:t>–</w:t>
      </w:r>
      <w:r w:rsidRPr="00335612">
        <w:rPr>
          <w:rFonts w:cs="David" w:hint="cs"/>
          <w:sz w:val="24"/>
          <w:rtl/>
        </w:rPr>
        <w:t xml:space="preserve"> </w:t>
      </w:r>
      <w:r w:rsidR="00C93478" w:rsidRPr="00335612">
        <w:rPr>
          <w:rFonts w:cs="David" w:hint="cs"/>
          <w:sz w:val="24"/>
          <w:rtl/>
        </w:rPr>
        <w:t xml:space="preserve">ההסדר המוצע מעצב את המרשם באופן שנועד מצד אחד להשיג את המטרות השונות העומדות בבסיס המרשם, ומצד שני מבקש להגן </w:t>
      </w:r>
      <w:r w:rsidR="00C93478" w:rsidRPr="00335612">
        <w:rPr>
          <w:rFonts w:cs="David"/>
          <w:sz w:val="24"/>
          <w:rtl/>
        </w:rPr>
        <w:t>–</w:t>
      </w:r>
      <w:r w:rsidR="00C93478" w:rsidRPr="00335612">
        <w:rPr>
          <w:rFonts w:cs="David" w:hint="cs"/>
          <w:sz w:val="24"/>
          <w:rtl/>
        </w:rPr>
        <w:t xml:space="preserve"> ככל האפשר </w:t>
      </w:r>
      <w:r w:rsidR="00C93478" w:rsidRPr="00335612">
        <w:rPr>
          <w:rFonts w:cs="David"/>
          <w:sz w:val="24"/>
          <w:rtl/>
        </w:rPr>
        <w:t>–</w:t>
      </w:r>
      <w:r w:rsidR="00C93478" w:rsidRPr="00335612">
        <w:rPr>
          <w:rFonts w:cs="David" w:hint="cs"/>
          <w:sz w:val="24"/>
          <w:rtl/>
        </w:rPr>
        <w:t xml:space="preserve"> על פרטיות החייב. לכן, המרשם המוצע אינו נבנה כמרשם שפתוח לעיון הציבור באופן מלא, אלא כמרשם שניתן לקבל ממנו מידע רק בדרך של שאילתה ספציפית ובודדות, דבר שיש בו כדי להקטין את הפגיעה בפרטיות החייב. ואולם, </w:t>
      </w:r>
      <w:r w:rsidRPr="00335612">
        <w:rPr>
          <w:rFonts w:cs="David" w:hint="cs"/>
          <w:sz w:val="24"/>
          <w:rtl/>
        </w:rPr>
        <w:t xml:space="preserve">ההסדר המוצע אינו מציב כל מגבלה באשר לאפשרות לבקש את המידע מהמרשם. לכאורה, </w:t>
      </w:r>
      <w:r w:rsidR="00112814" w:rsidRPr="00335612">
        <w:rPr>
          <w:rFonts w:cs="David" w:hint="cs"/>
          <w:sz w:val="24"/>
          <w:rtl/>
        </w:rPr>
        <w:t xml:space="preserve">על פי המוצע </w:t>
      </w:r>
      <w:r w:rsidRPr="00335612">
        <w:rPr>
          <w:rFonts w:cs="David" w:hint="cs"/>
          <w:sz w:val="24"/>
          <w:rtl/>
        </w:rPr>
        <w:t xml:space="preserve">כל אדם שיש בידיו את מספר תעודת הזהות של אדם אחר, יוכל לפנות ולבקש מידע באשר לרישומו של אותו אדם במרשם. </w:t>
      </w:r>
      <w:r w:rsidR="00133D13" w:rsidRPr="00335612">
        <w:rPr>
          <w:rFonts w:cs="David" w:hint="cs"/>
          <w:sz w:val="24"/>
          <w:rtl/>
        </w:rPr>
        <w:t xml:space="preserve">כך, </w:t>
      </w:r>
      <w:r w:rsidRPr="00335612">
        <w:rPr>
          <w:rFonts w:cs="David" w:hint="cs"/>
          <w:sz w:val="24"/>
          <w:rtl/>
        </w:rPr>
        <w:t xml:space="preserve">עיתונאי שמבקש לעשות כתבת תחקיר או אדם שמסוכסך עם שכנו, יוכל לפנות למרשם בניסיון לברר מידע על אנשים שונים. </w:t>
      </w:r>
    </w:p>
    <w:p w:rsidR="00B01DBF" w:rsidRPr="00335612" w:rsidRDefault="00133D13" w:rsidP="00361A78">
      <w:pPr>
        <w:spacing w:after="120"/>
        <w:rPr>
          <w:rFonts w:cs="David"/>
          <w:sz w:val="24"/>
          <w:rtl/>
        </w:rPr>
      </w:pPr>
      <w:r w:rsidRPr="00335612">
        <w:rPr>
          <w:rFonts w:cs="David" w:hint="cs"/>
          <w:sz w:val="24"/>
          <w:rtl/>
        </w:rPr>
        <w:t xml:space="preserve">כאמור לעיל, </w:t>
      </w:r>
      <w:r w:rsidR="005E5F85" w:rsidRPr="00335612">
        <w:rPr>
          <w:rFonts w:cs="David" w:hint="cs"/>
          <w:sz w:val="24"/>
          <w:rtl/>
        </w:rPr>
        <w:t>בדברי ההסבר</w:t>
      </w:r>
      <w:r w:rsidRPr="00335612">
        <w:rPr>
          <w:rFonts w:cs="David" w:hint="cs"/>
          <w:sz w:val="24"/>
          <w:rtl/>
        </w:rPr>
        <w:t xml:space="preserve"> להצעת החוק נמסרו שלושה </w:t>
      </w:r>
      <w:r w:rsidR="005E5F85" w:rsidRPr="00335612">
        <w:rPr>
          <w:rFonts w:cs="David" w:hint="cs"/>
          <w:sz w:val="24"/>
          <w:rtl/>
        </w:rPr>
        <w:t xml:space="preserve">נימוקים </w:t>
      </w:r>
      <w:r w:rsidRPr="00335612">
        <w:rPr>
          <w:rFonts w:cs="David" w:hint="cs"/>
          <w:sz w:val="24"/>
          <w:rtl/>
        </w:rPr>
        <w:t>ה</w:t>
      </w:r>
      <w:r w:rsidR="005E5F85" w:rsidRPr="00335612">
        <w:rPr>
          <w:rFonts w:cs="David" w:hint="cs"/>
          <w:sz w:val="24"/>
          <w:rtl/>
        </w:rPr>
        <w:t xml:space="preserve">עומדים ביסוד יצירת המרשם החייבים המשתמטים: הראשון </w:t>
      </w:r>
      <w:r w:rsidR="005E5F85" w:rsidRPr="00335612">
        <w:rPr>
          <w:rFonts w:cs="David"/>
          <w:sz w:val="24"/>
          <w:rtl/>
        </w:rPr>
        <w:t>–</w:t>
      </w:r>
      <w:r w:rsidR="005E5F85" w:rsidRPr="00335612">
        <w:rPr>
          <w:rFonts w:cs="David" w:hint="cs"/>
          <w:sz w:val="24"/>
          <w:rtl/>
        </w:rPr>
        <w:t xml:space="preserve"> לאפשר למי שמעוניין להתקשר עם החייב על סיכונים אפשריים הכרוכים בהתקשרות כאמור; השני </w:t>
      </w:r>
      <w:r w:rsidR="005E5F85" w:rsidRPr="00335612">
        <w:rPr>
          <w:rFonts w:cs="David"/>
          <w:sz w:val="24"/>
          <w:rtl/>
        </w:rPr>
        <w:t>–</w:t>
      </w:r>
      <w:r w:rsidR="005E5F85" w:rsidRPr="00335612">
        <w:rPr>
          <w:rFonts w:cs="David" w:hint="cs"/>
          <w:sz w:val="24"/>
          <w:rtl/>
        </w:rPr>
        <w:t xml:space="preserve"> לאפשר לזוכים לכלכל את צעדיהם באשר לניהול הליכים נגד החייב; השלישי </w:t>
      </w:r>
      <w:r w:rsidR="005E5F85" w:rsidRPr="00335612">
        <w:rPr>
          <w:rFonts w:cs="David"/>
          <w:sz w:val="24"/>
          <w:rtl/>
        </w:rPr>
        <w:t>–</w:t>
      </w:r>
      <w:r w:rsidR="005E5F85" w:rsidRPr="00335612">
        <w:rPr>
          <w:rFonts w:cs="David" w:hint="cs"/>
          <w:sz w:val="24"/>
          <w:rtl/>
        </w:rPr>
        <w:t xml:space="preserve"> להרתיע את החייב ולתמרץ אותו לשלם. מתוך נימוקים אלה, העומדים </w:t>
      </w:r>
      <w:r w:rsidR="008D4873" w:rsidRPr="00335612">
        <w:rPr>
          <w:rFonts w:cs="David" w:hint="cs"/>
          <w:sz w:val="24"/>
          <w:rtl/>
        </w:rPr>
        <w:t xml:space="preserve">בבסיס </w:t>
      </w:r>
      <w:r w:rsidR="005E5F85" w:rsidRPr="00335612">
        <w:rPr>
          <w:rFonts w:cs="David" w:hint="cs"/>
          <w:sz w:val="24"/>
          <w:rtl/>
        </w:rPr>
        <w:t xml:space="preserve">המרשם, יש צורך לגזור ולהגדיר גם את היקף השימוש האפשרי במרשם. לפי שני הנימוקים הראשונים </w:t>
      </w:r>
      <w:r w:rsidR="005E5F85" w:rsidRPr="00335612">
        <w:rPr>
          <w:rFonts w:cs="David"/>
          <w:sz w:val="24"/>
          <w:rtl/>
        </w:rPr>
        <w:t>–</w:t>
      </w:r>
      <w:r w:rsidR="005E5F85" w:rsidRPr="00335612">
        <w:rPr>
          <w:rFonts w:cs="David" w:hint="cs"/>
          <w:sz w:val="24"/>
          <w:rtl/>
        </w:rPr>
        <w:t xml:space="preserve"> יש להגביל את האפשרות לבקש מידע מהמרשם רק לאנשים שעושים/עשו עסקים עם החייב או ששוקלים לעשות זאת. לפי הנימוק השלישי </w:t>
      </w:r>
      <w:r w:rsidR="005E5F85" w:rsidRPr="00335612">
        <w:rPr>
          <w:rFonts w:cs="David"/>
          <w:sz w:val="24"/>
          <w:rtl/>
        </w:rPr>
        <w:t>–</w:t>
      </w:r>
      <w:r w:rsidR="005E5F85" w:rsidRPr="00335612">
        <w:rPr>
          <w:rFonts w:cs="David" w:hint="cs"/>
          <w:sz w:val="24"/>
          <w:rtl/>
        </w:rPr>
        <w:t xml:space="preserve"> ניתן אמנם לטעון כי ככל שיותר אנשים יהיו חשופים למידע התמריץ של החייב לשלם יהיה גדול יותר, אך ניתן גם לטעון כי עיקר הלחץ המופעל על החייב מרישומו במרשם כאמור, הוא החשש שאנשים יימנעו מלעשות </w:t>
      </w:r>
      <w:proofErr w:type="spellStart"/>
      <w:r w:rsidR="005E5F85" w:rsidRPr="00335612">
        <w:rPr>
          <w:rFonts w:cs="David" w:hint="cs"/>
          <w:sz w:val="24"/>
          <w:rtl/>
        </w:rPr>
        <w:t>איתו</w:t>
      </w:r>
      <w:proofErr w:type="spellEnd"/>
      <w:r w:rsidR="005E5F85" w:rsidRPr="00335612">
        <w:rPr>
          <w:rFonts w:cs="David" w:hint="cs"/>
          <w:sz w:val="24"/>
          <w:rtl/>
        </w:rPr>
        <w:t xml:space="preserve"> עסקים, דבר שמחזיר אותנו למסקנה הנגזרת משני הנימוקים הראשונים.</w:t>
      </w:r>
      <w:r w:rsidR="00980FB1" w:rsidRPr="00335612">
        <w:rPr>
          <w:rFonts w:cs="David" w:hint="cs"/>
          <w:sz w:val="24"/>
          <w:rtl/>
        </w:rPr>
        <w:t xml:space="preserve"> </w:t>
      </w:r>
    </w:p>
    <w:p w:rsidR="00980FB1" w:rsidRPr="00335612" w:rsidRDefault="005E5F85" w:rsidP="00361A78">
      <w:pPr>
        <w:spacing w:after="120"/>
        <w:rPr>
          <w:rFonts w:cs="David"/>
          <w:sz w:val="24"/>
          <w:rtl/>
        </w:rPr>
      </w:pPr>
      <w:r w:rsidRPr="00335612">
        <w:rPr>
          <w:rFonts w:cs="David" w:hint="cs"/>
          <w:sz w:val="24"/>
          <w:rtl/>
        </w:rPr>
        <w:t xml:space="preserve">לנוכח האמור, נראה כי </w:t>
      </w:r>
      <w:r w:rsidRPr="00335612">
        <w:rPr>
          <w:rFonts w:cs="David" w:hint="cs"/>
          <w:sz w:val="24"/>
          <w:u w:val="single"/>
          <w:rtl/>
        </w:rPr>
        <w:t>יש מקום להגדיר בצורה ברורה יותר מי רשאי לבקש מידע מהמרשם ולאלה מטרות</w:t>
      </w:r>
      <w:r w:rsidRPr="00335612">
        <w:rPr>
          <w:rFonts w:cs="David" w:hint="cs"/>
          <w:sz w:val="24"/>
          <w:rtl/>
        </w:rPr>
        <w:t xml:space="preserve">. כך, למשל, ניתן לקבוע כי </w:t>
      </w:r>
      <w:r w:rsidR="009E3D5F" w:rsidRPr="00335612">
        <w:rPr>
          <w:rFonts w:cs="David" w:hint="cs"/>
          <w:sz w:val="24"/>
          <w:rtl/>
        </w:rPr>
        <w:t>ניתן יהיה לקבל מידע מהמרשם רק לאחר הצהרה שהמידע מבוקש לצורך קבלת החלטה בדבר התקשרות עם החייב או נקיטת הליכי גבייה נגד החייב.</w:t>
      </w:r>
      <w:r w:rsidR="00B01DBF" w:rsidRPr="00335612">
        <w:rPr>
          <w:rFonts w:cs="David" w:hint="cs"/>
          <w:sz w:val="24"/>
          <w:rtl/>
        </w:rPr>
        <w:t xml:space="preserve"> בהמשך לכך, </w:t>
      </w:r>
      <w:r w:rsidR="00B01DBF" w:rsidRPr="00335612">
        <w:rPr>
          <w:rFonts w:cs="David" w:hint="cs"/>
          <w:sz w:val="24"/>
          <w:u w:val="single"/>
          <w:rtl/>
        </w:rPr>
        <w:t>יש מקום להבהיר כי אדם שקיבל מידע מהמרשם יהיה רשאי לעשות במידע שימוש רק לצורך אותן המטרות שלשמן ניתן לקבל את המידע מהמרשם</w:t>
      </w:r>
      <w:r w:rsidR="00B01DBF" w:rsidRPr="00335612">
        <w:rPr>
          <w:rFonts w:cs="David" w:hint="cs"/>
          <w:sz w:val="24"/>
          <w:rtl/>
        </w:rPr>
        <w:t>, ולאסור עליו לפרסם את המידע או לעשות בו שימוש אחר מזה שלשמו קיבל את המידע.</w:t>
      </w:r>
    </w:p>
    <w:p w:rsidR="005E5F85" w:rsidRPr="00335612" w:rsidRDefault="005E5F85" w:rsidP="00361A78">
      <w:pPr>
        <w:spacing w:after="120" w:line="240" w:lineRule="auto"/>
        <w:rPr>
          <w:rFonts w:cs="David"/>
          <w:sz w:val="24"/>
          <w:rtl/>
        </w:rPr>
      </w:pPr>
    </w:p>
    <w:p w:rsidR="00F33CE4" w:rsidRPr="0072318B" w:rsidRDefault="00F33CE4" w:rsidP="007F5D3C">
      <w:pPr>
        <w:spacing w:after="120" w:line="240" w:lineRule="auto"/>
        <w:rPr>
          <w:rFonts w:cs="David"/>
          <w:sz w:val="24"/>
          <w:rtl/>
        </w:rPr>
      </w:pPr>
      <w:r w:rsidRPr="00335612">
        <w:rPr>
          <w:rFonts w:cs="David" w:hint="cs"/>
          <w:sz w:val="24"/>
          <w:rtl/>
        </w:rPr>
        <w:t xml:space="preserve">ג. </w:t>
      </w:r>
      <w:r w:rsidRPr="00335612">
        <w:rPr>
          <w:rFonts w:cs="David" w:hint="cs"/>
          <w:sz w:val="24"/>
          <w:u w:val="single"/>
          <w:rtl/>
        </w:rPr>
        <w:t>מחיקת חייב מהמרשם (סעיף 66ז המוצע)</w:t>
      </w:r>
      <w:r w:rsidRPr="0072318B">
        <w:rPr>
          <w:rFonts w:cs="David" w:hint="cs"/>
          <w:sz w:val="24"/>
          <w:u w:val="single"/>
          <w:rtl/>
        </w:rPr>
        <w:t xml:space="preserve"> </w:t>
      </w:r>
    </w:p>
    <w:p w:rsidR="00D34A44" w:rsidRPr="0072318B" w:rsidRDefault="00834A2D" w:rsidP="00361A78">
      <w:pPr>
        <w:rPr>
          <w:rFonts w:cs="David"/>
          <w:sz w:val="24"/>
          <w:rtl/>
        </w:rPr>
      </w:pPr>
      <w:r w:rsidRPr="0072318B">
        <w:rPr>
          <w:rFonts w:cs="David" w:hint="cs"/>
          <w:sz w:val="24"/>
          <w:rtl/>
        </w:rPr>
        <w:t>על פי המוצע בהצעת החוק הממשלתית, פרטי רישומו של חייב יימחקו ממרשם החייבים המשתמטים באחד מהמקרים הבאים:</w:t>
      </w:r>
    </w:p>
    <w:p w:rsidR="00834A2D" w:rsidRPr="0072318B" w:rsidRDefault="00D34A44" w:rsidP="00361A78">
      <w:pPr>
        <w:pStyle w:val="a7"/>
        <w:numPr>
          <w:ilvl w:val="0"/>
          <w:numId w:val="21"/>
        </w:numPr>
        <w:spacing w:line="360" w:lineRule="auto"/>
        <w:ind w:left="363"/>
        <w:rPr>
          <w:rFonts w:ascii="Times New Roman" w:eastAsia="Times New Roman" w:hAnsi="Times New Roman" w:cs="David"/>
          <w:color w:val="auto"/>
          <w:spacing w:val="0"/>
          <w:sz w:val="24"/>
          <w:szCs w:val="24"/>
          <w:lang w:eastAsia="he-IL"/>
        </w:rPr>
      </w:pPr>
      <w:r w:rsidRPr="0072318B">
        <w:rPr>
          <w:rFonts w:ascii="Times New Roman" w:eastAsia="Times New Roman" w:hAnsi="Times New Roman" w:cs="David" w:hint="cs"/>
          <w:color w:val="auto"/>
          <w:spacing w:val="0"/>
          <w:sz w:val="24"/>
          <w:szCs w:val="24"/>
          <w:rtl/>
          <w:lang w:eastAsia="he-IL"/>
        </w:rPr>
        <w:t>אם החייב פרע את חובו;</w:t>
      </w:r>
    </w:p>
    <w:p w:rsidR="00D34A44" w:rsidRPr="0072318B" w:rsidRDefault="00D34A44" w:rsidP="00361A78">
      <w:pPr>
        <w:pStyle w:val="a7"/>
        <w:numPr>
          <w:ilvl w:val="0"/>
          <w:numId w:val="21"/>
        </w:numPr>
        <w:spacing w:line="360" w:lineRule="auto"/>
        <w:ind w:left="363"/>
        <w:rPr>
          <w:rFonts w:ascii="Times New Roman" w:eastAsia="Times New Roman" w:hAnsi="Times New Roman" w:cs="David"/>
          <w:color w:val="auto"/>
          <w:spacing w:val="0"/>
          <w:sz w:val="24"/>
          <w:szCs w:val="24"/>
          <w:lang w:eastAsia="he-IL"/>
        </w:rPr>
      </w:pPr>
      <w:r w:rsidRPr="0072318B">
        <w:rPr>
          <w:rFonts w:ascii="Times New Roman" w:eastAsia="Times New Roman" w:hAnsi="Times New Roman" w:cs="David" w:hint="cs"/>
          <w:color w:val="auto"/>
          <w:spacing w:val="0"/>
          <w:sz w:val="24"/>
          <w:szCs w:val="24"/>
          <w:rtl/>
          <w:lang w:eastAsia="he-IL"/>
        </w:rPr>
        <w:t xml:space="preserve">אם רשם ההוצאה לפועל החליט </w:t>
      </w:r>
      <w:r w:rsidRPr="0072318B">
        <w:rPr>
          <w:rFonts w:ascii="Times New Roman" w:eastAsia="Times New Roman" w:hAnsi="Times New Roman" w:cs="David"/>
          <w:color w:val="auto"/>
          <w:spacing w:val="0"/>
          <w:sz w:val="24"/>
          <w:szCs w:val="24"/>
          <w:rtl/>
          <w:lang w:eastAsia="he-IL"/>
        </w:rPr>
        <w:t>–</w:t>
      </w:r>
      <w:r w:rsidRPr="0072318B">
        <w:rPr>
          <w:rFonts w:ascii="Times New Roman" w:eastAsia="Times New Roman" w:hAnsi="Times New Roman" w:cs="David" w:hint="cs"/>
          <w:color w:val="auto"/>
          <w:spacing w:val="0"/>
          <w:sz w:val="24"/>
          <w:szCs w:val="24"/>
          <w:rtl/>
          <w:lang w:eastAsia="he-IL"/>
        </w:rPr>
        <w:t xml:space="preserve"> מיוזמתו או לבקשת החייב </w:t>
      </w:r>
      <w:r w:rsidRPr="0072318B">
        <w:rPr>
          <w:rFonts w:ascii="Times New Roman" w:eastAsia="Times New Roman" w:hAnsi="Times New Roman" w:cs="David"/>
          <w:color w:val="auto"/>
          <w:spacing w:val="0"/>
          <w:sz w:val="24"/>
          <w:szCs w:val="24"/>
          <w:rtl/>
          <w:lang w:eastAsia="he-IL"/>
        </w:rPr>
        <w:t>–</w:t>
      </w:r>
      <w:r w:rsidRPr="0072318B">
        <w:rPr>
          <w:rFonts w:ascii="Times New Roman" w:eastAsia="Times New Roman" w:hAnsi="Times New Roman" w:cs="David" w:hint="cs"/>
          <w:color w:val="auto"/>
          <w:spacing w:val="0"/>
          <w:sz w:val="24"/>
          <w:szCs w:val="24"/>
          <w:rtl/>
          <w:lang w:eastAsia="he-IL"/>
        </w:rPr>
        <w:t xml:space="preserve"> למחוק את החייב במרשם; לעניין זה הרשם רשאי יהיה להתנות את המחיקה במתן ערובה, להנחת דעתו, אם הדבר מוצדק בנסיבות העניין.</w:t>
      </w:r>
    </w:p>
    <w:p w:rsidR="00D34A44" w:rsidRPr="0072318B" w:rsidRDefault="00D34A44" w:rsidP="00361A78">
      <w:pPr>
        <w:pStyle w:val="a7"/>
        <w:numPr>
          <w:ilvl w:val="0"/>
          <w:numId w:val="21"/>
        </w:numPr>
        <w:spacing w:line="360" w:lineRule="auto"/>
        <w:ind w:left="363"/>
        <w:rPr>
          <w:rFonts w:ascii="Times New Roman" w:eastAsia="Times New Roman" w:hAnsi="Times New Roman" w:cs="David"/>
          <w:color w:val="auto"/>
          <w:spacing w:val="0"/>
          <w:sz w:val="24"/>
          <w:szCs w:val="24"/>
          <w:lang w:eastAsia="he-IL"/>
        </w:rPr>
      </w:pPr>
      <w:r w:rsidRPr="0072318B">
        <w:rPr>
          <w:rFonts w:ascii="Times New Roman" w:eastAsia="Times New Roman" w:hAnsi="Times New Roman" w:cs="David" w:hint="cs"/>
          <w:color w:val="auto"/>
          <w:spacing w:val="0"/>
          <w:sz w:val="24"/>
          <w:szCs w:val="24"/>
          <w:rtl/>
          <w:lang w:eastAsia="he-IL"/>
        </w:rPr>
        <w:lastRenderedPageBreak/>
        <w:t>אם רשם ההוצאה לפועל נוכח כי החייב עומד בצו תשלומים או בהסכם בינו לבין הזוכה לעניין פירעון החוב.</w:t>
      </w:r>
    </w:p>
    <w:p w:rsidR="006A740A" w:rsidRPr="0072318B" w:rsidRDefault="00D34A44" w:rsidP="00042F42">
      <w:pPr>
        <w:pStyle w:val="a7"/>
        <w:spacing w:after="120" w:line="360" w:lineRule="auto"/>
        <w:ind w:left="363" w:firstLine="0"/>
        <w:rPr>
          <w:rFonts w:cs="David"/>
          <w:color w:val="auto"/>
          <w:sz w:val="24"/>
          <w:rtl/>
        </w:rPr>
      </w:pPr>
      <w:r w:rsidRPr="0072318B">
        <w:rPr>
          <w:rFonts w:ascii="Times New Roman" w:eastAsia="Times New Roman" w:hAnsi="Times New Roman" w:cs="David" w:hint="cs"/>
          <w:color w:val="auto"/>
          <w:spacing w:val="0"/>
          <w:sz w:val="24"/>
          <w:szCs w:val="24"/>
          <w:rtl/>
          <w:lang w:eastAsia="he-IL"/>
        </w:rPr>
        <w:t>ואולם, אם לאחר שהורה על מחיקת רישומו של החייב מהמרשם, נוכח הרשם כי החייב הפסיק לקיים את הוראות הצו או ההסכם, הוא רשאי לצוות כי שמו של החייב ישוב ויפורסם במרשם, מיוזמתו או לבקשת הזוכה.</w:t>
      </w:r>
      <w:r w:rsidR="00F33CE4" w:rsidRPr="0072318B">
        <w:rPr>
          <w:rFonts w:cs="David" w:hint="cs"/>
          <w:color w:val="auto"/>
          <w:sz w:val="24"/>
          <w:rtl/>
        </w:rPr>
        <w:t xml:space="preserve"> </w:t>
      </w:r>
    </w:p>
    <w:sectPr w:rsidR="006A740A" w:rsidRPr="0072318B" w:rsidSect="00117D9B">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B0C" w:rsidRDefault="00930B0C" w:rsidP="004E71A1">
      <w:pPr>
        <w:spacing w:line="240" w:lineRule="auto"/>
      </w:pPr>
      <w:r>
        <w:separator/>
      </w:r>
    </w:p>
  </w:endnote>
  <w:endnote w:type="continuationSeparator" w:id="0">
    <w:p w:rsidR="00930B0C" w:rsidRDefault="00930B0C" w:rsidP="004E71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B0C" w:rsidRDefault="00930B0C" w:rsidP="004E71A1">
      <w:pPr>
        <w:spacing w:line="240" w:lineRule="auto"/>
      </w:pPr>
      <w:r>
        <w:separator/>
      </w:r>
    </w:p>
  </w:footnote>
  <w:footnote w:type="continuationSeparator" w:id="0">
    <w:p w:rsidR="00930B0C" w:rsidRDefault="00930B0C" w:rsidP="004E71A1">
      <w:pPr>
        <w:spacing w:line="240" w:lineRule="auto"/>
      </w:pPr>
      <w:r>
        <w:continuationSeparator/>
      </w:r>
    </w:p>
  </w:footnote>
  <w:footnote w:id="1">
    <w:p w:rsidR="006A740A" w:rsidRDefault="006A740A" w:rsidP="006A740A">
      <w:pPr>
        <w:pStyle w:val="a4"/>
        <w:rPr>
          <w:rtl/>
        </w:rPr>
      </w:pPr>
      <w:r>
        <w:rPr>
          <w:rStyle w:val="a6"/>
        </w:rPr>
        <w:footnoteRef/>
      </w:r>
      <w:r>
        <w:rPr>
          <w:rtl/>
        </w:rPr>
        <w:t xml:space="preserve"> </w:t>
      </w:r>
      <w:r>
        <w:rPr>
          <w:rFonts w:hint="cs"/>
          <w:rtl/>
        </w:rPr>
        <w:t xml:space="preserve">לסקירה על ההיסטוריה של מאסר החייבים במדינת ישראל ועל הניסיונות לבטלו, ראה אצל עו"ד ירון אונגר, "מאסר חייבים בהוצאה לפועל </w:t>
      </w:r>
      <w:r>
        <w:rPr>
          <w:rtl/>
        </w:rPr>
        <w:t>–</w:t>
      </w:r>
      <w:r>
        <w:rPr>
          <w:rFonts w:hint="cs"/>
          <w:rtl/>
        </w:rPr>
        <w:t xml:space="preserve"> רקע תיאורטי וסקירה משווה", הלשכה המשפטית </w:t>
      </w:r>
      <w:r>
        <w:rPr>
          <w:rtl/>
        </w:rPr>
        <w:t>–</w:t>
      </w:r>
      <w:r>
        <w:rPr>
          <w:rFonts w:hint="cs"/>
          <w:rtl/>
        </w:rPr>
        <w:t xml:space="preserve"> תחום חקיקה ומחקר משפטי, הכנסת, כ' בשבט </w:t>
      </w:r>
      <w:proofErr w:type="spellStart"/>
      <w:r>
        <w:rPr>
          <w:rFonts w:hint="cs"/>
          <w:rtl/>
        </w:rPr>
        <w:t>התשע"ד</w:t>
      </w:r>
      <w:proofErr w:type="spellEnd"/>
      <w:r>
        <w:rPr>
          <w:rFonts w:hint="cs"/>
          <w:rtl/>
        </w:rPr>
        <w:t xml:space="preserve"> (21 בדצמבר 2013), עמ' 11-16 (להלן </w:t>
      </w:r>
      <w:r>
        <w:rPr>
          <w:rtl/>
        </w:rPr>
        <w:t>–</w:t>
      </w:r>
      <w:r>
        <w:rPr>
          <w:rFonts w:hint="cs"/>
          <w:rtl/>
        </w:rPr>
        <w:t xml:space="preserve"> "אונגר"). עיקרי הדברים להלן לקוחים משם.</w:t>
      </w:r>
    </w:p>
  </w:footnote>
  <w:footnote w:id="2">
    <w:p w:rsidR="006A740A" w:rsidRDefault="006A740A" w:rsidP="006A740A">
      <w:pPr>
        <w:pStyle w:val="a4"/>
      </w:pPr>
      <w:r>
        <w:rPr>
          <w:rStyle w:val="a6"/>
        </w:rPr>
        <w:footnoteRef/>
      </w:r>
      <w:r>
        <w:rPr>
          <w:rtl/>
        </w:rPr>
        <w:t xml:space="preserve"> </w:t>
      </w:r>
      <w:r>
        <w:rPr>
          <w:rFonts w:hint="cs"/>
          <w:rtl/>
        </w:rPr>
        <w:t>ס' 9 להצעת החוק.</w:t>
      </w:r>
    </w:p>
  </w:footnote>
  <w:footnote w:id="3">
    <w:p w:rsidR="006A740A" w:rsidRDefault="006A740A" w:rsidP="006A740A">
      <w:pPr>
        <w:pStyle w:val="a4"/>
      </w:pPr>
      <w:r>
        <w:rPr>
          <w:rStyle w:val="a6"/>
        </w:rPr>
        <w:footnoteRef/>
      </w:r>
      <w:r>
        <w:rPr>
          <w:rtl/>
        </w:rPr>
        <w:t xml:space="preserve"> </w:t>
      </w:r>
      <w:r w:rsidRPr="00E8332D">
        <w:rPr>
          <w:rFonts w:hint="cs"/>
          <w:sz w:val="20"/>
          <w:rtl/>
        </w:rPr>
        <w:t xml:space="preserve">סעיפים 1, 6, 10 ו-12 להצעת החוק שמציעים למחוק את </w:t>
      </w:r>
      <w:proofErr w:type="spellStart"/>
      <w:r w:rsidRPr="00E8332D">
        <w:rPr>
          <w:rFonts w:hint="cs"/>
          <w:sz w:val="20"/>
          <w:rtl/>
        </w:rPr>
        <w:t>איזכורו</w:t>
      </w:r>
      <w:proofErr w:type="spellEnd"/>
      <w:r w:rsidRPr="00E8332D">
        <w:rPr>
          <w:rFonts w:hint="cs"/>
          <w:sz w:val="20"/>
          <w:rtl/>
        </w:rPr>
        <w:t xml:space="preserve"> של סעיף 70 מהסעיפים הבאים</w:t>
      </w:r>
      <w:r>
        <w:rPr>
          <w:rFonts w:hint="cs"/>
          <w:sz w:val="20"/>
          <w:rtl/>
        </w:rPr>
        <w:t xml:space="preserve"> בחוק</w:t>
      </w:r>
      <w:r w:rsidRPr="00E8332D">
        <w:rPr>
          <w:rFonts w:hint="cs"/>
          <w:sz w:val="20"/>
          <w:rtl/>
        </w:rPr>
        <w:t>, בהתאמה: 4א(א), 8(3), 74(ב), ו-80(ב) ו-(ב1).</w:t>
      </w:r>
    </w:p>
  </w:footnote>
  <w:footnote w:id="4">
    <w:p w:rsidR="006A740A" w:rsidRDefault="006A740A" w:rsidP="006A740A">
      <w:pPr>
        <w:pStyle w:val="a4"/>
        <w:rPr>
          <w:rtl/>
        </w:rPr>
      </w:pPr>
      <w:r>
        <w:rPr>
          <w:rStyle w:val="a6"/>
        </w:rPr>
        <w:footnoteRef/>
      </w:r>
      <w:r>
        <w:rPr>
          <w:rtl/>
        </w:rPr>
        <w:t xml:space="preserve"> </w:t>
      </w:r>
      <w:r w:rsidRPr="00E8332D">
        <w:rPr>
          <w:rFonts w:hint="cs"/>
          <w:sz w:val="20"/>
          <w:rtl/>
        </w:rPr>
        <w:t>סעיפים 2(1), 8 ו-11 להצעת החוק שמציעים למחוק התייחסות לחלופת המאסר מהסעיפים הבאים</w:t>
      </w:r>
      <w:r>
        <w:rPr>
          <w:rFonts w:hint="cs"/>
          <w:sz w:val="20"/>
          <w:rtl/>
        </w:rPr>
        <w:t xml:space="preserve"> בחוק</w:t>
      </w:r>
      <w:r w:rsidRPr="00E8332D">
        <w:rPr>
          <w:rFonts w:hint="cs"/>
          <w:sz w:val="20"/>
          <w:rtl/>
        </w:rPr>
        <w:t>, בהתאמה: 7(א1), 69ו, 74יג.</w:t>
      </w:r>
    </w:p>
  </w:footnote>
  <w:footnote w:id="5">
    <w:p w:rsidR="006A740A" w:rsidRDefault="006A740A" w:rsidP="006A740A">
      <w:pPr>
        <w:pStyle w:val="a4"/>
      </w:pPr>
      <w:r>
        <w:rPr>
          <w:rStyle w:val="a6"/>
        </w:rPr>
        <w:footnoteRef/>
      </w:r>
      <w:r>
        <w:rPr>
          <w:rtl/>
        </w:rPr>
        <w:t xml:space="preserve"> </w:t>
      </w:r>
      <w:r w:rsidRPr="00E8332D">
        <w:rPr>
          <w:rFonts w:hint="cs"/>
          <w:sz w:val="20"/>
          <w:rtl/>
        </w:rPr>
        <w:t>סעיף 15 להצעת החוק שמציע למחוק את סעיף 180 לפקודת פשיטת הרגל, אשר קובע הסדר שלפיו רשאי בית המשפט לתת צו כינוס כנגד חייב שהוגשה בקשה לאסור אותו לפי סעיף 70(א) לחוק ההוצאה לפועל, וזאת במקום מאסרו. מאחר שמוצע לבטל את ס' 70 המתיר לאסור חייבים בהוצאה לפועל, מוצע למחוק את ס' 180 האמור.</w:t>
      </w:r>
    </w:p>
  </w:footnote>
  <w:footnote w:id="6">
    <w:p w:rsidR="006A740A" w:rsidRDefault="006A740A" w:rsidP="006A740A">
      <w:pPr>
        <w:pStyle w:val="a4"/>
        <w:rPr>
          <w:rtl/>
        </w:rPr>
      </w:pPr>
      <w:r>
        <w:rPr>
          <w:rStyle w:val="a6"/>
        </w:rPr>
        <w:footnoteRef/>
      </w:r>
      <w:r>
        <w:rPr>
          <w:rtl/>
        </w:rPr>
        <w:t xml:space="preserve"> </w:t>
      </w:r>
      <w:r>
        <w:rPr>
          <w:rFonts w:hint="cs"/>
          <w:rtl/>
        </w:rPr>
        <w:t>סעיף 2 להצעת החוק מבקש לתקן את סעיף 7(ו) לחוק.</w:t>
      </w:r>
    </w:p>
  </w:footnote>
  <w:footnote w:id="7">
    <w:p w:rsidR="006A740A" w:rsidRDefault="006A740A" w:rsidP="006A740A">
      <w:pPr>
        <w:pStyle w:val="a4"/>
        <w:rPr>
          <w:rtl/>
        </w:rPr>
      </w:pPr>
      <w:r>
        <w:rPr>
          <w:rStyle w:val="a6"/>
        </w:rPr>
        <w:footnoteRef/>
      </w:r>
      <w:r>
        <w:rPr>
          <w:rtl/>
        </w:rPr>
        <w:t xml:space="preserve"> </w:t>
      </w:r>
      <w:r>
        <w:rPr>
          <w:rFonts w:hint="cs"/>
          <w:rtl/>
        </w:rPr>
        <w:t>סעיף 4 להצעת החוק מבקש להוסיף את סעיף 7ב2 לחוק.</w:t>
      </w:r>
    </w:p>
  </w:footnote>
  <w:footnote w:id="8">
    <w:p w:rsidR="006A740A" w:rsidRDefault="006A740A" w:rsidP="006A740A">
      <w:pPr>
        <w:pStyle w:val="a4"/>
      </w:pPr>
      <w:r>
        <w:rPr>
          <w:rStyle w:val="a6"/>
        </w:rPr>
        <w:footnoteRef/>
      </w:r>
      <w:r>
        <w:rPr>
          <w:rtl/>
        </w:rPr>
        <w:t xml:space="preserve"> </w:t>
      </w:r>
      <w:r>
        <w:rPr>
          <w:rFonts w:hint="cs"/>
          <w:color w:val="auto"/>
          <w:sz w:val="20"/>
          <w:rtl/>
        </w:rPr>
        <w:t>החזקות שב</w:t>
      </w:r>
      <w:r w:rsidRPr="00041D44">
        <w:rPr>
          <w:rFonts w:hint="cs"/>
          <w:color w:val="auto"/>
          <w:sz w:val="20"/>
          <w:rtl/>
        </w:rPr>
        <w:t>סעיפים 7ג, 67(ד), 69יא(ד) או 69יג(ד) לחוק.</w:t>
      </w:r>
    </w:p>
  </w:footnote>
  <w:footnote w:id="9">
    <w:p w:rsidR="006A740A" w:rsidRDefault="006A740A" w:rsidP="006A740A">
      <w:pPr>
        <w:pStyle w:val="a4"/>
        <w:rPr>
          <w:rtl/>
        </w:rPr>
      </w:pPr>
      <w:r>
        <w:rPr>
          <w:rStyle w:val="a6"/>
        </w:rPr>
        <w:footnoteRef/>
      </w:r>
      <w:r>
        <w:rPr>
          <w:rtl/>
        </w:rPr>
        <w:t xml:space="preserve"> </w:t>
      </w:r>
      <w:r w:rsidRPr="00663BCE">
        <w:rPr>
          <w:rFonts w:hint="cs"/>
          <w:color w:val="auto"/>
          <w:sz w:val="20"/>
          <w:rtl/>
        </w:rPr>
        <w:t>למשל, מידע על זכויות החייב הרשומות במרשם המקרקעין, מידע על כלי רכב הרשומים על שם החייב ברשות הרישוי וכיוצא באלה.</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80A1B"/>
    <w:multiLevelType w:val="hybridMultilevel"/>
    <w:tmpl w:val="19089F1C"/>
    <w:lvl w:ilvl="0" w:tplc="D2AE03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9B395F"/>
    <w:multiLevelType w:val="hybridMultilevel"/>
    <w:tmpl w:val="34E0CBCC"/>
    <w:lvl w:ilvl="0" w:tplc="3EB406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5E1CE9"/>
    <w:multiLevelType w:val="hybridMultilevel"/>
    <w:tmpl w:val="CC929EE6"/>
    <w:lvl w:ilvl="0" w:tplc="CE3A1E1C">
      <w:start w:val="1"/>
      <w:numFmt w:val="hebrew1"/>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F077FA"/>
    <w:multiLevelType w:val="hybridMultilevel"/>
    <w:tmpl w:val="D5A48A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B0C795B"/>
    <w:multiLevelType w:val="hybridMultilevel"/>
    <w:tmpl w:val="DF66E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975DDD"/>
    <w:multiLevelType w:val="hybridMultilevel"/>
    <w:tmpl w:val="34E0CBCC"/>
    <w:lvl w:ilvl="0" w:tplc="3EB406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C254F4"/>
    <w:multiLevelType w:val="hybridMultilevel"/>
    <w:tmpl w:val="506EEB90"/>
    <w:lvl w:ilvl="0" w:tplc="04090011">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B8294E"/>
    <w:multiLevelType w:val="hybridMultilevel"/>
    <w:tmpl w:val="8C345310"/>
    <w:lvl w:ilvl="0" w:tplc="3FD8CC8C">
      <w:start w:val="1"/>
      <w:numFmt w:val="hebrew1"/>
      <w:lvlText w:val="(%1)"/>
      <w:lvlJc w:val="left"/>
      <w:pPr>
        <w:ind w:left="1170" w:hanging="45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4D071E5"/>
    <w:multiLevelType w:val="hybridMultilevel"/>
    <w:tmpl w:val="51DE1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D341E2"/>
    <w:multiLevelType w:val="hybridMultilevel"/>
    <w:tmpl w:val="84B6DAEE"/>
    <w:lvl w:ilvl="0" w:tplc="53E4D5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681CC8"/>
    <w:multiLevelType w:val="hybridMultilevel"/>
    <w:tmpl w:val="EB8CF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AF77F56"/>
    <w:multiLevelType w:val="multilevel"/>
    <w:tmpl w:val="BCF6BB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61F40ABE"/>
    <w:multiLevelType w:val="hybridMultilevel"/>
    <w:tmpl w:val="ECC28398"/>
    <w:lvl w:ilvl="0" w:tplc="6E4271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3046272"/>
    <w:multiLevelType w:val="hybridMultilevel"/>
    <w:tmpl w:val="DDB88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8BB2C31"/>
    <w:multiLevelType w:val="hybridMultilevel"/>
    <w:tmpl w:val="D6AAE514"/>
    <w:lvl w:ilvl="0" w:tplc="7FC41BAC">
      <w:start w:val="1"/>
      <w:numFmt w:val="decimal"/>
      <w:lvlText w:val="%1."/>
      <w:lvlJc w:val="left"/>
      <w:pPr>
        <w:ind w:left="746" w:hanging="360"/>
      </w:pPr>
      <w:rPr>
        <w:rFonts w:hint="default"/>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5">
    <w:nsid w:val="698D02C5"/>
    <w:multiLevelType w:val="hybridMultilevel"/>
    <w:tmpl w:val="C80AA328"/>
    <w:lvl w:ilvl="0" w:tplc="2DB4ABEA">
      <w:start w:val="1"/>
      <w:numFmt w:val="decimal"/>
      <w:lvlRestart w:val="0"/>
      <w:lvlText w:val="(%1)"/>
      <w:lvlJc w:val="left"/>
      <w:pPr>
        <w:tabs>
          <w:tab w:val="num" w:pos="1344"/>
        </w:tabs>
        <w:ind w:left="720" w:firstLine="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6E841DEE"/>
    <w:multiLevelType w:val="hybridMultilevel"/>
    <w:tmpl w:val="5E288640"/>
    <w:lvl w:ilvl="0" w:tplc="0D8C0170">
      <w:start w:val="4"/>
      <w:numFmt w:val="bullet"/>
      <w:lvlText w:val=""/>
      <w:lvlJc w:val="left"/>
      <w:pPr>
        <w:ind w:left="720" w:hanging="360"/>
      </w:pPr>
      <w:rPr>
        <w:rFonts w:ascii="Symbol" w:eastAsia="Times New Roman"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3B65FDA"/>
    <w:multiLevelType w:val="hybridMultilevel"/>
    <w:tmpl w:val="0EFC2C58"/>
    <w:lvl w:ilvl="0" w:tplc="BF5E14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4AE7B9F"/>
    <w:multiLevelType w:val="hybridMultilevel"/>
    <w:tmpl w:val="A896EB76"/>
    <w:lvl w:ilvl="0" w:tplc="76E004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num>
  <w:num w:numId="2">
    <w:abstractNumId w:val="18"/>
  </w:num>
  <w:num w:numId="3">
    <w:abstractNumId w:val="17"/>
  </w:num>
  <w:num w:numId="4">
    <w:abstractNumId w:val="0"/>
  </w:num>
  <w:num w:numId="5">
    <w:abstractNumId w:val="9"/>
  </w:num>
  <w:num w:numId="6">
    <w:abstractNumId w:val="15"/>
  </w:num>
  <w:num w:numId="7">
    <w:abstractNumId w:val="7"/>
  </w:num>
  <w:num w:numId="8">
    <w:abstractNumId w:val="14"/>
  </w:num>
  <w:num w:numId="9">
    <w:abstractNumId w:val="11"/>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2"/>
  </w:num>
  <w:num w:numId="13">
    <w:abstractNumId w:val="5"/>
  </w:num>
  <w:num w:numId="14">
    <w:abstractNumId w:val="1"/>
  </w:num>
  <w:num w:numId="15">
    <w:abstractNumId w:val="4"/>
  </w:num>
  <w:num w:numId="16">
    <w:abstractNumId w:val="10"/>
  </w:num>
  <w:num w:numId="17">
    <w:abstractNumId w:val="13"/>
  </w:num>
  <w:num w:numId="18">
    <w:abstractNumId w:val="6"/>
  </w:num>
  <w:num w:numId="19">
    <w:abstractNumId w:val="2"/>
  </w:num>
  <w:num w:numId="20">
    <w:abstractNumId w:val="8"/>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2A4"/>
    <w:rsid w:val="000019ED"/>
    <w:rsid w:val="00011FFE"/>
    <w:rsid w:val="00013815"/>
    <w:rsid w:val="000175F3"/>
    <w:rsid w:val="000203F5"/>
    <w:rsid w:val="00024CD1"/>
    <w:rsid w:val="000271E9"/>
    <w:rsid w:val="00032987"/>
    <w:rsid w:val="00032A83"/>
    <w:rsid w:val="000359CD"/>
    <w:rsid w:val="00041D44"/>
    <w:rsid w:val="00042F42"/>
    <w:rsid w:val="000453BF"/>
    <w:rsid w:val="000500D9"/>
    <w:rsid w:val="00050A79"/>
    <w:rsid w:val="00053187"/>
    <w:rsid w:val="00056139"/>
    <w:rsid w:val="00062631"/>
    <w:rsid w:val="00063FF6"/>
    <w:rsid w:val="000703CB"/>
    <w:rsid w:val="000752D2"/>
    <w:rsid w:val="00077835"/>
    <w:rsid w:val="00082CFF"/>
    <w:rsid w:val="000851C8"/>
    <w:rsid w:val="000914B6"/>
    <w:rsid w:val="000A146C"/>
    <w:rsid w:val="000A3090"/>
    <w:rsid w:val="000A4469"/>
    <w:rsid w:val="000A4601"/>
    <w:rsid w:val="000A4AFA"/>
    <w:rsid w:val="000B238D"/>
    <w:rsid w:val="000B27FF"/>
    <w:rsid w:val="000B6AA0"/>
    <w:rsid w:val="000B7F0A"/>
    <w:rsid w:val="000C76F7"/>
    <w:rsid w:val="000D38D9"/>
    <w:rsid w:val="000E191E"/>
    <w:rsid w:val="000E3817"/>
    <w:rsid w:val="000E7653"/>
    <w:rsid w:val="000E7F30"/>
    <w:rsid w:val="000F3188"/>
    <w:rsid w:val="000F6997"/>
    <w:rsid w:val="0010496E"/>
    <w:rsid w:val="00112814"/>
    <w:rsid w:val="00117D9B"/>
    <w:rsid w:val="00117F7C"/>
    <w:rsid w:val="0013068B"/>
    <w:rsid w:val="00133A4C"/>
    <w:rsid w:val="00133D13"/>
    <w:rsid w:val="00142673"/>
    <w:rsid w:val="00144467"/>
    <w:rsid w:val="00144CC3"/>
    <w:rsid w:val="001546B8"/>
    <w:rsid w:val="00157A47"/>
    <w:rsid w:val="00175464"/>
    <w:rsid w:val="00180CA8"/>
    <w:rsid w:val="001836BB"/>
    <w:rsid w:val="0018746D"/>
    <w:rsid w:val="001930B7"/>
    <w:rsid w:val="00193956"/>
    <w:rsid w:val="001A5B8E"/>
    <w:rsid w:val="001B1157"/>
    <w:rsid w:val="001B4128"/>
    <w:rsid w:val="001B484E"/>
    <w:rsid w:val="001B49B6"/>
    <w:rsid w:val="001B649B"/>
    <w:rsid w:val="001B7D42"/>
    <w:rsid w:val="001C0CEA"/>
    <w:rsid w:val="001C5073"/>
    <w:rsid w:val="001C5FC8"/>
    <w:rsid w:val="001C721D"/>
    <w:rsid w:val="001D0526"/>
    <w:rsid w:val="001D1A3B"/>
    <w:rsid w:val="001D2B28"/>
    <w:rsid w:val="001E4702"/>
    <w:rsid w:val="001E77D8"/>
    <w:rsid w:val="001F2B37"/>
    <w:rsid w:val="001F69F7"/>
    <w:rsid w:val="001F6B3C"/>
    <w:rsid w:val="002013EA"/>
    <w:rsid w:val="002114C1"/>
    <w:rsid w:val="002161DE"/>
    <w:rsid w:val="00221527"/>
    <w:rsid w:val="00222BF2"/>
    <w:rsid w:val="00223EB8"/>
    <w:rsid w:val="00224095"/>
    <w:rsid w:val="002300F0"/>
    <w:rsid w:val="002310C8"/>
    <w:rsid w:val="00234774"/>
    <w:rsid w:val="0024226F"/>
    <w:rsid w:val="0024580E"/>
    <w:rsid w:val="00247CAB"/>
    <w:rsid w:val="00254297"/>
    <w:rsid w:val="00257D31"/>
    <w:rsid w:val="00260528"/>
    <w:rsid w:val="0026155B"/>
    <w:rsid w:val="00262C80"/>
    <w:rsid w:val="00264678"/>
    <w:rsid w:val="00265F62"/>
    <w:rsid w:val="00265FDF"/>
    <w:rsid w:val="0026651C"/>
    <w:rsid w:val="00267C5A"/>
    <w:rsid w:val="002775B6"/>
    <w:rsid w:val="00283856"/>
    <w:rsid w:val="00285D94"/>
    <w:rsid w:val="00286549"/>
    <w:rsid w:val="0028706C"/>
    <w:rsid w:val="002920F4"/>
    <w:rsid w:val="002959BD"/>
    <w:rsid w:val="00297A5D"/>
    <w:rsid w:val="002A429F"/>
    <w:rsid w:val="002A53F1"/>
    <w:rsid w:val="002A6735"/>
    <w:rsid w:val="002B0358"/>
    <w:rsid w:val="002C0730"/>
    <w:rsid w:val="002C1227"/>
    <w:rsid w:val="002C1B96"/>
    <w:rsid w:val="002D0BC2"/>
    <w:rsid w:val="002D1D71"/>
    <w:rsid w:val="002D4349"/>
    <w:rsid w:val="002D55A6"/>
    <w:rsid w:val="002E1DBA"/>
    <w:rsid w:val="002E4031"/>
    <w:rsid w:val="002E6225"/>
    <w:rsid w:val="002F5B07"/>
    <w:rsid w:val="00314F7D"/>
    <w:rsid w:val="0031663B"/>
    <w:rsid w:val="003202CF"/>
    <w:rsid w:val="00320562"/>
    <w:rsid w:val="0032145D"/>
    <w:rsid w:val="00325CB5"/>
    <w:rsid w:val="0032776A"/>
    <w:rsid w:val="00332D03"/>
    <w:rsid w:val="00334239"/>
    <w:rsid w:val="00335612"/>
    <w:rsid w:val="00337D4B"/>
    <w:rsid w:val="0034114B"/>
    <w:rsid w:val="0034159A"/>
    <w:rsid w:val="00344100"/>
    <w:rsid w:val="00344EEF"/>
    <w:rsid w:val="00345677"/>
    <w:rsid w:val="00351A7F"/>
    <w:rsid w:val="00353AFE"/>
    <w:rsid w:val="00357F7A"/>
    <w:rsid w:val="00361A78"/>
    <w:rsid w:val="00363896"/>
    <w:rsid w:val="00366945"/>
    <w:rsid w:val="003732A4"/>
    <w:rsid w:val="00375642"/>
    <w:rsid w:val="003760AA"/>
    <w:rsid w:val="003812F8"/>
    <w:rsid w:val="00381CDF"/>
    <w:rsid w:val="0038290E"/>
    <w:rsid w:val="003835C3"/>
    <w:rsid w:val="003837D7"/>
    <w:rsid w:val="00385904"/>
    <w:rsid w:val="00385F60"/>
    <w:rsid w:val="00386DC0"/>
    <w:rsid w:val="00394787"/>
    <w:rsid w:val="0039726D"/>
    <w:rsid w:val="003A073C"/>
    <w:rsid w:val="003A20B3"/>
    <w:rsid w:val="003C16CA"/>
    <w:rsid w:val="003C7F22"/>
    <w:rsid w:val="003D1814"/>
    <w:rsid w:val="003D3508"/>
    <w:rsid w:val="003D4376"/>
    <w:rsid w:val="003D7FBC"/>
    <w:rsid w:val="003E63BB"/>
    <w:rsid w:val="003F3BE2"/>
    <w:rsid w:val="00401711"/>
    <w:rsid w:val="00402523"/>
    <w:rsid w:val="004128E3"/>
    <w:rsid w:val="004136B0"/>
    <w:rsid w:val="0041437B"/>
    <w:rsid w:val="00420302"/>
    <w:rsid w:val="004239B9"/>
    <w:rsid w:val="00424010"/>
    <w:rsid w:val="00427C58"/>
    <w:rsid w:val="00430276"/>
    <w:rsid w:val="00432EE7"/>
    <w:rsid w:val="00434A0E"/>
    <w:rsid w:val="00435F7D"/>
    <w:rsid w:val="004429D1"/>
    <w:rsid w:val="00444CE3"/>
    <w:rsid w:val="0045589C"/>
    <w:rsid w:val="00457A1F"/>
    <w:rsid w:val="00461FCC"/>
    <w:rsid w:val="004665B0"/>
    <w:rsid w:val="004670CE"/>
    <w:rsid w:val="004703FF"/>
    <w:rsid w:val="00471233"/>
    <w:rsid w:val="00474B17"/>
    <w:rsid w:val="00475D05"/>
    <w:rsid w:val="004767AE"/>
    <w:rsid w:val="00477A15"/>
    <w:rsid w:val="00482CF5"/>
    <w:rsid w:val="0048328D"/>
    <w:rsid w:val="00492CF4"/>
    <w:rsid w:val="00496AC2"/>
    <w:rsid w:val="004A389E"/>
    <w:rsid w:val="004A68A8"/>
    <w:rsid w:val="004A6B12"/>
    <w:rsid w:val="004B326B"/>
    <w:rsid w:val="004B3767"/>
    <w:rsid w:val="004B5235"/>
    <w:rsid w:val="004C19F2"/>
    <w:rsid w:val="004C5B6C"/>
    <w:rsid w:val="004D175C"/>
    <w:rsid w:val="004D5C17"/>
    <w:rsid w:val="004E4C82"/>
    <w:rsid w:val="004E6871"/>
    <w:rsid w:val="004E71A1"/>
    <w:rsid w:val="004E7823"/>
    <w:rsid w:val="004E79B0"/>
    <w:rsid w:val="004F13C2"/>
    <w:rsid w:val="004F4177"/>
    <w:rsid w:val="00500D59"/>
    <w:rsid w:val="00501027"/>
    <w:rsid w:val="005035AE"/>
    <w:rsid w:val="0050723F"/>
    <w:rsid w:val="00515439"/>
    <w:rsid w:val="005167FD"/>
    <w:rsid w:val="005178C3"/>
    <w:rsid w:val="00520AC7"/>
    <w:rsid w:val="005271C6"/>
    <w:rsid w:val="00530F8D"/>
    <w:rsid w:val="005321A3"/>
    <w:rsid w:val="005321AD"/>
    <w:rsid w:val="00540173"/>
    <w:rsid w:val="0054343A"/>
    <w:rsid w:val="00545D85"/>
    <w:rsid w:val="00551DEA"/>
    <w:rsid w:val="00553250"/>
    <w:rsid w:val="005534A9"/>
    <w:rsid w:val="005535A1"/>
    <w:rsid w:val="00556C69"/>
    <w:rsid w:val="00557F3C"/>
    <w:rsid w:val="00573524"/>
    <w:rsid w:val="00573F3A"/>
    <w:rsid w:val="0057735C"/>
    <w:rsid w:val="0058442D"/>
    <w:rsid w:val="00584B05"/>
    <w:rsid w:val="00590EDE"/>
    <w:rsid w:val="00597509"/>
    <w:rsid w:val="005A115A"/>
    <w:rsid w:val="005A3ADA"/>
    <w:rsid w:val="005B18AA"/>
    <w:rsid w:val="005B1B9E"/>
    <w:rsid w:val="005B284A"/>
    <w:rsid w:val="005B5C29"/>
    <w:rsid w:val="005C1C6D"/>
    <w:rsid w:val="005C4CE1"/>
    <w:rsid w:val="005C5066"/>
    <w:rsid w:val="005C5315"/>
    <w:rsid w:val="005C7D43"/>
    <w:rsid w:val="005D4C60"/>
    <w:rsid w:val="005D67BE"/>
    <w:rsid w:val="005D70B4"/>
    <w:rsid w:val="005D7581"/>
    <w:rsid w:val="005E31CB"/>
    <w:rsid w:val="005E5F85"/>
    <w:rsid w:val="005E68DE"/>
    <w:rsid w:val="005E73A1"/>
    <w:rsid w:val="005F633B"/>
    <w:rsid w:val="00602EBE"/>
    <w:rsid w:val="00603681"/>
    <w:rsid w:val="0060424F"/>
    <w:rsid w:val="00605750"/>
    <w:rsid w:val="0060769D"/>
    <w:rsid w:val="0061240C"/>
    <w:rsid w:val="006171C1"/>
    <w:rsid w:val="00630A09"/>
    <w:rsid w:val="006321D2"/>
    <w:rsid w:val="006341C2"/>
    <w:rsid w:val="0063654F"/>
    <w:rsid w:val="00636869"/>
    <w:rsid w:val="00645335"/>
    <w:rsid w:val="00645FA7"/>
    <w:rsid w:val="00646054"/>
    <w:rsid w:val="00647FCC"/>
    <w:rsid w:val="006518B3"/>
    <w:rsid w:val="00653483"/>
    <w:rsid w:val="00653A3D"/>
    <w:rsid w:val="006540AC"/>
    <w:rsid w:val="00662E57"/>
    <w:rsid w:val="00663BCE"/>
    <w:rsid w:val="00666451"/>
    <w:rsid w:val="006674A1"/>
    <w:rsid w:val="0068017D"/>
    <w:rsid w:val="00682811"/>
    <w:rsid w:val="006828C4"/>
    <w:rsid w:val="00684401"/>
    <w:rsid w:val="0068714D"/>
    <w:rsid w:val="0069011C"/>
    <w:rsid w:val="00694148"/>
    <w:rsid w:val="006942FE"/>
    <w:rsid w:val="00694D05"/>
    <w:rsid w:val="00695512"/>
    <w:rsid w:val="00697C09"/>
    <w:rsid w:val="006A049A"/>
    <w:rsid w:val="006A5E8A"/>
    <w:rsid w:val="006A6F7B"/>
    <w:rsid w:val="006A740A"/>
    <w:rsid w:val="006C02DE"/>
    <w:rsid w:val="006C087D"/>
    <w:rsid w:val="006C4141"/>
    <w:rsid w:val="006C5F0E"/>
    <w:rsid w:val="006C735A"/>
    <w:rsid w:val="006D1A5C"/>
    <w:rsid w:val="006D20A9"/>
    <w:rsid w:val="006D4E23"/>
    <w:rsid w:val="006D5D2E"/>
    <w:rsid w:val="006E2825"/>
    <w:rsid w:val="006F08D4"/>
    <w:rsid w:val="006F0BB9"/>
    <w:rsid w:val="006F2EB4"/>
    <w:rsid w:val="006F6A6C"/>
    <w:rsid w:val="006F7813"/>
    <w:rsid w:val="0070140D"/>
    <w:rsid w:val="00701782"/>
    <w:rsid w:val="00701866"/>
    <w:rsid w:val="00703269"/>
    <w:rsid w:val="00704489"/>
    <w:rsid w:val="00706837"/>
    <w:rsid w:val="00712AB2"/>
    <w:rsid w:val="00717EBD"/>
    <w:rsid w:val="0072318B"/>
    <w:rsid w:val="00731FC3"/>
    <w:rsid w:val="00734EFA"/>
    <w:rsid w:val="0074242A"/>
    <w:rsid w:val="00745F80"/>
    <w:rsid w:val="0075317F"/>
    <w:rsid w:val="00754754"/>
    <w:rsid w:val="007565F9"/>
    <w:rsid w:val="0077356D"/>
    <w:rsid w:val="00776977"/>
    <w:rsid w:val="0078690E"/>
    <w:rsid w:val="007947B1"/>
    <w:rsid w:val="00796CC7"/>
    <w:rsid w:val="007A0586"/>
    <w:rsid w:val="007A0918"/>
    <w:rsid w:val="007A36AE"/>
    <w:rsid w:val="007A43EC"/>
    <w:rsid w:val="007A4DD8"/>
    <w:rsid w:val="007A6CB4"/>
    <w:rsid w:val="007B016B"/>
    <w:rsid w:val="007B54BB"/>
    <w:rsid w:val="007C0E94"/>
    <w:rsid w:val="007C5EA8"/>
    <w:rsid w:val="007D10F1"/>
    <w:rsid w:val="007D2F81"/>
    <w:rsid w:val="007D3A8F"/>
    <w:rsid w:val="007D43B6"/>
    <w:rsid w:val="007E5E0A"/>
    <w:rsid w:val="007F545C"/>
    <w:rsid w:val="007F5D3C"/>
    <w:rsid w:val="00805C11"/>
    <w:rsid w:val="00810E7B"/>
    <w:rsid w:val="00810F8C"/>
    <w:rsid w:val="0081366C"/>
    <w:rsid w:val="00815780"/>
    <w:rsid w:val="008325BF"/>
    <w:rsid w:val="00832B98"/>
    <w:rsid w:val="00834A2D"/>
    <w:rsid w:val="008460F9"/>
    <w:rsid w:val="0085316D"/>
    <w:rsid w:val="008546AB"/>
    <w:rsid w:val="00854A6F"/>
    <w:rsid w:val="00856621"/>
    <w:rsid w:val="00860D1A"/>
    <w:rsid w:val="0087133B"/>
    <w:rsid w:val="008723C0"/>
    <w:rsid w:val="008738DE"/>
    <w:rsid w:val="008761C1"/>
    <w:rsid w:val="0088223D"/>
    <w:rsid w:val="00886351"/>
    <w:rsid w:val="00887F85"/>
    <w:rsid w:val="00892B59"/>
    <w:rsid w:val="0089347B"/>
    <w:rsid w:val="00894242"/>
    <w:rsid w:val="00896128"/>
    <w:rsid w:val="00896417"/>
    <w:rsid w:val="008A1975"/>
    <w:rsid w:val="008A23A8"/>
    <w:rsid w:val="008A4735"/>
    <w:rsid w:val="008B219F"/>
    <w:rsid w:val="008B2DFF"/>
    <w:rsid w:val="008B32C8"/>
    <w:rsid w:val="008B3B5B"/>
    <w:rsid w:val="008B4AFA"/>
    <w:rsid w:val="008B4FD0"/>
    <w:rsid w:val="008B73EA"/>
    <w:rsid w:val="008D0ED2"/>
    <w:rsid w:val="008D1965"/>
    <w:rsid w:val="008D4873"/>
    <w:rsid w:val="008D4E9C"/>
    <w:rsid w:val="008E0FF6"/>
    <w:rsid w:val="008E5CA0"/>
    <w:rsid w:val="008F11B6"/>
    <w:rsid w:val="008F621A"/>
    <w:rsid w:val="008F7391"/>
    <w:rsid w:val="009010A2"/>
    <w:rsid w:val="00906FEB"/>
    <w:rsid w:val="00907BC8"/>
    <w:rsid w:val="009106D3"/>
    <w:rsid w:val="009121BE"/>
    <w:rsid w:val="00913698"/>
    <w:rsid w:val="00920265"/>
    <w:rsid w:val="00921574"/>
    <w:rsid w:val="00930B0C"/>
    <w:rsid w:val="00933CD8"/>
    <w:rsid w:val="00935FC0"/>
    <w:rsid w:val="00941FE1"/>
    <w:rsid w:val="00944E82"/>
    <w:rsid w:val="009455A0"/>
    <w:rsid w:val="00954834"/>
    <w:rsid w:val="009578CD"/>
    <w:rsid w:val="00961014"/>
    <w:rsid w:val="0096206B"/>
    <w:rsid w:val="00964C96"/>
    <w:rsid w:val="00966E45"/>
    <w:rsid w:val="009730C9"/>
    <w:rsid w:val="00976313"/>
    <w:rsid w:val="00980FB1"/>
    <w:rsid w:val="00986BEF"/>
    <w:rsid w:val="0099192F"/>
    <w:rsid w:val="009925AC"/>
    <w:rsid w:val="00994973"/>
    <w:rsid w:val="009A0A4B"/>
    <w:rsid w:val="009A5C8C"/>
    <w:rsid w:val="009B0896"/>
    <w:rsid w:val="009B28B3"/>
    <w:rsid w:val="009C1EC8"/>
    <w:rsid w:val="009C219C"/>
    <w:rsid w:val="009C4637"/>
    <w:rsid w:val="009C4EBD"/>
    <w:rsid w:val="009C5478"/>
    <w:rsid w:val="009C5481"/>
    <w:rsid w:val="009D160C"/>
    <w:rsid w:val="009D7AC1"/>
    <w:rsid w:val="009E3D5F"/>
    <w:rsid w:val="009E4F2E"/>
    <w:rsid w:val="009E7226"/>
    <w:rsid w:val="009F4421"/>
    <w:rsid w:val="00A0221C"/>
    <w:rsid w:val="00A023E4"/>
    <w:rsid w:val="00A04B78"/>
    <w:rsid w:val="00A07958"/>
    <w:rsid w:val="00A11D22"/>
    <w:rsid w:val="00A131D2"/>
    <w:rsid w:val="00A252A1"/>
    <w:rsid w:val="00A253E1"/>
    <w:rsid w:val="00A2611A"/>
    <w:rsid w:val="00A30EC3"/>
    <w:rsid w:val="00A320B1"/>
    <w:rsid w:val="00A34C72"/>
    <w:rsid w:val="00A34FFE"/>
    <w:rsid w:val="00A35463"/>
    <w:rsid w:val="00A36E43"/>
    <w:rsid w:val="00A62395"/>
    <w:rsid w:val="00A628DE"/>
    <w:rsid w:val="00A70240"/>
    <w:rsid w:val="00A704C5"/>
    <w:rsid w:val="00A70D84"/>
    <w:rsid w:val="00A7603E"/>
    <w:rsid w:val="00A83A7E"/>
    <w:rsid w:val="00A846B1"/>
    <w:rsid w:val="00A87740"/>
    <w:rsid w:val="00A87822"/>
    <w:rsid w:val="00A93F71"/>
    <w:rsid w:val="00A943F0"/>
    <w:rsid w:val="00A96680"/>
    <w:rsid w:val="00AA3502"/>
    <w:rsid w:val="00AA5020"/>
    <w:rsid w:val="00AB028A"/>
    <w:rsid w:val="00AB5FCF"/>
    <w:rsid w:val="00AB7C03"/>
    <w:rsid w:val="00AC103D"/>
    <w:rsid w:val="00AC13E4"/>
    <w:rsid w:val="00AC14B9"/>
    <w:rsid w:val="00AC224D"/>
    <w:rsid w:val="00AC3250"/>
    <w:rsid w:val="00AC63F1"/>
    <w:rsid w:val="00AD6B95"/>
    <w:rsid w:val="00AE06BF"/>
    <w:rsid w:val="00AE3464"/>
    <w:rsid w:val="00AF0B7E"/>
    <w:rsid w:val="00AF3CC8"/>
    <w:rsid w:val="00AF60DB"/>
    <w:rsid w:val="00AF6F3D"/>
    <w:rsid w:val="00B01DBF"/>
    <w:rsid w:val="00B02583"/>
    <w:rsid w:val="00B036F2"/>
    <w:rsid w:val="00B17D0D"/>
    <w:rsid w:val="00B22AF1"/>
    <w:rsid w:val="00B26E32"/>
    <w:rsid w:val="00B306F4"/>
    <w:rsid w:val="00B33631"/>
    <w:rsid w:val="00B4200F"/>
    <w:rsid w:val="00B421BD"/>
    <w:rsid w:val="00B439F4"/>
    <w:rsid w:val="00B5203D"/>
    <w:rsid w:val="00B533CF"/>
    <w:rsid w:val="00B53DED"/>
    <w:rsid w:val="00B56922"/>
    <w:rsid w:val="00B56E5E"/>
    <w:rsid w:val="00B66161"/>
    <w:rsid w:val="00B6623F"/>
    <w:rsid w:val="00B73EF1"/>
    <w:rsid w:val="00B74E39"/>
    <w:rsid w:val="00B80EA9"/>
    <w:rsid w:val="00B82D46"/>
    <w:rsid w:val="00B8477B"/>
    <w:rsid w:val="00B9286A"/>
    <w:rsid w:val="00B97326"/>
    <w:rsid w:val="00BA2531"/>
    <w:rsid w:val="00BA4C88"/>
    <w:rsid w:val="00BA780D"/>
    <w:rsid w:val="00BB0071"/>
    <w:rsid w:val="00BB055A"/>
    <w:rsid w:val="00BC1307"/>
    <w:rsid w:val="00BC282D"/>
    <w:rsid w:val="00BC3929"/>
    <w:rsid w:val="00BC519C"/>
    <w:rsid w:val="00BD16B8"/>
    <w:rsid w:val="00BD1C25"/>
    <w:rsid w:val="00BD7486"/>
    <w:rsid w:val="00BF18F0"/>
    <w:rsid w:val="00BF23D7"/>
    <w:rsid w:val="00BF3544"/>
    <w:rsid w:val="00C00018"/>
    <w:rsid w:val="00C01CB9"/>
    <w:rsid w:val="00C04B20"/>
    <w:rsid w:val="00C12615"/>
    <w:rsid w:val="00C16F51"/>
    <w:rsid w:val="00C21148"/>
    <w:rsid w:val="00C33A3E"/>
    <w:rsid w:val="00C34732"/>
    <w:rsid w:val="00C36277"/>
    <w:rsid w:val="00C3738B"/>
    <w:rsid w:val="00C404AE"/>
    <w:rsid w:val="00C54833"/>
    <w:rsid w:val="00C5499B"/>
    <w:rsid w:val="00C5565E"/>
    <w:rsid w:val="00C558C9"/>
    <w:rsid w:val="00C55A9D"/>
    <w:rsid w:val="00C56DDE"/>
    <w:rsid w:val="00C6171D"/>
    <w:rsid w:val="00C61C92"/>
    <w:rsid w:val="00C622A5"/>
    <w:rsid w:val="00C679B4"/>
    <w:rsid w:val="00C7738E"/>
    <w:rsid w:val="00C82173"/>
    <w:rsid w:val="00C824A3"/>
    <w:rsid w:val="00C900B4"/>
    <w:rsid w:val="00C90657"/>
    <w:rsid w:val="00C91894"/>
    <w:rsid w:val="00C93478"/>
    <w:rsid w:val="00C94A17"/>
    <w:rsid w:val="00C97956"/>
    <w:rsid w:val="00CA1902"/>
    <w:rsid w:val="00CA2C8B"/>
    <w:rsid w:val="00CA2F50"/>
    <w:rsid w:val="00CA3B7D"/>
    <w:rsid w:val="00CA48C9"/>
    <w:rsid w:val="00CA7ECD"/>
    <w:rsid w:val="00CB09BC"/>
    <w:rsid w:val="00CB4DA6"/>
    <w:rsid w:val="00CB587A"/>
    <w:rsid w:val="00CB5E81"/>
    <w:rsid w:val="00CC3048"/>
    <w:rsid w:val="00CC30D6"/>
    <w:rsid w:val="00CC318E"/>
    <w:rsid w:val="00CD3779"/>
    <w:rsid w:val="00CD5382"/>
    <w:rsid w:val="00CD610B"/>
    <w:rsid w:val="00CD72B7"/>
    <w:rsid w:val="00CE087E"/>
    <w:rsid w:val="00CE6ECE"/>
    <w:rsid w:val="00CE77F4"/>
    <w:rsid w:val="00CF3A5C"/>
    <w:rsid w:val="00CF3E50"/>
    <w:rsid w:val="00CF4B55"/>
    <w:rsid w:val="00CF5727"/>
    <w:rsid w:val="00CF6B48"/>
    <w:rsid w:val="00D00426"/>
    <w:rsid w:val="00D00F2F"/>
    <w:rsid w:val="00D053C2"/>
    <w:rsid w:val="00D05AC8"/>
    <w:rsid w:val="00D1571B"/>
    <w:rsid w:val="00D17E8D"/>
    <w:rsid w:val="00D24FB3"/>
    <w:rsid w:val="00D27F45"/>
    <w:rsid w:val="00D31243"/>
    <w:rsid w:val="00D317C7"/>
    <w:rsid w:val="00D31C6E"/>
    <w:rsid w:val="00D34395"/>
    <w:rsid w:val="00D34A44"/>
    <w:rsid w:val="00D356BD"/>
    <w:rsid w:val="00D37F94"/>
    <w:rsid w:val="00D4022A"/>
    <w:rsid w:val="00D41418"/>
    <w:rsid w:val="00D4149E"/>
    <w:rsid w:val="00D45254"/>
    <w:rsid w:val="00D47B4C"/>
    <w:rsid w:val="00D51F6A"/>
    <w:rsid w:val="00D5268B"/>
    <w:rsid w:val="00D755A4"/>
    <w:rsid w:val="00D76C1C"/>
    <w:rsid w:val="00D87619"/>
    <w:rsid w:val="00D919DA"/>
    <w:rsid w:val="00D919EC"/>
    <w:rsid w:val="00D92269"/>
    <w:rsid w:val="00D923F0"/>
    <w:rsid w:val="00D9330E"/>
    <w:rsid w:val="00D93896"/>
    <w:rsid w:val="00D93F5D"/>
    <w:rsid w:val="00DA36EA"/>
    <w:rsid w:val="00DB35BD"/>
    <w:rsid w:val="00DC2D87"/>
    <w:rsid w:val="00DC3867"/>
    <w:rsid w:val="00DC4912"/>
    <w:rsid w:val="00DC54FB"/>
    <w:rsid w:val="00DC5C19"/>
    <w:rsid w:val="00DD1228"/>
    <w:rsid w:val="00DD7627"/>
    <w:rsid w:val="00DD7F71"/>
    <w:rsid w:val="00DE63C2"/>
    <w:rsid w:val="00DF31F4"/>
    <w:rsid w:val="00E02F14"/>
    <w:rsid w:val="00E0308D"/>
    <w:rsid w:val="00E078FC"/>
    <w:rsid w:val="00E120FD"/>
    <w:rsid w:val="00E23884"/>
    <w:rsid w:val="00E26798"/>
    <w:rsid w:val="00E312B7"/>
    <w:rsid w:val="00E353C1"/>
    <w:rsid w:val="00E37EF1"/>
    <w:rsid w:val="00E41008"/>
    <w:rsid w:val="00E41DA8"/>
    <w:rsid w:val="00E422DF"/>
    <w:rsid w:val="00E52ABA"/>
    <w:rsid w:val="00E6451C"/>
    <w:rsid w:val="00E64FF4"/>
    <w:rsid w:val="00E71A10"/>
    <w:rsid w:val="00E71C1E"/>
    <w:rsid w:val="00E74183"/>
    <w:rsid w:val="00E75CB5"/>
    <w:rsid w:val="00E76E36"/>
    <w:rsid w:val="00E81955"/>
    <w:rsid w:val="00E8332D"/>
    <w:rsid w:val="00E84A0B"/>
    <w:rsid w:val="00E86E5B"/>
    <w:rsid w:val="00E90F1C"/>
    <w:rsid w:val="00E92EB2"/>
    <w:rsid w:val="00E939D0"/>
    <w:rsid w:val="00E968A7"/>
    <w:rsid w:val="00EA0885"/>
    <w:rsid w:val="00EA08AE"/>
    <w:rsid w:val="00EA09E5"/>
    <w:rsid w:val="00EA4006"/>
    <w:rsid w:val="00EA5AC2"/>
    <w:rsid w:val="00EA667F"/>
    <w:rsid w:val="00EA7E18"/>
    <w:rsid w:val="00EB04E5"/>
    <w:rsid w:val="00EB06CA"/>
    <w:rsid w:val="00EB6925"/>
    <w:rsid w:val="00EC05C7"/>
    <w:rsid w:val="00EC1A4A"/>
    <w:rsid w:val="00ED182A"/>
    <w:rsid w:val="00ED744A"/>
    <w:rsid w:val="00EE0816"/>
    <w:rsid w:val="00EE352E"/>
    <w:rsid w:val="00EF1E52"/>
    <w:rsid w:val="00EF3D8C"/>
    <w:rsid w:val="00EF498A"/>
    <w:rsid w:val="00EF739B"/>
    <w:rsid w:val="00F01E48"/>
    <w:rsid w:val="00F03C14"/>
    <w:rsid w:val="00F058A5"/>
    <w:rsid w:val="00F061F2"/>
    <w:rsid w:val="00F0665B"/>
    <w:rsid w:val="00F07D12"/>
    <w:rsid w:val="00F1569F"/>
    <w:rsid w:val="00F33CE4"/>
    <w:rsid w:val="00F349CF"/>
    <w:rsid w:val="00F36F4B"/>
    <w:rsid w:val="00F53A6C"/>
    <w:rsid w:val="00F556CB"/>
    <w:rsid w:val="00F561EC"/>
    <w:rsid w:val="00F56EE1"/>
    <w:rsid w:val="00F60EE1"/>
    <w:rsid w:val="00F670D6"/>
    <w:rsid w:val="00F6798D"/>
    <w:rsid w:val="00F70444"/>
    <w:rsid w:val="00F741DF"/>
    <w:rsid w:val="00F74217"/>
    <w:rsid w:val="00F75BB6"/>
    <w:rsid w:val="00F76622"/>
    <w:rsid w:val="00F810D9"/>
    <w:rsid w:val="00F843CB"/>
    <w:rsid w:val="00F909A9"/>
    <w:rsid w:val="00F94DC6"/>
    <w:rsid w:val="00FA138B"/>
    <w:rsid w:val="00FA4D4D"/>
    <w:rsid w:val="00FA6933"/>
    <w:rsid w:val="00FB0D2D"/>
    <w:rsid w:val="00FB246B"/>
    <w:rsid w:val="00FB3270"/>
    <w:rsid w:val="00FB349D"/>
    <w:rsid w:val="00FC3F06"/>
    <w:rsid w:val="00FC7C42"/>
    <w:rsid w:val="00FD0871"/>
    <w:rsid w:val="00FD1330"/>
    <w:rsid w:val="00FD4D82"/>
    <w:rsid w:val="00FD6026"/>
    <w:rsid w:val="00FF22D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2A4"/>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3732A4"/>
    <w:rPr>
      <w:rFonts w:ascii="Times New Roman" w:hAnsi="Times New Roman" w:cs="Times New Roman"/>
      <w:sz w:val="26"/>
      <w:szCs w:val="26"/>
    </w:rPr>
  </w:style>
  <w:style w:type="paragraph" w:customStyle="1" w:styleId="P00">
    <w:name w:val="P00"/>
    <w:rsid w:val="003732A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table" w:styleId="a3">
    <w:name w:val="Table Grid"/>
    <w:basedOn w:val="a1"/>
    <w:uiPriority w:val="59"/>
    <w:rsid w:val="00373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
    <w:name w:val="Table Text"/>
    <w:basedOn w:val="a"/>
    <w:rsid w:val="004E71A1"/>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4E71A1"/>
  </w:style>
  <w:style w:type="paragraph" w:customStyle="1" w:styleId="TableBlock">
    <w:name w:val="Table Block"/>
    <w:basedOn w:val="TableText"/>
    <w:rsid w:val="004E71A1"/>
    <w:pPr>
      <w:ind w:right="0"/>
      <w:jc w:val="both"/>
    </w:pPr>
  </w:style>
  <w:style w:type="paragraph" w:customStyle="1" w:styleId="TableHead">
    <w:name w:val="Table Head"/>
    <w:basedOn w:val="TableText"/>
    <w:rsid w:val="004E71A1"/>
    <w:pPr>
      <w:ind w:right="0"/>
      <w:jc w:val="center"/>
    </w:pPr>
    <w:rPr>
      <w:b/>
      <w:bCs/>
    </w:rPr>
  </w:style>
  <w:style w:type="paragraph" w:customStyle="1" w:styleId="TableInnerSideHeading">
    <w:name w:val="Table InnerSideHeading"/>
    <w:basedOn w:val="TableSideHeading"/>
    <w:rsid w:val="004E71A1"/>
  </w:style>
  <w:style w:type="paragraph" w:styleId="a4">
    <w:name w:val="footnote text"/>
    <w:aliases w:val="טקסט הערות שוליים תו Char Char Char,טקסט הערות שוליים תו Char Char,טקסט הערות שוליים תו תו Char Char,טקסט הערות שוליים תו תו Char Char Char Char Char,טקסט הערות שוליים תו תו Char,טקסט הערות שוליים תו תו תו"/>
    <w:basedOn w:val="a"/>
    <w:link w:val="a5"/>
    <w:autoRedefine/>
    <w:uiPriority w:val="99"/>
    <w:rsid w:val="00B56E5E"/>
    <w:pPr>
      <w:widowControl w:val="0"/>
      <w:adjustRightInd w:val="0"/>
      <w:snapToGrid w:val="0"/>
      <w:spacing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aliases w:val="טקסט הערות שוליים תו Char Char Char תו,טקסט הערות שוליים תו Char Char תו,טקסט הערות שוליים תו תו Char Char תו,טקסט הערות שוליים תו תו Char Char Char Char Char תו,טקסט הערות שוליים תו תו Char תו,טקסט הערות שוליים תו תו תו תו"/>
    <w:basedOn w:val="a0"/>
    <w:link w:val="a4"/>
    <w:uiPriority w:val="99"/>
    <w:rsid w:val="00B56E5E"/>
    <w:rPr>
      <w:rFonts w:ascii="Arial" w:eastAsia="Arial Unicode MS" w:hAnsi="Arial" w:cs="David"/>
      <w:snapToGrid w:val="0"/>
      <w:color w:val="000000"/>
      <w:sz w:val="14"/>
      <w:szCs w:val="20"/>
      <w:lang w:eastAsia="ja-JP"/>
    </w:rPr>
  </w:style>
  <w:style w:type="character" w:styleId="a6">
    <w:name w:val="footnote reference"/>
    <w:aliases w:val="Footnote Reference"/>
    <w:uiPriority w:val="99"/>
    <w:semiHidden/>
    <w:rsid w:val="004E71A1"/>
    <w:rPr>
      <w:vertAlign w:val="superscript"/>
    </w:rPr>
  </w:style>
  <w:style w:type="paragraph" w:customStyle="1" w:styleId="HesberWriters">
    <w:name w:val="Hesber Writers"/>
    <w:basedOn w:val="a"/>
    <w:rsid w:val="004E71A1"/>
    <w:pPr>
      <w:widowControl w:val="0"/>
      <w:adjustRightInd w:val="0"/>
      <w:snapToGrid w:val="0"/>
      <w:spacing w:before="120" w:after="6000"/>
      <w:ind w:left="1418"/>
      <w:jc w:val="right"/>
      <w:textAlignment w:val="center"/>
    </w:pPr>
    <w:rPr>
      <w:rFonts w:ascii="Arial" w:eastAsia="Arial Unicode MS" w:hAnsi="Arial" w:cs="David"/>
      <w:b/>
      <w:bCs/>
      <w:snapToGrid w:val="0"/>
      <w:color w:val="000000"/>
      <w:sz w:val="20"/>
      <w:szCs w:val="26"/>
      <w:lang w:eastAsia="ja-JP"/>
    </w:rPr>
  </w:style>
  <w:style w:type="paragraph" w:styleId="a7">
    <w:name w:val="List Paragraph"/>
    <w:basedOn w:val="a"/>
    <w:uiPriority w:val="34"/>
    <w:qFormat/>
    <w:rsid w:val="004E71A1"/>
    <w:pPr>
      <w:widowControl w:val="0"/>
      <w:adjustRightInd w:val="0"/>
      <w:spacing w:before="102" w:line="204" w:lineRule="atLeast"/>
      <w:ind w:left="720" w:firstLine="340"/>
      <w:contextualSpacing/>
      <w:textAlignment w:val="center"/>
    </w:pPr>
    <w:rPr>
      <w:rFonts w:ascii="Hadasa Roso SL" w:eastAsia="MS Mincho" w:hAnsi="Hadasa Roso SL" w:cs="Hadasa Roso SL"/>
      <w:color w:val="000000"/>
      <w:spacing w:val="1"/>
      <w:sz w:val="17"/>
      <w:szCs w:val="17"/>
      <w:lang w:eastAsia="ja-JP"/>
    </w:rPr>
  </w:style>
  <w:style w:type="character" w:customStyle="1" w:styleId="big-number">
    <w:name w:val="big-number"/>
    <w:basedOn w:val="default"/>
    <w:rsid w:val="00FB246B"/>
    <w:rPr>
      <w:rFonts w:ascii="Times New Roman" w:hAnsi="Times New Roman" w:cs="Miriam"/>
      <w:sz w:val="32"/>
      <w:szCs w:val="32"/>
    </w:rPr>
  </w:style>
  <w:style w:type="character" w:styleId="Hyperlink">
    <w:name w:val="Hyperlink"/>
    <w:basedOn w:val="a0"/>
    <w:rsid w:val="00FB246B"/>
    <w:rPr>
      <w:color w:val="0000FF"/>
      <w:u w:val="single"/>
    </w:rPr>
  </w:style>
  <w:style w:type="paragraph" w:customStyle="1" w:styleId="P04">
    <w:name w:val="P04"/>
    <w:basedOn w:val="P00"/>
    <w:rsid w:val="00DE63C2"/>
    <w:pPr>
      <w:ind w:right="1928" w:hanging="1928"/>
    </w:pPr>
  </w:style>
  <w:style w:type="paragraph" w:customStyle="1" w:styleId="P22">
    <w:name w:val="P22"/>
    <w:basedOn w:val="P00"/>
    <w:rsid w:val="00CA48C9"/>
    <w:pPr>
      <w:tabs>
        <w:tab w:val="clear" w:pos="624"/>
        <w:tab w:val="clear" w:pos="1021"/>
      </w:tabs>
      <w:ind w:right="1021"/>
    </w:pPr>
  </w:style>
  <w:style w:type="paragraph" w:customStyle="1" w:styleId="medium2-header">
    <w:name w:val="medium2-header"/>
    <w:basedOn w:val="a"/>
    <w:rsid w:val="006171C1"/>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paragraph" w:customStyle="1" w:styleId="P11">
    <w:name w:val="P11"/>
    <w:basedOn w:val="P00"/>
    <w:rsid w:val="00666451"/>
    <w:pPr>
      <w:tabs>
        <w:tab w:val="clear" w:pos="624"/>
      </w:tabs>
      <w:ind w:right="624"/>
    </w:pPr>
  </w:style>
  <w:style w:type="paragraph" w:customStyle="1" w:styleId="page">
    <w:name w:val="page"/>
    <w:rsid w:val="002A6735"/>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header-2">
    <w:name w:val="header-2"/>
    <w:basedOn w:val="P00"/>
    <w:rsid w:val="002A6735"/>
    <w:pPr>
      <w:keepNext/>
      <w:keepLines/>
      <w:tabs>
        <w:tab w:val="clear" w:pos="6259"/>
      </w:tabs>
      <w:spacing w:before="240"/>
      <w:jc w:val="center"/>
    </w:pPr>
    <w:rPr>
      <w:szCs w:val="20"/>
    </w:rPr>
  </w:style>
  <w:style w:type="paragraph" w:customStyle="1" w:styleId="a8">
    <w:name w:val="פסקה#"/>
    <w:basedOn w:val="a"/>
    <w:link w:val="a9"/>
    <w:uiPriority w:val="99"/>
    <w:rsid w:val="0088223D"/>
    <w:pPr>
      <w:autoSpaceDE/>
      <w:autoSpaceDN/>
      <w:spacing w:before="120" w:after="120"/>
      <w:ind w:left="249" w:hanging="360"/>
    </w:pPr>
    <w:rPr>
      <w:rFonts w:cs="David"/>
      <w:sz w:val="24"/>
      <w:lang w:eastAsia="en-US"/>
    </w:rPr>
  </w:style>
  <w:style w:type="character" w:customStyle="1" w:styleId="a9">
    <w:name w:val="פסקה# תו"/>
    <w:link w:val="a8"/>
    <w:uiPriority w:val="99"/>
    <w:locked/>
    <w:rsid w:val="0088223D"/>
    <w:rPr>
      <w:rFonts w:ascii="Times New Roman" w:eastAsia="Times New Roman" w:hAnsi="Times New Roman" w:cs="David"/>
      <w:sz w:val="24"/>
      <w:szCs w:val="24"/>
    </w:rPr>
  </w:style>
  <w:style w:type="paragraph" w:customStyle="1" w:styleId="11">
    <w:name w:val="כות_1.1"/>
    <w:basedOn w:val="a"/>
    <w:link w:val="110"/>
    <w:uiPriority w:val="99"/>
    <w:rsid w:val="00712AB2"/>
    <w:pPr>
      <w:autoSpaceDE/>
      <w:autoSpaceDN/>
      <w:spacing w:before="240" w:after="120"/>
      <w:ind w:right="14"/>
    </w:pPr>
    <w:rPr>
      <w:rFonts w:cs="David"/>
      <w:b/>
      <w:bCs/>
      <w:sz w:val="28"/>
      <w:szCs w:val="28"/>
    </w:rPr>
  </w:style>
  <w:style w:type="character" w:customStyle="1" w:styleId="110">
    <w:name w:val="כות_1.1 תו"/>
    <w:basedOn w:val="a0"/>
    <w:link w:val="11"/>
    <w:uiPriority w:val="99"/>
    <w:locked/>
    <w:rsid w:val="00712AB2"/>
    <w:rPr>
      <w:rFonts w:ascii="Times New Roman" w:eastAsia="Times New Roman" w:hAnsi="Times New Roman" w:cs="David"/>
      <w:b/>
      <w:bCs/>
      <w:sz w:val="28"/>
      <w:szCs w:val="28"/>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2A4"/>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3732A4"/>
    <w:rPr>
      <w:rFonts w:ascii="Times New Roman" w:hAnsi="Times New Roman" w:cs="Times New Roman"/>
      <w:sz w:val="26"/>
      <w:szCs w:val="26"/>
    </w:rPr>
  </w:style>
  <w:style w:type="paragraph" w:customStyle="1" w:styleId="P00">
    <w:name w:val="P00"/>
    <w:rsid w:val="003732A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table" w:styleId="a3">
    <w:name w:val="Table Grid"/>
    <w:basedOn w:val="a1"/>
    <w:uiPriority w:val="59"/>
    <w:rsid w:val="00373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
    <w:name w:val="Table Text"/>
    <w:basedOn w:val="a"/>
    <w:rsid w:val="004E71A1"/>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4E71A1"/>
  </w:style>
  <w:style w:type="paragraph" w:customStyle="1" w:styleId="TableBlock">
    <w:name w:val="Table Block"/>
    <w:basedOn w:val="TableText"/>
    <w:rsid w:val="004E71A1"/>
    <w:pPr>
      <w:ind w:right="0"/>
      <w:jc w:val="both"/>
    </w:pPr>
  </w:style>
  <w:style w:type="paragraph" w:customStyle="1" w:styleId="TableHead">
    <w:name w:val="Table Head"/>
    <w:basedOn w:val="TableText"/>
    <w:rsid w:val="004E71A1"/>
    <w:pPr>
      <w:ind w:right="0"/>
      <w:jc w:val="center"/>
    </w:pPr>
    <w:rPr>
      <w:b/>
      <w:bCs/>
    </w:rPr>
  </w:style>
  <w:style w:type="paragraph" w:customStyle="1" w:styleId="TableInnerSideHeading">
    <w:name w:val="Table InnerSideHeading"/>
    <w:basedOn w:val="TableSideHeading"/>
    <w:rsid w:val="004E71A1"/>
  </w:style>
  <w:style w:type="paragraph" w:styleId="a4">
    <w:name w:val="footnote text"/>
    <w:aliases w:val="טקסט הערות שוליים תו Char Char Char,טקסט הערות שוליים תו Char Char,טקסט הערות שוליים תו תו Char Char,טקסט הערות שוליים תו תו Char Char Char Char Char,טקסט הערות שוליים תו תו Char,טקסט הערות שוליים תו תו תו"/>
    <w:basedOn w:val="a"/>
    <w:link w:val="a5"/>
    <w:autoRedefine/>
    <w:uiPriority w:val="99"/>
    <w:rsid w:val="00B56E5E"/>
    <w:pPr>
      <w:widowControl w:val="0"/>
      <w:adjustRightInd w:val="0"/>
      <w:snapToGrid w:val="0"/>
      <w:spacing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aliases w:val="טקסט הערות שוליים תו Char Char Char תו,טקסט הערות שוליים תו Char Char תו,טקסט הערות שוליים תו תו Char Char תו,טקסט הערות שוליים תו תו Char Char Char Char Char תו,טקסט הערות שוליים תו תו Char תו,טקסט הערות שוליים תו תו תו תו"/>
    <w:basedOn w:val="a0"/>
    <w:link w:val="a4"/>
    <w:uiPriority w:val="99"/>
    <w:rsid w:val="00B56E5E"/>
    <w:rPr>
      <w:rFonts w:ascii="Arial" w:eastAsia="Arial Unicode MS" w:hAnsi="Arial" w:cs="David"/>
      <w:snapToGrid w:val="0"/>
      <w:color w:val="000000"/>
      <w:sz w:val="14"/>
      <w:szCs w:val="20"/>
      <w:lang w:eastAsia="ja-JP"/>
    </w:rPr>
  </w:style>
  <w:style w:type="character" w:styleId="a6">
    <w:name w:val="footnote reference"/>
    <w:aliases w:val="Footnote Reference"/>
    <w:uiPriority w:val="99"/>
    <w:semiHidden/>
    <w:rsid w:val="004E71A1"/>
    <w:rPr>
      <w:vertAlign w:val="superscript"/>
    </w:rPr>
  </w:style>
  <w:style w:type="paragraph" w:customStyle="1" w:styleId="HesberWriters">
    <w:name w:val="Hesber Writers"/>
    <w:basedOn w:val="a"/>
    <w:rsid w:val="004E71A1"/>
    <w:pPr>
      <w:widowControl w:val="0"/>
      <w:adjustRightInd w:val="0"/>
      <w:snapToGrid w:val="0"/>
      <w:spacing w:before="120" w:after="6000"/>
      <w:ind w:left="1418"/>
      <w:jc w:val="right"/>
      <w:textAlignment w:val="center"/>
    </w:pPr>
    <w:rPr>
      <w:rFonts w:ascii="Arial" w:eastAsia="Arial Unicode MS" w:hAnsi="Arial" w:cs="David"/>
      <w:b/>
      <w:bCs/>
      <w:snapToGrid w:val="0"/>
      <w:color w:val="000000"/>
      <w:sz w:val="20"/>
      <w:szCs w:val="26"/>
      <w:lang w:eastAsia="ja-JP"/>
    </w:rPr>
  </w:style>
  <w:style w:type="paragraph" w:styleId="a7">
    <w:name w:val="List Paragraph"/>
    <w:basedOn w:val="a"/>
    <w:uiPriority w:val="34"/>
    <w:qFormat/>
    <w:rsid w:val="004E71A1"/>
    <w:pPr>
      <w:widowControl w:val="0"/>
      <w:adjustRightInd w:val="0"/>
      <w:spacing w:before="102" w:line="204" w:lineRule="atLeast"/>
      <w:ind w:left="720" w:firstLine="340"/>
      <w:contextualSpacing/>
      <w:textAlignment w:val="center"/>
    </w:pPr>
    <w:rPr>
      <w:rFonts w:ascii="Hadasa Roso SL" w:eastAsia="MS Mincho" w:hAnsi="Hadasa Roso SL" w:cs="Hadasa Roso SL"/>
      <w:color w:val="000000"/>
      <w:spacing w:val="1"/>
      <w:sz w:val="17"/>
      <w:szCs w:val="17"/>
      <w:lang w:eastAsia="ja-JP"/>
    </w:rPr>
  </w:style>
  <w:style w:type="character" w:customStyle="1" w:styleId="big-number">
    <w:name w:val="big-number"/>
    <w:basedOn w:val="default"/>
    <w:rsid w:val="00FB246B"/>
    <w:rPr>
      <w:rFonts w:ascii="Times New Roman" w:hAnsi="Times New Roman" w:cs="Miriam"/>
      <w:sz w:val="32"/>
      <w:szCs w:val="32"/>
    </w:rPr>
  </w:style>
  <w:style w:type="character" w:styleId="Hyperlink">
    <w:name w:val="Hyperlink"/>
    <w:basedOn w:val="a0"/>
    <w:rsid w:val="00FB246B"/>
    <w:rPr>
      <w:color w:val="0000FF"/>
      <w:u w:val="single"/>
    </w:rPr>
  </w:style>
  <w:style w:type="paragraph" w:customStyle="1" w:styleId="P04">
    <w:name w:val="P04"/>
    <w:basedOn w:val="P00"/>
    <w:rsid w:val="00DE63C2"/>
    <w:pPr>
      <w:ind w:right="1928" w:hanging="1928"/>
    </w:pPr>
  </w:style>
  <w:style w:type="paragraph" w:customStyle="1" w:styleId="P22">
    <w:name w:val="P22"/>
    <w:basedOn w:val="P00"/>
    <w:rsid w:val="00CA48C9"/>
    <w:pPr>
      <w:tabs>
        <w:tab w:val="clear" w:pos="624"/>
        <w:tab w:val="clear" w:pos="1021"/>
      </w:tabs>
      <w:ind w:right="1021"/>
    </w:pPr>
  </w:style>
  <w:style w:type="paragraph" w:customStyle="1" w:styleId="medium2-header">
    <w:name w:val="medium2-header"/>
    <w:basedOn w:val="a"/>
    <w:rsid w:val="006171C1"/>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paragraph" w:customStyle="1" w:styleId="P11">
    <w:name w:val="P11"/>
    <w:basedOn w:val="P00"/>
    <w:rsid w:val="00666451"/>
    <w:pPr>
      <w:tabs>
        <w:tab w:val="clear" w:pos="624"/>
      </w:tabs>
      <w:ind w:right="624"/>
    </w:pPr>
  </w:style>
  <w:style w:type="paragraph" w:customStyle="1" w:styleId="page">
    <w:name w:val="page"/>
    <w:rsid w:val="002A6735"/>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header-2">
    <w:name w:val="header-2"/>
    <w:basedOn w:val="P00"/>
    <w:rsid w:val="002A6735"/>
    <w:pPr>
      <w:keepNext/>
      <w:keepLines/>
      <w:tabs>
        <w:tab w:val="clear" w:pos="6259"/>
      </w:tabs>
      <w:spacing w:before="240"/>
      <w:jc w:val="center"/>
    </w:pPr>
    <w:rPr>
      <w:szCs w:val="20"/>
    </w:rPr>
  </w:style>
  <w:style w:type="paragraph" w:customStyle="1" w:styleId="a8">
    <w:name w:val="פסקה#"/>
    <w:basedOn w:val="a"/>
    <w:link w:val="a9"/>
    <w:uiPriority w:val="99"/>
    <w:rsid w:val="0088223D"/>
    <w:pPr>
      <w:autoSpaceDE/>
      <w:autoSpaceDN/>
      <w:spacing w:before="120" w:after="120"/>
      <w:ind w:left="249" w:hanging="360"/>
    </w:pPr>
    <w:rPr>
      <w:rFonts w:cs="David"/>
      <w:sz w:val="24"/>
      <w:lang w:eastAsia="en-US"/>
    </w:rPr>
  </w:style>
  <w:style w:type="character" w:customStyle="1" w:styleId="a9">
    <w:name w:val="פסקה# תו"/>
    <w:link w:val="a8"/>
    <w:uiPriority w:val="99"/>
    <w:locked/>
    <w:rsid w:val="0088223D"/>
    <w:rPr>
      <w:rFonts w:ascii="Times New Roman" w:eastAsia="Times New Roman" w:hAnsi="Times New Roman" w:cs="David"/>
      <w:sz w:val="24"/>
      <w:szCs w:val="24"/>
    </w:rPr>
  </w:style>
  <w:style w:type="paragraph" w:customStyle="1" w:styleId="11">
    <w:name w:val="כות_1.1"/>
    <w:basedOn w:val="a"/>
    <w:link w:val="110"/>
    <w:uiPriority w:val="99"/>
    <w:rsid w:val="00712AB2"/>
    <w:pPr>
      <w:autoSpaceDE/>
      <w:autoSpaceDN/>
      <w:spacing w:before="240" w:after="120"/>
      <w:ind w:right="14"/>
    </w:pPr>
    <w:rPr>
      <w:rFonts w:cs="David"/>
      <w:b/>
      <w:bCs/>
      <w:sz w:val="28"/>
      <w:szCs w:val="28"/>
    </w:rPr>
  </w:style>
  <w:style w:type="character" w:customStyle="1" w:styleId="110">
    <w:name w:val="כות_1.1 תו"/>
    <w:basedOn w:val="a0"/>
    <w:link w:val="11"/>
    <w:uiPriority w:val="99"/>
    <w:locked/>
    <w:rsid w:val="00712AB2"/>
    <w:rPr>
      <w:rFonts w:ascii="Times New Roman" w:eastAsia="Times New Roman" w:hAnsi="Times New Roman" w:cs="David"/>
      <w:b/>
      <w:bCs/>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663173">
      <w:bodyDiv w:val="1"/>
      <w:marLeft w:val="0"/>
      <w:marRight w:val="0"/>
      <w:marTop w:val="0"/>
      <w:marBottom w:val="0"/>
      <w:divBdr>
        <w:top w:val="none" w:sz="0" w:space="0" w:color="auto"/>
        <w:left w:val="none" w:sz="0" w:space="0" w:color="auto"/>
        <w:bottom w:val="none" w:sz="0" w:space="0" w:color="auto"/>
        <w:right w:val="none" w:sz="0" w:space="0" w:color="auto"/>
      </w:divBdr>
    </w:div>
    <w:div w:id="1069230320">
      <w:bodyDiv w:val="1"/>
      <w:marLeft w:val="0"/>
      <w:marRight w:val="0"/>
      <w:marTop w:val="0"/>
      <w:marBottom w:val="0"/>
      <w:divBdr>
        <w:top w:val="none" w:sz="0" w:space="0" w:color="auto"/>
        <w:left w:val="none" w:sz="0" w:space="0" w:color="auto"/>
        <w:bottom w:val="none" w:sz="0" w:space="0" w:color="auto"/>
        <w:right w:val="none" w:sz="0" w:space="0" w:color="auto"/>
      </w:divBdr>
    </w:div>
    <w:div w:id="126290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255A50-CF19-420A-BB43-24E85CF5B4D0}"/>
</file>

<file path=customXml/itemProps2.xml><?xml version="1.0" encoding="utf-8"?>
<ds:datastoreItem xmlns:ds="http://schemas.openxmlformats.org/officeDocument/2006/customXml" ds:itemID="{2B3F4F6D-64CB-4601-9D0D-89122DCAF8C2}"/>
</file>

<file path=customXml/itemProps3.xml><?xml version="1.0" encoding="utf-8"?>
<ds:datastoreItem xmlns:ds="http://schemas.openxmlformats.org/officeDocument/2006/customXml" ds:itemID="{8CF01C20-0E21-485E-8EE8-C8F72A492E8C}"/>
</file>

<file path=customXml/itemProps4.xml><?xml version="1.0" encoding="utf-8"?>
<ds:datastoreItem xmlns:ds="http://schemas.openxmlformats.org/officeDocument/2006/customXml" ds:itemID="{9744E5EE-7DE3-435F-9C98-CD860BAD92A3}"/>
</file>

<file path=docProps/app.xml><?xml version="1.0" encoding="utf-8"?>
<Properties xmlns="http://schemas.openxmlformats.org/officeDocument/2006/extended-properties" xmlns:vt="http://schemas.openxmlformats.org/officeDocument/2006/docPropsVTypes">
  <Template>Normal</Template>
  <TotalTime>2</TotalTime>
  <Pages>8</Pages>
  <Words>2572</Words>
  <Characters>12860</Characters>
  <Application>Microsoft Office Word</Application>
  <DocSecurity>0</DocSecurity>
  <Lines>107</Lines>
  <Paragraphs>30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15402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dc:creator>
  <cp:lastModifiedBy>User</cp:lastModifiedBy>
  <cp:revision>2</cp:revision>
  <dcterms:created xsi:type="dcterms:W3CDTF">2014-05-04T08:08:00Z</dcterms:created>
  <dcterms:modified xsi:type="dcterms:W3CDTF">2014-05-04T08:08:00Z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