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9948C2" w:rsidRDefault="004033D8" w:rsidP="009948C2">
      <w:pPr>
        <w:pStyle w:val="HeadHatzaotHok"/>
        <w:jc w:val="right"/>
        <w:rPr>
          <w:b w:val="0"/>
          <w:bCs w:val="0"/>
          <w:szCs w:val="20"/>
        </w:rPr>
      </w:pPr>
      <w:r w:rsidRPr="009948C2">
        <w:rPr>
          <w:rFonts w:hint="cs"/>
          <w:b w:val="0"/>
          <w:bCs w:val="0"/>
          <w:szCs w:val="20"/>
          <w:rtl/>
        </w:rPr>
        <w:t xml:space="preserve">מספר פנימי: </w:t>
      </w:r>
      <w:bookmarkStart w:id="0" w:name="ItemID"/>
      <w:r w:rsidR="0054773E" w:rsidRPr="009948C2">
        <w:rPr>
          <w:b w:val="0"/>
          <w:bCs w:val="0"/>
          <w:szCs w:val="20"/>
          <w:rtl/>
        </w:rPr>
        <w:t>486680</w:t>
      </w:r>
      <w:bookmarkEnd w:id="0"/>
    </w:p>
    <w:p w:rsidR="00E13C27" w:rsidRPr="00DB7060" w:rsidRDefault="00E13C27" w:rsidP="00E13C27">
      <w:pPr>
        <w:pStyle w:val="HeadHatzaotHok"/>
        <w:rPr>
          <w:sz w:val="28"/>
          <w:szCs w:val="28"/>
          <w:rtl/>
        </w:rPr>
      </w:pPr>
      <w:r w:rsidRPr="00DB7060">
        <w:rPr>
          <w:rFonts w:hint="cs"/>
          <w:sz w:val="28"/>
          <w:szCs w:val="28"/>
          <w:rtl/>
        </w:rPr>
        <w:t xml:space="preserve">הכנסת </w:t>
      </w:r>
      <w:bookmarkStart w:id="1" w:name="KnessetNum"/>
      <w:r w:rsidR="0054773E" w:rsidRPr="0054773E">
        <w:rPr>
          <w:sz w:val="28"/>
          <w:szCs w:val="28"/>
          <w:rtl/>
        </w:rPr>
        <w:t>התשע-עשרה</w:t>
      </w:r>
      <w:bookmarkEnd w:id="1"/>
    </w:p>
    <w:p w:rsidR="00E13C27" w:rsidRDefault="00E13C27" w:rsidP="00E13C27">
      <w:pPr>
        <w:rPr>
          <w:rFonts w:cs="David"/>
          <w:sz w:val="26"/>
          <w:szCs w:val="26"/>
          <w:rtl/>
        </w:rPr>
      </w:pPr>
    </w:p>
    <w:p w:rsidR="00E13C27" w:rsidRPr="00B35784" w:rsidRDefault="0054773E" w:rsidP="0091204F">
      <w:pPr>
        <w:pStyle w:val="David"/>
        <w:ind w:left="2880" w:firstLine="663"/>
        <w:rPr>
          <w:b/>
          <w:bCs/>
          <w:rtl/>
        </w:rPr>
      </w:pPr>
      <w:bookmarkStart w:id="2" w:name="MKsSingleOrMulti"/>
      <w:r w:rsidRPr="005D5213">
        <w:rPr>
          <w:b/>
          <w:bCs/>
          <w:rtl/>
        </w:rPr>
        <w:t>יוזם:           חבר הכנסת</w:t>
      </w:r>
      <w:bookmarkEnd w:id="2"/>
      <w:r w:rsidR="00B35784">
        <w:tab/>
      </w:r>
      <w:bookmarkStart w:id="3" w:name="MKs"/>
      <w:r w:rsidRPr="0054773E">
        <w:rPr>
          <w:b/>
          <w:bCs/>
          <w:rtl/>
        </w:rPr>
        <w:t>מיקי רוזנטל</w:t>
      </w:r>
      <w:bookmarkEnd w:id="3"/>
    </w:p>
    <w:p w:rsidR="00E13C27" w:rsidRDefault="0014195F" w:rsidP="00B35784">
      <w:pPr>
        <w:ind w:firstLine="3543"/>
        <w:rPr>
          <w:rFonts w:cs="David"/>
          <w:sz w:val="26"/>
          <w:szCs w:val="26"/>
          <w:rtl/>
        </w:rPr>
      </w:pPr>
      <w:r>
        <w:rPr>
          <w:noProof/>
          <w:rtl/>
          <w:lang w:eastAsia="en-US"/>
        </w:rPr>
        <mc:AlternateContent>
          <mc:Choice Requires="wps">
            <w:drawing>
              <wp:anchor distT="0" distB="0" distL="114300" distR="114300" simplePos="0" relativeHeight="251658240" behindDoc="0" locked="0" layoutInCell="1" allowOverlap="1" wp14:anchorId="25EA197B" wp14:editId="5CE95B32">
                <wp:simplePos x="0" y="0"/>
                <wp:positionH relativeFrom="column">
                  <wp:posOffset>1270</wp:posOffset>
                </wp:positionH>
                <wp:positionV relativeFrom="paragraph">
                  <wp:posOffset>48895</wp:posOffset>
                </wp:positionV>
                <wp:extent cx="3869690" cy="15875"/>
                <wp:effectExtent l="0" t="38100" r="0" b="41275"/>
                <wp:wrapNone/>
                <wp:docPr id="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69690" cy="15875"/>
                        </a:xfrm>
                        <a:custGeom>
                          <a:avLst/>
                          <a:gdLst>
                            <a:gd name="T0" fmla="*/ 0 w 6094"/>
                            <a:gd name="T1" fmla="*/ 25 h 25"/>
                            <a:gd name="T2" fmla="*/ 6094 w 6094"/>
                            <a:gd name="T3" fmla="*/ 0 h 25"/>
                          </a:gdLst>
                          <a:ahLst/>
                          <a:cxnLst>
                            <a:cxn ang="0">
                              <a:pos x="T0" y="T1"/>
                            </a:cxn>
                            <a:cxn ang="0">
                              <a:pos x="T2" y="T3"/>
                            </a:cxn>
                          </a:cxnLst>
                          <a:rect l="0" t="0" r="r" b="b"/>
                          <a:pathLst>
                            <a:path w="6094" h="25">
                              <a:moveTo>
                                <a:pt x="0" y="25"/>
                              </a:moveTo>
                              <a:lnTo>
                                <a:pt x="6094" y="0"/>
                              </a:lnTo>
                            </a:path>
                          </a:pathLst>
                        </a:custGeom>
                        <a:noFill/>
                        <a:ln w="9525">
                          <a:noFill/>
                          <a:round/>
                          <a:headEnd/>
                          <a:tailEn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8"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4.8pt,3.85pt" coordsize="609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" filled="f" stroked="f">
                <v:path arrowok="t" o:connecttype="custom" o:connectlocs="0,15875;3869690,0" o:connectangles="0,0"/>
              </v:polyline>
            </w:pict>
          </mc:Fallback>
        </mc:AlternateContent>
      </w:r>
      <w:bookmarkStart w:id="4" w:name="MKsSingleOrMulti1"/>
      <w:bookmarkEnd w:id="4"/>
      <w:r w:rsidR="002200A1">
        <w:rPr>
          <w:rFonts w:cs="David" w:hint="cs"/>
          <w:sz w:val="26"/>
          <w:szCs w:val="26"/>
          <w:rtl/>
        </w:rPr>
        <w:tab/>
      </w:r>
      <w:bookmarkStart w:id="5" w:name="MKs1"/>
      <w:bookmarkEnd w:id="5"/>
    </w:p>
    <w:p w:rsidR="00E13C27" w:rsidRDefault="0014195F" w:rsidP="00292712">
      <w:pPr>
        <w:ind w:left="2919" w:firstLine="720"/>
        <w:rPr>
          <w:rFonts w:cs="David"/>
          <w:sz w:val="26"/>
          <w:szCs w:val="26"/>
          <w:rtl/>
        </w:rPr>
      </w:pPr>
      <w:r>
        <w:rPr>
          <w:rFonts w:cs="David"/>
          <w:noProof/>
          <w:sz w:val="26"/>
          <w:szCs w:val="26"/>
          <w:rtl/>
          <w:lang w:eastAsia="en-US"/>
        </w:rPr>
        <mc:AlternateContent>
          <mc:Choice Requires="wps">
            <w:drawing>
              <wp:anchor distT="0" distB="0" distL="114300" distR="114300" simplePos="0" relativeHeight="251657216" behindDoc="0" locked="0" layoutInCell="1" allowOverlap="1" wp14:anchorId="58098B07" wp14:editId="1B0811B0">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Pr>
          <w:rFonts w:cs="David" w:hint="cs"/>
          <w:sz w:val="26"/>
          <w:szCs w:val="26"/>
          <w:rtl/>
        </w:rPr>
        <w:tab/>
      </w:r>
      <w:r w:rsidR="00E13C27">
        <w:rPr>
          <w:rFonts w:cs="David" w:hint="cs"/>
          <w:sz w:val="26"/>
          <w:szCs w:val="26"/>
          <w:rtl/>
        </w:rPr>
        <w:tab/>
      </w:r>
      <w:r w:rsidR="00E13C27">
        <w:rPr>
          <w:rFonts w:cs="David" w:hint="cs"/>
          <w:sz w:val="26"/>
          <w:szCs w:val="26"/>
          <w:rtl/>
        </w:rPr>
        <w:tab/>
      </w:r>
      <w:r w:rsidR="00E13C27">
        <w:rPr>
          <w:rFonts w:cs="David" w:hint="cs"/>
          <w:sz w:val="26"/>
          <w:szCs w:val="26"/>
          <w:rtl/>
        </w:rPr>
        <w:tab/>
      </w:r>
      <w:bookmarkStart w:id="6" w:name="LawNum"/>
      <w:r w:rsidR="00AF3FC6" w:rsidRPr="00AF3FC6">
        <w:rPr>
          <w:rFonts w:cs="David"/>
          <w:sz w:val="26"/>
          <w:szCs w:val="26"/>
          <w:rtl/>
        </w:rPr>
        <w:t>פ/1627/19</w:t>
      </w:r>
      <w:bookmarkEnd w:id="6"/>
      <w:r w:rsidR="00E13C27">
        <w:rPr>
          <w:rFonts w:cs="David" w:hint="cs"/>
          <w:sz w:val="26"/>
          <w:szCs w:val="26"/>
          <w:rtl/>
        </w:rPr>
        <w:tab/>
      </w:r>
      <w:r w:rsidR="00E13C27">
        <w:rPr>
          <w:rFonts w:cs="David" w:hint="cs"/>
          <w:sz w:val="26"/>
          <w:szCs w:val="26"/>
          <w:rtl/>
        </w:rPr>
        <w:tab/>
      </w:r>
      <w:r w:rsidR="00E13C27">
        <w:rPr>
          <w:rFonts w:cs="David" w:hint="cs"/>
          <w:sz w:val="26"/>
          <w:szCs w:val="26"/>
          <w:rtl/>
        </w:rPr>
        <w:tab/>
      </w:r>
    </w:p>
    <w:p w:rsidR="00E13C27" w:rsidRDefault="00E13C27" w:rsidP="00E13C27">
      <w:pPr>
        <w:spacing w:before="0" w:line="360" w:lineRule="auto"/>
        <w:ind w:left="2880" w:firstLine="720"/>
        <w:rPr>
          <w:rFonts w:cs="David"/>
          <w:sz w:val="26"/>
          <w:szCs w:val="26"/>
          <w:rtl/>
        </w:rPr>
      </w:pPr>
    </w:p>
    <w:p w:rsidR="00112AB3" w:rsidRDefault="001D78A0" w:rsidP="00C62523">
      <w:pPr>
        <w:pStyle w:val="HeadHatzaotHok"/>
        <w:tabs>
          <w:tab w:val="left" w:pos="4071"/>
          <w:tab w:val="center" w:pos="4819"/>
        </w:tabs>
        <w:spacing w:before="0"/>
        <w:rPr>
          <w:sz w:val="26"/>
          <w:rtl/>
        </w:rPr>
      </w:pPr>
      <w:bookmarkStart w:id="7" w:name="Title"/>
      <w:r w:rsidRPr="001D78A0">
        <w:rPr>
          <w:sz w:val="26"/>
          <w:rtl/>
        </w:rPr>
        <w:t xml:space="preserve">הצעת חוק ההגבלים העסקיים (תיקון </w:t>
      </w:r>
      <w:r w:rsidR="005C2D5C">
        <w:rPr>
          <w:rFonts w:hint="cs"/>
          <w:sz w:val="26"/>
          <w:rtl/>
        </w:rPr>
        <w:t>–</w:t>
      </w:r>
      <w:r w:rsidR="005C2D5C" w:rsidRPr="001D78A0">
        <w:rPr>
          <w:sz w:val="26"/>
          <w:rtl/>
        </w:rPr>
        <w:t xml:space="preserve"> </w:t>
      </w:r>
      <w:r w:rsidRPr="001D78A0">
        <w:rPr>
          <w:sz w:val="26"/>
          <w:rtl/>
        </w:rPr>
        <w:t>פטור לתוצרת חקלאית), התשע"ג</w:t>
      </w:r>
      <w:r w:rsidR="005C2D5C">
        <w:rPr>
          <w:rFonts w:hint="cs"/>
          <w:sz w:val="26"/>
          <w:rtl/>
        </w:rPr>
        <w:t>–</w:t>
      </w:r>
      <w:r w:rsidRPr="001D78A0">
        <w:rPr>
          <w:sz w:val="26"/>
          <w:rtl/>
        </w:rPr>
        <w:t>2013</w:t>
      </w:r>
      <w:bookmarkEnd w:id="7"/>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19"/>
      </w:tblGrid>
      <w:tr w:rsidR="00112AB3" w:rsidRPr="00195C51" w:rsidTr="005D5213">
        <w:trPr>
          <w:cantSplit/>
        </w:trPr>
        <w:tc>
          <w:tcPr>
            <w:tcW w:w="1872" w:type="dxa"/>
          </w:tcPr>
          <w:p w:rsidR="00112AB3" w:rsidRPr="00202B5F" w:rsidRDefault="00112AB3" w:rsidP="007E361F">
            <w:pPr>
              <w:pStyle w:val="TableSideHeading"/>
              <w:ind w:right="0"/>
            </w:pPr>
            <w:r>
              <w:rPr>
                <w:rFonts w:hint="cs"/>
                <w:rtl/>
              </w:rPr>
              <w:t>תיקון סעיף 3</w:t>
            </w:r>
          </w:p>
        </w:tc>
        <w:tc>
          <w:tcPr>
            <w:tcW w:w="624" w:type="dxa"/>
          </w:tcPr>
          <w:p w:rsidR="00112AB3" w:rsidRPr="00202B5F" w:rsidRDefault="00112AB3" w:rsidP="007E361F">
            <w:pPr>
              <w:pStyle w:val="TableText"/>
              <w:ind w:right="0"/>
              <w:jc w:val="both"/>
            </w:pPr>
            <w:r>
              <w:rPr>
                <w:rFonts w:hint="cs"/>
                <w:rtl/>
              </w:rPr>
              <w:t>1.</w:t>
            </w:r>
          </w:p>
        </w:tc>
        <w:tc>
          <w:tcPr>
            <w:tcW w:w="7143" w:type="dxa"/>
            <w:gridSpan w:val="2"/>
          </w:tcPr>
          <w:p w:rsidR="00112AB3" w:rsidRPr="00202B5F" w:rsidRDefault="00112AB3" w:rsidP="005D5213">
            <w:pPr>
              <w:pStyle w:val="TableBlock"/>
            </w:pPr>
            <w:r>
              <w:rPr>
                <w:rFonts w:hint="cs"/>
                <w:rtl/>
              </w:rPr>
              <w:t>בחוק ההגבלים העסקיים, התשמ"ח–1988</w:t>
            </w:r>
            <w:r>
              <w:rPr>
                <w:rStyle w:val="a6"/>
                <w:rtl/>
              </w:rPr>
              <w:footnoteReference w:id="2"/>
            </w:r>
            <w:r>
              <w:rPr>
                <w:rFonts w:hint="cs"/>
                <w:rtl/>
              </w:rPr>
              <w:t xml:space="preserve"> </w:t>
            </w:r>
            <w:r w:rsidR="001B2DF3">
              <w:rPr>
                <w:rFonts w:hint="cs"/>
                <w:rtl/>
              </w:rPr>
              <w:t xml:space="preserve">(להלן – החוק העיקרי), </w:t>
            </w:r>
            <w:r w:rsidR="00C62523">
              <w:rPr>
                <w:rtl/>
              </w:rPr>
              <w:br/>
            </w:r>
            <w:r>
              <w:rPr>
                <w:rFonts w:hint="cs"/>
                <w:rtl/>
              </w:rPr>
              <w:t>בסעיף 3</w:t>
            </w:r>
            <w:r w:rsidR="00034048">
              <w:rPr>
                <w:rFonts w:hint="cs"/>
                <w:rtl/>
              </w:rPr>
              <w:t xml:space="preserve"> </w:t>
            </w:r>
            <w:r w:rsidR="00672CAE">
              <w:rPr>
                <w:rFonts w:hint="cs"/>
                <w:rtl/>
              </w:rPr>
              <w:t>, בפסקה (4)</w:t>
            </w:r>
            <w:r w:rsidR="007F6C44">
              <w:rPr>
                <w:rFonts w:hint="cs"/>
                <w:rtl/>
              </w:rPr>
              <w:t xml:space="preserve"> – </w:t>
            </w:r>
            <w:r w:rsidR="00034048">
              <w:rPr>
                <w:rFonts w:hint="cs"/>
                <w:rtl/>
              </w:rPr>
              <w:t xml:space="preserve"> </w:t>
            </w:r>
          </w:p>
        </w:tc>
      </w:tr>
      <w:tr w:rsidR="00034048" w:rsidRPr="00195C51" w:rsidTr="005D5213">
        <w:trPr>
          <w:cantSplit/>
        </w:trPr>
        <w:tc>
          <w:tcPr>
            <w:tcW w:w="1872" w:type="dxa"/>
          </w:tcPr>
          <w:p w:rsidR="00034048" w:rsidRDefault="00034048" w:rsidP="007E361F">
            <w:pPr>
              <w:pStyle w:val="TableSideHeading"/>
              <w:ind w:right="0"/>
              <w:rPr>
                <w:rtl/>
              </w:rPr>
            </w:pPr>
          </w:p>
        </w:tc>
        <w:tc>
          <w:tcPr>
            <w:tcW w:w="624" w:type="dxa"/>
          </w:tcPr>
          <w:p w:rsidR="00034048" w:rsidRDefault="00034048" w:rsidP="00034048">
            <w:pPr>
              <w:pStyle w:val="TableText"/>
              <w:rPr>
                <w:rtl/>
              </w:rPr>
            </w:pPr>
          </w:p>
        </w:tc>
        <w:tc>
          <w:tcPr>
            <w:tcW w:w="7143" w:type="dxa"/>
            <w:gridSpan w:val="2"/>
          </w:tcPr>
          <w:p w:rsidR="00034048" w:rsidRDefault="00034048" w:rsidP="00C62523">
            <w:pPr>
              <w:pStyle w:val="TableBlock"/>
              <w:rPr>
                <w:rtl/>
              </w:rPr>
            </w:pPr>
            <w:r>
              <w:rPr>
                <w:rFonts w:hint="cs"/>
                <w:rtl/>
              </w:rPr>
              <w:t>(1)</w:t>
            </w:r>
            <w:r>
              <w:rPr>
                <w:rtl/>
              </w:rPr>
              <w:tab/>
            </w:r>
            <w:r w:rsidR="007F1C5E">
              <w:rPr>
                <w:rFonts w:hint="cs"/>
                <w:rtl/>
              </w:rPr>
              <w:t xml:space="preserve">האמור בה יסומן "(א)" ובה, </w:t>
            </w:r>
            <w:r>
              <w:rPr>
                <w:rFonts w:hint="cs"/>
                <w:rtl/>
              </w:rPr>
              <w:t xml:space="preserve">אחרי "הסדר שכל כבילותיו נוגעות לגידול ושיווק" יבוא "בסיטונות", אחרי "צאן, עופות או דגים" יבוא </w:t>
            </w:r>
            <w:r w:rsidR="007F1C5E">
              <w:rPr>
                <w:rFonts w:hint="cs"/>
                <w:rtl/>
              </w:rPr>
              <w:t>(</w:t>
            </w:r>
            <w:r>
              <w:rPr>
                <w:rFonts w:hint="cs"/>
                <w:rtl/>
              </w:rPr>
              <w:t>בסעיף זה – תוצרת חקלאית</w:t>
            </w:r>
            <w:r w:rsidR="007F1C5E">
              <w:rPr>
                <w:rFonts w:hint="cs"/>
                <w:rtl/>
              </w:rPr>
              <w:t>)</w:t>
            </w:r>
            <w:r>
              <w:rPr>
                <w:rFonts w:hint="cs"/>
                <w:rtl/>
              </w:rPr>
              <w:t xml:space="preserve">, </w:t>
            </w:r>
            <w:r w:rsidR="00C62523">
              <w:rPr>
                <w:rFonts w:hint="cs"/>
                <w:rtl/>
              </w:rPr>
              <w:t>ו</w:t>
            </w:r>
            <w:r w:rsidR="007F1C5E">
              <w:rPr>
                <w:rFonts w:hint="cs"/>
                <w:rtl/>
              </w:rPr>
              <w:t>במקום</w:t>
            </w:r>
            <w:r>
              <w:rPr>
                <w:rFonts w:hint="cs"/>
                <w:rtl/>
              </w:rPr>
              <w:t xml:space="preserve"> "המגדלים או המשווקים בסיטונות" יבוא "מגדלים של אותה תוצרת חקלאית";</w:t>
            </w:r>
          </w:p>
        </w:tc>
      </w:tr>
      <w:tr w:rsidR="001B2DF3" w:rsidRPr="00195C51" w:rsidTr="005D5213">
        <w:trPr>
          <w:cantSplit/>
        </w:trPr>
        <w:tc>
          <w:tcPr>
            <w:tcW w:w="1872" w:type="dxa"/>
          </w:tcPr>
          <w:p w:rsidR="001B2DF3" w:rsidRPr="00202B5F" w:rsidRDefault="001B2DF3" w:rsidP="007E361F">
            <w:pPr>
              <w:pStyle w:val="TableSideHeading"/>
              <w:ind w:right="0"/>
            </w:pPr>
          </w:p>
        </w:tc>
        <w:tc>
          <w:tcPr>
            <w:tcW w:w="624" w:type="dxa"/>
          </w:tcPr>
          <w:p w:rsidR="001B2DF3" w:rsidRPr="00202B5F" w:rsidRDefault="001B2DF3" w:rsidP="001B2DF3">
            <w:pPr>
              <w:pStyle w:val="TableText"/>
            </w:pPr>
          </w:p>
        </w:tc>
        <w:tc>
          <w:tcPr>
            <w:tcW w:w="7143" w:type="dxa"/>
            <w:gridSpan w:val="2"/>
          </w:tcPr>
          <w:p w:rsidR="001B2DF3" w:rsidRDefault="00034048" w:rsidP="005D5213">
            <w:pPr>
              <w:pStyle w:val="TableBlock"/>
              <w:rPr>
                <w:rtl/>
              </w:rPr>
            </w:pPr>
            <w:r>
              <w:rPr>
                <w:rFonts w:hint="cs"/>
                <w:rtl/>
              </w:rPr>
              <w:t>(2)</w:t>
            </w:r>
            <w:r>
              <w:rPr>
                <w:rtl/>
              </w:rPr>
              <w:tab/>
            </w:r>
            <w:r>
              <w:rPr>
                <w:rFonts w:hint="cs"/>
                <w:rtl/>
              </w:rPr>
              <w:t xml:space="preserve">אחרי </w:t>
            </w:r>
            <w:r w:rsidR="00672CAE">
              <w:rPr>
                <w:rFonts w:hint="cs"/>
                <w:rtl/>
              </w:rPr>
              <w:t xml:space="preserve">פסקת משנה </w:t>
            </w:r>
            <w:r>
              <w:rPr>
                <w:rFonts w:hint="cs"/>
                <w:rtl/>
              </w:rPr>
              <w:t>(א) יבוא:</w:t>
            </w:r>
          </w:p>
        </w:tc>
      </w:tr>
      <w:tr w:rsidR="00112AB3" w:rsidRPr="00195C51" w:rsidTr="005D5213">
        <w:trPr>
          <w:cantSplit/>
        </w:trPr>
        <w:tc>
          <w:tcPr>
            <w:tcW w:w="1872" w:type="dxa"/>
          </w:tcPr>
          <w:p w:rsidR="00112AB3" w:rsidRPr="00202B5F" w:rsidRDefault="00112AB3" w:rsidP="007E361F">
            <w:pPr>
              <w:pStyle w:val="TableSideHeading"/>
              <w:ind w:right="0"/>
            </w:pPr>
          </w:p>
        </w:tc>
        <w:tc>
          <w:tcPr>
            <w:tcW w:w="624" w:type="dxa"/>
          </w:tcPr>
          <w:p w:rsidR="00112AB3" w:rsidRPr="00202B5F" w:rsidRDefault="00112AB3" w:rsidP="007E361F">
            <w:pPr>
              <w:pStyle w:val="TableText"/>
              <w:ind w:right="0"/>
              <w:jc w:val="both"/>
            </w:pPr>
          </w:p>
        </w:tc>
        <w:tc>
          <w:tcPr>
            <w:tcW w:w="624" w:type="dxa"/>
          </w:tcPr>
          <w:p w:rsidR="00112AB3" w:rsidRPr="00202B5F" w:rsidRDefault="00112AB3" w:rsidP="007E361F">
            <w:pPr>
              <w:pStyle w:val="TableText"/>
              <w:ind w:right="0"/>
              <w:jc w:val="both"/>
            </w:pPr>
          </w:p>
        </w:tc>
        <w:tc>
          <w:tcPr>
            <w:tcW w:w="6519" w:type="dxa"/>
          </w:tcPr>
          <w:p w:rsidR="00112AB3" w:rsidRPr="001B2DF3" w:rsidRDefault="00034048" w:rsidP="005D5213">
            <w:pPr>
              <w:pStyle w:val="TableBlock"/>
            </w:pPr>
            <w:r>
              <w:rPr>
                <w:rFonts w:hint="cs"/>
                <w:rtl/>
              </w:rPr>
              <w:t>"(ב)</w:t>
            </w:r>
            <w:r>
              <w:rPr>
                <w:rtl/>
              </w:rPr>
              <w:tab/>
            </w:r>
            <w:r w:rsidRPr="0076756D">
              <w:rPr>
                <w:rtl/>
              </w:rPr>
              <w:t>על אף האמור ב</w:t>
            </w:r>
            <w:r w:rsidR="006403D0">
              <w:rPr>
                <w:rFonts w:hint="cs"/>
                <w:rtl/>
              </w:rPr>
              <w:t>פסקת משנה (א)</w:t>
            </w:r>
            <w:r w:rsidRPr="0076756D">
              <w:rPr>
                <w:rtl/>
              </w:rPr>
              <w:t>, הסדר בין מגדל לבין רוכש תוצרת חקלאית של אותו מגדל, שעניינו שיווק בסיטונות של התוצרת החקלאית שאותו מגדל מכר לרוכש, לא ייחשב הסדר כובל.</w:t>
            </w:r>
          </w:p>
        </w:tc>
      </w:tr>
      <w:tr w:rsidR="00112AB3" w:rsidRPr="00195C51" w:rsidTr="005D5213">
        <w:trPr>
          <w:cantSplit/>
        </w:trPr>
        <w:tc>
          <w:tcPr>
            <w:tcW w:w="1872" w:type="dxa"/>
          </w:tcPr>
          <w:p w:rsidR="00112AB3" w:rsidRPr="00202B5F" w:rsidRDefault="00112AB3" w:rsidP="007E361F">
            <w:pPr>
              <w:pStyle w:val="TableSideHeading"/>
              <w:ind w:right="0"/>
            </w:pPr>
          </w:p>
        </w:tc>
        <w:tc>
          <w:tcPr>
            <w:tcW w:w="624" w:type="dxa"/>
          </w:tcPr>
          <w:p w:rsidR="00112AB3" w:rsidRPr="00202B5F" w:rsidRDefault="00112AB3" w:rsidP="007E361F">
            <w:pPr>
              <w:pStyle w:val="TableText"/>
              <w:ind w:right="0"/>
              <w:jc w:val="both"/>
            </w:pPr>
          </w:p>
        </w:tc>
        <w:tc>
          <w:tcPr>
            <w:tcW w:w="624" w:type="dxa"/>
          </w:tcPr>
          <w:p w:rsidR="00112AB3" w:rsidRPr="00202B5F" w:rsidRDefault="00112AB3" w:rsidP="007E361F">
            <w:pPr>
              <w:pStyle w:val="TableText"/>
              <w:ind w:right="0"/>
              <w:jc w:val="both"/>
            </w:pPr>
          </w:p>
        </w:tc>
        <w:tc>
          <w:tcPr>
            <w:tcW w:w="6519" w:type="dxa"/>
          </w:tcPr>
          <w:p w:rsidR="00112AB3" w:rsidRPr="00202B5F" w:rsidRDefault="00672CAE" w:rsidP="005D5213">
            <w:pPr>
              <w:pStyle w:val="TableBlock"/>
            </w:pPr>
            <w:r>
              <w:rPr>
                <w:rFonts w:hint="cs"/>
                <w:rtl/>
              </w:rPr>
              <w:t>(ג)</w:t>
            </w:r>
            <w:r>
              <w:rPr>
                <w:rtl/>
              </w:rPr>
              <w:tab/>
            </w:r>
            <w:r w:rsidR="006403D0">
              <w:rPr>
                <w:rFonts w:hint="cs"/>
                <w:rtl/>
              </w:rPr>
              <w:t>בפסקה זו</w:t>
            </w:r>
            <w:r w:rsidR="007F1C5E">
              <w:rPr>
                <w:rFonts w:hint="cs"/>
                <w:rtl/>
              </w:rPr>
              <w:t>,</w:t>
            </w:r>
            <w:r w:rsidR="006403D0">
              <w:rPr>
                <w:rFonts w:hint="cs"/>
                <w:rtl/>
              </w:rPr>
              <w:t xml:space="preserve"> </w:t>
            </w:r>
            <w:r w:rsidR="006403D0" w:rsidRPr="0076756D">
              <w:rPr>
                <w:rtl/>
              </w:rPr>
              <w:t xml:space="preserve">"מגדל" – אדם שלפחות 25% מפעילותו העסקית היא בגידול תוצרת חקלאית, או שהכנסותיו מגידול תוצרת חקלאית הן בשיעור גבוה מסכום שייקבע השר בצו, בהתייעצות עם שר האוצר ושר החקלאות, או מי שעוסק בגידול תוצרת חקלאית והכנסותיו השנתיות משיווק סיטונאי של תוצרת חקלאית קטנות מעשרה מיליון </w:t>
            </w:r>
            <w:r w:rsidR="006403D0">
              <w:rPr>
                <w:rFonts w:hint="cs"/>
                <w:rtl/>
              </w:rPr>
              <w:t>שקלים חדשים</w:t>
            </w:r>
            <w:r w:rsidR="006403D0" w:rsidRPr="0076756D">
              <w:rPr>
                <w:rtl/>
              </w:rPr>
              <w:t>, או מי שבבעלות מלאה של מגדל</w:t>
            </w:r>
            <w:r w:rsidR="006403D0">
              <w:rPr>
                <w:rFonts w:hint="cs"/>
                <w:rtl/>
              </w:rPr>
              <w:t xml:space="preserve"> כאמור;</w:t>
            </w:r>
            <w:r w:rsidR="006403D0" w:rsidRPr="0076756D">
              <w:rPr>
                <w:rtl/>
              </w:rPr>
              <w:t xml:space="preserve"> </w:t>
            </w:r>
            <w:r w:rsidR="006403D0">
              <w:rPr>
                <w:rFonts w:hint="cs"/>
                <w:rtl/>
              </w:rPr>
              <w:t xml:space="preserve">השר יקבע בצו, בהתייעצות עם שר האוצר, שר החקלאות והממונה, את </w:t>
            </w:r>
            <w:r w:rsidR="006403D0" w:rsidRPr="0076756D">
              <w:rPr>
                <w:rtl/>
              </w:rPr>
              <w:t>דרך החישוב של הכנסות מגידול תוצרת חקלאית ומשיווק סיטונאי של תוצרת חקלאית</w:t>
            </w:r>
            <w:r w:rsidR="00034048">
              <w:rPr>
                <w:rFonts w:hint="cs"/>
                <w:rtl/>
              </w:rPr>
              <w:t>."</w:t>
            </w:r>
          </w:p>
        </w:tc>
      </w:tr>
      <w:tr w:rsidR="006403D0" w:rsidTr="005D5213">
        <w:trPr>
          <w:cantSplit/>
        </w:trPr>
        <w:tc>
          <w:tcPr>
            <w:tcW w:w="1872" w:type="dxa"/>
          </w:tcPr>
          <w:p w:rsidR="006403D0" w:rsidRDefault="006403D0" w:rsidP="006403D0">
            <w:pPr>
              <w:pStyle w:val="TableSideHeading"/>
            </w:pPr>
            <w:r>
              <w:rPr>
                <w:rFonts w:hint="cs"/>
                <w:rtl/>
              </w:rPr>
              <w:t xml:space="preserve">תקנות ראשונות </w:t>
            </w:r>
          </w:p>
        </w:tc>
        <w:tc>
          <w:tcPr>
            <w:tcW w:w="624" w:type="dxa"/>
          </w:tcPr>
          <w:p w:rsidR="006403D0" w:rsidRDefault="006403D0">
            <w:pPr>
              <w:pStyle w:val="TableText"/>
            </w:pPr>
            <w:r>
              <w:rPr>
                <w:rFonts w:hint="cs"/>
                <w:rtl/>
              </w:rPr>
              <w:t>2.</w:t>
            </w:r>
          </w:p>
        </w:tc>
        <w:tc>
          <w:tcPr>
            <w:tcW w:w="7143" w:type="dxa"/>
            <w:gridSpan w:val="2"/>
          </w:tcPr>
          <w:p w:rsidR="006403D0" w:rsidRPr="00C34DE2" w:rsidRDefault="006403D0" w:rsidP="005D5213">
            <w:pPr>
              <w:pStyle w:val="TableBlock"/>
            </w:pPr>
            <w:r>
              <w:rPr>
                <w:rFonts w:hint="cs"/>
                <w:rtl/>
              </w:rPr>
              <w:t xml:space="preserve">תקנות ראשונות לפי </w:t>
            </w:r>
            <w:r w:rsidR="007F1C5E">
              <w:rPr>
                <w:rFonts w:hint="cs"/>
                <w:rtl/>
              </w:rPr>
              <w:t>סעיף 3(4)(ג)</w:t>
            </w:r>
            <w:r w:rsidR="00C62523">
              <w:rPr>
                <w:rFonts w:hint="cs"/>
                <w:rtl/>
              </w:rPr>
              <w:t xml:space="preserve"> לחוק העיקרי</w:t>
            </w:r>
            <w:r w:rsidR="007F1C5E">
              <w:rPr>
                <w:rFonts w:hint="cs"/>
                <w:rtl/>
              </w:rPr>
              <w:t>, כנוסחו בסעיף 1 לחוק זה, יותקנו</w:t>
            </w:r>
            <w:r>
              <w:rPr>
                <w:rFonts w:hint="cs"/>
                <w:rtl/>
              </w:rPr>
              <w:t xml:space="preserve"> </w:t>
            </w:r>
            <w:r w:rsidR="007F1C5E">
              <w:rPr>
                <w:rFonts w:hint="cs"/>
                <w:rtl/>
              </w:rPr>
              <w:t>ב</w:t>
            </w:r>
            <w:r>
              <w:rPr>
                <w:rFonts w:hint="cs"/>
                <w:rtl/>
              </w:rPr>
              <w:t>תוך 6 חודשים מיום פרסום חוק</w:t>
            </w:r>
            <w:r w:rsidR="007F1C5E">
              <w:rPr>
                <w:rFonts w:hint="cs"/>
                <w:rtl/>
              </w:rPr>
              <w:t xml:space="preserve"> זה</w:t>
            </w:r>
            <w:r>
              <w:rPr>
                <w:rFonts w:hint="cs"/>
                <w:rtl/>
              </w:rPr>
              <w:t>.</w:t>
            </w:r>
          </w:p>
        </w:tc>
      </w:tr>
      <w:tr w:rsidR="006403D0" w:rsidTr="005D5213">
        <w:trPr>
          <w:cantSplit/>
        </w:trPr>
        <w:tc>
          <w:tcPr>
            <w:tcW w:w="1872" w:type="dxa"/>
          </w:tcPr>
          <w:p w:rsidR="006403D0" w:rsidRDefault="006403D0">
            <w:pPr>
              <w:pStyle w:val="TableSideHeading"/>
              <w:rPr>
                <w:rtl/>
              </w:rPr>
            </w:pPr>
            <w:r>
              <w:rPr>
                <w:rFonts w:hint="cs"/>
                <w:rtl/>
              </w:rPr>
              <w:t>תחילה</w:t>
            </w:r>
          </w:p>
        </w:tc>
        <w:tc>
          <w:tcPr>
            <w:tcW w:w="624" w:type="dxa"/>
          </w:tcPr>
          <w:p w:rsidR="006403D0" w:rsidRDefault="006403D0" w:rsidP="006403D0">
            <w:pPr>
              <w:pStyle w:val="TableText"/>
              <w:rPr>
                <w:rtl/>
              </w:rPr>
            </w:pPr>
            <w:r>
              <w:rPr>
                <w:rFonts w:hint="cs"/>
                <w:rtl/>
              </w:rPr>
              <w:t>3.</w:t>
            </w:r>
          </w:p>
        </w:tc>
        <w:tc>
          <w:tcPr>
            <w:tcW w:w="7143" w:type="dxa"/>
            <w:gridSpan w:val="2"/>
          </w:tcPr>
          <w:p w:rsidR="006403D0" w:rsidRDefault="00C62523" w:rsidP="005D5213">
            <w:pPr>
              <w:pStyle w:val="TableBlock"/>
              <w:rPr>
                <w:rtl/>
              </w:rPr>
            </w:pPr>
            <w:r>
              <w:rPr>
                <w:rFonts w:hint="cs"/>
                <w:rtl/>
              </w:rPr>
              <w:t>תחילתו של חוק זה</w:t>
            </w:r>
            <w:r w:rsidR="006403D0">
              <w:rPr>
                <w:rFonts w:hint="cs"/>
                <w:rtl/>
              </w:rPr>
              <w:t xml:space="preserve"> שישה חודשים מיום פרסום הצו</w:t>
            </w:r>
            <w:r w:rsidR="007F1C5E">
              <w:rPr>
                <w:rFonts w:hint="cs"/>
                <w:rtl/>
              </w:rPr>
              <w:t>, כאמור בסעיף 2</w:t>
            </w:r>
            <w:r w:rsidR="006403D0">
              <w:rPr>
                <w:rFonts w:hint="cs"/>
                <w:rtl/>
              </w:rPr>
              <w:t xml:space="preserve">. </w:t>
            </w:r>
          </w:p>
        </w:tc>
      </w:tr>
    </w:tbl>
    <w:p w:rsidR="00884997" w:rsidRDefault="00884997" w:rsidP="005D5213">
      <w:pPr>
        <w:pStyle w:val="HeadDivreiHesber"/>
        <w:rPr>
          <w:rtl/>
        </w:rPr>
      </w:pPr>
    </w:p>
    <w:p w:rsidR="00E13C27" w:rsidRPr="005D5213" w:rsidRDefault="00E13C27" w:rsidP="005D5213">
      <w:pPr>
        <w:pStyle w:val="HeadDivreiHesber"/>
        <w:rPr>
          <w:rtl/>
        </w:rPr>
      </w:pPr>
      <w:r w:rsidRPr="005D5213">
        <w:rPr>
          <w:rFonts w:hint="cs"/>
          <w:rtl/>
        </w:rPr>
        <w:t>דברי הסבר</w:t>
      </w:r>
    </w:p>
    <w:p w:rsidR="003324E7" w:rsidRPr="00034048" w:rsidRDefault="003324E7" w:rsidP="005D5213">
      <w:pPr>
        <w:pStyle w:val="Hesber"/>
        <w:rPr>
          <w:rtl/>
        </w:rPr>
      </w:pPr>
      <w:r w:rsidRPr="00034048">
        <w:rPr>
          <w:rFonts w:hint="cs"/>
          <w:rtl/>
        </w:rPr>
        <w:t>חוק ההגבלים העסקיים</w:t>
      </w:r>
      <w:r w:rsidR="00034048">
        <w:rPr>
          <w:rFonts w:hint="cs"/>
          <w:rtl/>
        </w:rPr>
        <w:t>,</w:t>
      </w:r>
      <w:r w:rsidRPr="00034048">
        <w:rPr>
          <w:rFonts w:hint="cs"/>
          <w:rtl/>
        </w:rPr>
        <w:t xml:space="preserve"> התשמ"ח</w:t>
      </w:r>
      <w:r w:rsidR="00034048">
        <w:rPr>
          <w:rFonts w:hint="eastAsia"/>
          <w:rtl/>
        </w:rPr>
        <w:t>–</w:t>
      </w:r>
      <w:r w:rsidRPr="00034048">
        <w:rPr>
          <w:rFonts w:hint="cs"/>
          <w:rtl/>
        </w:rPr>
        <w:t>1988 (להלן</w:t>
      </w:r>
      <w:r w:rsidR="00034048">
        <w:rPr>
          <w:rFonts w:hint="cs"/>
          <w:rtl/>
        </w:rPr>
        <w:t xml:space="preserve"> –</w:t>
      </w:r>
      <w:r w:rsidRPr="00034048">
        <w:rPr>
          <w:rFonts w:hint="cs"/>
          <w:rtl/>
        </w:rPr>
        <w:t xml:space="preserve"> החוק העיקרי)</w:t>
      </w:r>
      <w:r w:rsidR="00034048">
        <w:rPr>
          <w:rFonts w:hint="cs"/>
          <w:rtl/>
        </w:rPr>
        <w:t>,</w:t>
      </w:r>
      <w:r w:rsidRPr="00034048">
        <w:rPr>
          <w:rFonts w:hint="cs"/>
          <w:rtl/>
        </w:rPr>
        <w:t xml:space="preserve"> קובע איסור על הסדרים כובלים, דהיינו הסדרים העלולים לפגוע בתחרות, אלא אם כן ניתן להם אישור או פטור ממערך הפיקוח על הגבלים עסקיים.  </w:t>
      </w:r>
    </w:p>
    <w:p w:rsidR="003324E7" w:rsidRPr="00034048" w:rsidRDefault="003324E7" w:rsidP="00034048">
      <w:pPr>
        <w:pStyle w:val="Hesber"/>
        <w:rPr>
          <w:rtl/>
        </w:rPr>
      </w:pPr>
      <w:r w:rsidRPr="00034048">
        <w:rPr>
          <w:rFonts w:hint="cs"/>
          <w:rtl/>
        </w:rPr>
        <w:t>יש לציין, כי בעבר הוגשו לממשלה תזכירי חוק בנוגע לחשש מריכוזיות כתוצאה מבעית הגדרה בחוק. אולם, בתזכירים אלו ביקשה הממשלה להחליף את סעיפים 30 ו-31 העוסקים בהגדרתה של קבוצת ריכוז. בשונה מההצעות הקודמות, הצעה זו מחדדת את ההבדל בין התאגדות חקלאים לצורך שיווק התוצרת לבין יצירת מונופולין של תוצרת חקלאית בידי תאגידים שאינם עוסקים בגידול חקלאי אלא רק בשיווקו. כמו כן, הצעה זו משמשת ככלי יעיל למניעת ריכוזיות בשיווק תוצרת חקלאית ותסייע למנוע פגיעה בתחרות. יצוין, כי הצעה זו לא מבקשת לפגוע בהתאגדות המגדלים לצורכי שיווק.</w:t>
      </w:r>
    </w:p>
    <w:p w:rsidR="003324E7" w:rsidRPr="00034048" w:rsidRDefault="003324E7" w:rsidP="00034048">
      <w:pPr>
        <w:pStyle w:val="Hesber"/>
        <w:rPr>
          <w:rtl/>
        </w:rPr>
      </w:pPr>
      <w:r w:rsidRPr="00034048">
        <w:rPr>
          <w:rFonts w:hint="cs"/>
          <w:rtl/>
        </w:rPr>
        <w:t xml:space="preserve">סעיף 3 לחוק מונה שורה של הסדרים שמוצאים מחוץ לתחולת פרק ההסדרים הכובלים בחוק. בכלל זה, </w:t>
      </w:r>
      <w:r w:rsidRPr="00034048">
        <w:rPr>
          <w:rFonts w:hint="eastAsia"/>
          <w:rtl/>
        </w:rPr>
        <w:t>סעיף</w:t>
      </w:r>
      <w:r w:rsidRPr="00034048">
        <w:rPr>
          <w:rtl/>
        </w:rPr>
        <w:t xml:space="preserve"> 3(4) </w:t>
      </w:r>
      <w:r w:rsidRPr="00034048">
        <w:rPr>
          <w:rFonts w:hint="eastAsia"/>
          <w:rtl/>
        </w:rPr>
        <w:t>לחוק</w:t>
      </w:r>
      <w:r w:rsidRPr="00034048">
        <w:rPr>
          <w:rtl/>
        </w:rPr>
        <w:t xml:space="preserve"> </w:t>
      </w:r>
      <w:r w:rsidRPr="00034048">
        <w:rPr>
          <w:rFonts w:hint="cs"/>
          <w:rtl/>
        </w:rPr>
        <w:t>העיקרי בנוסחו הנוכחי,</w:t>
      </w:r>
      <w:r w:rsidRPr="00034048">
        <w:rPr>
          <w:rtl/>
        </w:rPr>
        <w:t xml:space="preserve"> </w:t>
      </w:r>
      <w:r w:rsidRPr="00034048">
        <w:rPr>
          <w:rFonts w:hint="eastAsia"/>
          <w:rtl/>
        </w:rPr>
        <w:t>קובע</w:t>
      </w:r>
      <w:r w:rsidRPr="00034048">
        <w:rPr>
          <w:rtl/>
        </w:rPr>
        <w:t xml:space="preserve"> </w:t>
      </w:r>
      <w:r w:rsidRPr="00034048">
        <w:rPr>
          <w:rFonts w:hint="eastAsia"/>
          <w:rtl/>
        </w:rPr>
        <w:t>כי</w:t>
      </w:r>
      <w:r w:rsidRPr="00034048">
        <w:rPr>
          <w:rtl/>
        </w:rPr>
        <w:t xml:space="preserve"> </w:t>
      </w:r>
      <w:r w:rsidRPr="00034048">
        <w:rPr>
          <w:rFonts w:hint="eastAsia"/>
          <w:rtl/>
        </w:rPr>
        <w:t>הסדר</w:t>
      </w:r>
      <w:r w:rsidRPr="00034048">
        <w:rPr>
          <w:rtl/>
        </w:rPr>
        <w:t xml:space="preserve"> </w:t>
      </w:r>
      <w:r w:rsidRPr="00034048">
        <w:rPr>
          <w:rFonts w:hint="eastAsia"/>
          <w:rtl/>
        </w:rPr>
        <w:t>שכל</w:t>
      </w:r>
      <w:r w:rsidRPr="00034048">
        <w:rPr>
          <w:rtl/>
        </w:rPr>
        <w:t xml:space="preserve"> </w:t>
      </w:r>
      <w:r w:rsidRPr="00034048">
        <w:rPr>
          <w:rFonts w:hint="eastAsia"/>
          <w:rtl/>
        </w:rPr>
        <w:t>כבילותיו</w:t>
      </w:r>
      <w:r w:rsidRPr="00034048">
        <w:rPr>
          <w:rtl/>
        </w:rPr>
        <w:t xml:space="preserve"> </w:t>
      </w:r>
      <w:r w:rsidRPr="00034048">
        <w:rPr>
          <w:rFonts w:hint="eastAsia"/>
          <w:rtl/>
        </w:rPr>
        <w:t>נוגעות</w:t>
      </w:r>
      <w:r w:rsidRPr="00034048">
        <w:rPr>
          <w:rtl/>
        </w:rPr>
        <w:t xml:space="preserve"> </w:t>
      </w:r>
      <w:r w:rsidRPr="00034048">
        <w:rPr>
          <w:rFonts w:hint="eastAsia"/>
          <w:rtl/>
        </w:rPr>
        <w:t>לגידול</w:t>
      </w:r>
      <w:r w:rsidRPr="00034048">
        <w:rPr>
          <w:rtl/>
        </w:rPr>
        <w:t xml:space="preserve"> </w:t>
      </w:r>
      <w:r w:rsidRPr="00034048">
        <w:rPr>
          <w:rFonts w:hint="eastAsia"/>
          <w:rtl/>
        </w:rPr>
        <w:t>ושיווק</w:t>
      </w:r>
      <w:r w:rsidRPr="00034048">
        <w:rPr>
          <w:rtl/>
        </w:rPr>
        <w:t xml:space="preserve"> </w:t>
      </w:r>
      <w:r w:rsidRPr="00034048">
        <w:rPr>
          <w:rFonts w:hint="cs"/>
          <w:rtl/>
        </w:rPr>
        <w:t>ש</w:t>
      </w:r>
      <w:r w:rsidRPr="00034048">
        <w:rPr>
          <w:rFonts w:hint="eastAsia"/>
          <w:rtl/>
        </w:rPr>
        <w:t>ל</w:t>
      </w:r>
      <w:r w:rsidRPr="00034048">
        <w:rPr>
          <w:rtl/>
        </w:rPr>
        <w:t xml:space="preserve"> </w:t>
      </w:r>
      <w:r w:rsidRPr="00034048">
        <w:rPr>
          <w:rFonts w:hint="eastAsia"/>
          <w:rtl/>
        </w:rPr>
        <w:t>תוצרת</w:t>
      </w:r>
      <w:r w:rsidRPr="00034048">
        <w:rPr>
          <w:rtl/>
        </w:rPr>
        <w:t xml:space="preserve"> </w:t>
      </w:r>
      <w:r w:rsidRPr="00034048">
        <w:rPr>
          <w:rFonts w:hint="eastAsia"/>
          <w:rtl/>
        </w:rPr>
        <w:t>חקלאית</w:t>
      </w:r>
      <w:r w:rsidRPr="00034048">
        <w:rPr>
          <w:rtl/>
        </w:rPr>
        <w:t xml:space="preserve"> </w:t>
      </w:r>
      <w:r w:rsidRPr="00034048">
        <w:rPr>
          <w:rFonts w:hint="cs"/>
          <w:rtl/>
        </w:rPr>
        <w:t xml:space="preserve">שכל הצדדים לו הם מגדלים או משווקים בסיטונות, לא יחשב </w:t>
      </w:r>
      <w:r w:rsidRPr="00034048">
        <w:rPr>
          <w:rFonts w:hint="eastAsia"/>
          <w:rtl/>
        </w:rPr>
        <w:t>הסדר</w:t>
      </w:r>
      <w:r w:rsidRPr="00034048">
        <w:rPr>
          <w:rtl/>
        </w:rPr>
        <w:t xml:space="preserve"> </w:t>
      </w:r>
      <w:r w:rsidRPr="00034048">
        <w:rPr>
          <w:rFonts w:hint="eastAsia"/>
          <w:rtl/>
        </w:rPr>
        <w:t>כובל</w:t>
      </w:r>
      <w:r w:rsidRPr="00034048">
        <w:rPr>
          <w:rFonts w:hint="cs"/>
          <w:rtl/>
        </w:rPr>
        <w:t>. בכך ניתן פטור מוחלט</w:t>
      </w:r>
      <w:r w:rsidRPr="00034048">
        <w:rPr>
          <w:rtl/>
        </w:rPr>
        <w:t xml:space="preserve"> </w:t>
      </w:r>
      <w:r w:rsidRPr="00034048">
        <w:rPr>
          <w:rFonts w:hint="cs"/>
          <w:rtl/>
        </w:rPr>
        <w:t>ל</w:t>
      </w:r>
      <w:r w:rsidRPr="00034048">
        <w:rPr>
          <w:rFonts w:hint="eastAsia"/>
          <w:rtl/>
        </w:rPr>
        <w:t>הסדרים</w:t>
      </w:r>
      <w:r w:rsidRPr="00034048">
        <w:rPr>
          <w:rtl/>
        </w:rPr>
        <w:t xml:space="preserve"> </w:t>
      </w:r>
      <w:r w:rsidRPr="00034048">
        <w:rPr>
          <w:rFonts w:hint="eastAsia"/>
          <w:rtl/>
        </w:rPr>
        <w:t>מסוג</w:t>
      </w:r>
      <w:r w:rsidRPr="00034048">
        <w:rPr>
          <w:rtl/>
        </w:rPr>
        <w:t xml:space="preserve"> </w:t>
      </w:r>
      <w:r w:rsidRPr="00034048">
        <w:rPr>
          <w:rFonts w:hint="eastAsia"/>
          <w:rtl/>
        </w:rPr>
        <w:t>זה</w:t>
      </w:r>
      <w:r w:rsidRPr="00034048">
        <w:rPr>
          <w:rtl/>
        </w:rPr>
        <w:t xml:space="preserve"> </w:t>
      </w:r>
      <w:r w:rsidRPr="00034048">
        <w:rPr>
          <w:rFonts w:hint="eastAsia"/>
          <w:rtl/>
        </w:rPr>
        <w:t>מפיקוח</w:t>
      </w:r>
      <w:r w:rsidRPr="00034048">
        <w:rPr>
          <w:rtl/>
        </w:rPr>
        <w:t xml:space="preserve"> </w:t>
      </w:r>
      <w:r w:rsidRPr="00034048">
        <w:rPr>
          <w:rFonts w:hint="eastAsia"/>
          <w:rtl/>
        </w:rPr>
        <w:t>מערך</w:t>
      </w:r>
      <w:r w:rsidRPr="00034048">
        <w:rPr>
          <w:rtl/>
        </w:rPr>
        <w:t xml:space="preserve"> </w:t>
      </w:r>
      <w:r w:rsidRPr="00034048">
        <w:rPr>
          <w:rFonts w:hint="eastAsia"/>
          <w:rtl/>
        </w:rPr>
        <w:t>ההגבלים</w:t>
      </w:r>
      <w:r w:rsidRPr="00034048">
        <w:rPr>
          <w:rtl/>
        </w:rPr>
        <w:t xml:space="preserve"> </w:t>
      </w:r>
      <w:r w:rsidRPr="00034048">
        <w:rPr>
          <w:rFonts w:hint="eastAsia"/>
          <w:rtl/>
        </w:rPr>
        <w:t>העסקיים</w:t>
      </w:r>
      <w:r w:rsidRPr="00034048">
        <w:rPr>
          <w:rFonts w:hint="cs"/>
          <w:rtl/>
        </w:rPr>
        <w:t>,</w:t>
      </w:r>
      <w:r w:rsidRPr="00034048">
        <w:rPr>
          <w:rtl/>
        </w:rPr>
        <w:t xml:space="preserve"> </w:t>
      </w:r>
      <w:r w:rsidRPr="00034048">
        <w:rPr>
          <w:rFonts w:hint="eastAsia"/>
          <w:rtl/>
        </w:rPr>
        <w:t>ומ</w:t>
      </w:r>
      <w:r w:rsidRPr="00034048">
        <w:rPr>
          <w:rFonts w:hint="cs"/>
          <w:rtl/>
        </w:rPr>
        <w:t>ת</w:t>
      </w:r>
      <w:r w:rsidRPr="00034048">
        <w:rPr>
          <w:rFonts w:hint="eastAsia"/>
          <w:rtl/>
        </w:rPr>
        <w:t>אפשר</w:t>
      </w:r>
      <w:r w:rsidRPr="00034048">
        <w:rPr>
          <w:rFonts w:hint="cs"/>
          <w:rtl/>
        </w:rPr>
        <w:t>ים</w:t>
      </w:r>
      <w:r w:rsidRPr="00034048">
        <w:rPr>
          <w:rtl/>
        </w:rPr>
        <w:t xml:space="preserve"> </w:t>
      </w:r>
      <w:r w:rsidRPr="00034048">
        <w:rPr>
          <w:rFonts w:hint="eastAsia"/>
          <w:rtl/>
        </w:rPr>
        <w:t>הסדרים</w:t>
      </w:r>
      <w:r w:rsidRPr="00034048">
        <w:rPr>
          <w:rtl/>
        </w:rPr>
        <w:t xml:space="preserve"> </w:t>
      </w:r>
      <w:r w:rsidRPr="00034048">
        <w:rPr>
          <w:rFonts w:hint="eastAsia"/>
          <w:rtl/>
        </w:rPr>
        <w:t>הפוגעים</w:t>
      </w:r>
      <w:r w:rsidRPr="00034048">
        <w:rPr>
          <w:rtl/>
        </w:rPr>
        <w:t xml:space="preserve"> </w:t>
      </w:r>
      <w:r w:rsidRPr="00034048">
        <w:rPr>
          <w:rFonts w:hint="eastAsia"/>
          <w:rtl/>
        </w:rPr>
        <w:t>בתחרות</w:t>
      </w:r>
      <w:r w:rsidRPr="00034048">
        <w:rPr>
          <w:rtl/>
        </w:rPr>
        <w:t xml:space="preserve">. </w:t>
      </w:r>
    </w:p>
    <w:p w:rsidR="003324E7" w:rsidRPr="00034048" w:rsidRDefault="003324E7" w:rsidP="00034048">
      <w:pPr>
        <w:pStyle w:val="Hesber"/>
        <w:rPr>
          <w:rtl/>
        </w:rPr>
      </w:pPr>
      <w:r w:rsidRPr="00034048">
        <w:rPr>
          <w:rFonts w:hint="cs"/>
          <w:rtl/>
        </w:rPr>
        <w:t>על</w:t>
      </w:r>
      <w:r w:rsidRPr="00034048">
        <w:rPr>
          <w:rtl/>
        </w:rPr>
        <w:t xml:space="preserve"> </w:t>
      </w:r>
      <w:r w:rsidRPr="00034048">
        <w:rPr>
          <w:rFonts w:hint="eastAsia"/>
          <w:rtl/>
        </w:rPr>
        <w:t>החשיבות</w:t>
      </w:r>
      <w:r w:rsidRPr="00034048">
        <w:rPr>
          <w:rtl/>
        </w:rPr>
        <w:t xml:space="preserve"> </w:t>
      </w:r>
      <w:r w:rsidRPr="00034048">
        <w:rPr>
          <w:rFonts w:hint="eastAsia"/>
          <w:rtl/>
        </w:rPr>
        <w:t>הרבה</w:t>
      </w:r>
      <w:r w:rsidRPr="00034048">
        <w:rPr>
          <w:rtl/>
        </w:rPr>
        <w:t xml:space="preserve"> </w:t>
      </w:r>
      <w:r w:rsidRPr="00034048">
        <w:rPr>
          <w:rFonts w:hint="eastAsia"/>
          <w:rtl/>
        </w:rPr>
        <w:t>של</w:t>
      </w:r>
      <w:r w:rsidRPr="00034048">
        <w:rPr>
          <w:rtl/>
        </w:rPr>
        <w:t xml:space="preserve"> </w:t>
      </w:r>
      <w:r w:rsidRPr="00034048">
        <w:rPr>
          <w:rFonts w:hint="eastAsia"/>
          <w:rtl/>
        </w:rPr>
        <w:t>התחרות</w:t>
      </w:r>
      <w:r w:rsidRPr="00034048">
        <w:rPr>
          <w:rtl/>
        </w:rPr>
        <w:t xml:space="preserve"> </w:t>
      </w:r>
      <w:r w:rsidRPr="00034048">
        <w:rPr>
          <w:rFonts w:hint="eastAsia"/>
          <w:rtl/>
        </w:rPr>
        <w:t>בענף</w:t>
      </w:r>
      <w:r w:rsidRPr="00034048">
        <w:rPr>
          <w:rtl/>
        </w:rPr>
        <w:t xml:space="preserve"> </w:t>
      </w:r>
      <w:r w:rsidRPr="00034048">
        <w:rPr>
          <w:rFonts w:hint="eastAsia"/>
          <w:rtl/>
        </w:rPr>
        <w:t>החקלאות</w:t>
      </w:r>
      <w:r w:rsidRPr="00034048">
        <w:rPr>
          <w:rtl/>
        </w:rPr>
        <w:t xml:space="preserve"> </w:t>
      </w:r>
      <w:r w:rsidRPr="00034048">
        <w:rPr>
          <w:rFonts w:hint="eastAsia"/>
          <w:rtl/>
        </w:rPr>
        <w:t>להבטחת</w:t>
      </w:r>
      <w:r w:rsidRPr="00034048">
        <w:rPr>
          <w:rtl/>
        </w:rPr>
        <w:t xml:space="preserve"> </w:t>
      </w:r>
      <w:r w:rsidRPr="00034048">
        <w:rPr>
          <w:rFonts w:hint="eastAsia"/>
          <w:rtl/>
        </w:rPr>
        <w:t>רמת</w:t>
      </w:r>
      <w:r w:rsidRPr="00034048">
        <w:rPr>
          <w:rtl/>
        </w:rPr>
        <w:t xml:space="preserve"> </w:t>
      </w:r>
      <w:r w:rsidRPr="00034048">
        <w:rPr>
          <w:rFonts w:hint="eastAsia"/>
          <w:rtl/>
        </w:rPr>
        <w:t>מחירים</w:t>
      </w:r>
      <w:r w:rsidRPr="00034048">
        <w:rPr>
          <w:rtl/>
        </w:rPr>
        <w:t xml:space="preserve"> </w:t>
      </w:r>
      <w:r w:rsidRPr="00034048">
        <w:rPr>
          <w:rFonts w:hint="eastAsia"/>
          <w:rtl/>
        </w:rPr>
        <w:t>נאותה</w:t>
      </w:r>
      <w:r w:rsidRPr="00034048">
        <w:rPr>
          <w:rtl/>
        </w:rPr>
        <w:t xml:space="preserve"> </w:t>
      </w:r>
      <w:r w:rsidRPr="00034048">
        <w:rPr>
          <w:rFonts w:hint="eastAsia"/>
          <w:rtl/>
        </w:rPr>
        <w:t>לצרכן</w:t>
      </w:r>
      <w:r w:rsidRPr="00034048">
        <w:rPr>
          <w:rtl/>
        </w:rPr>
        <w:t xml:space="preserve">, </w:t>
      </w:r>
      <w:r w:rsidRPr="00034048">
        <w:rPr>
          <w:rFonts w:hint="cs"/>
          <w:rtl/>
        </w:rPr>
        <w:t xml:space="preserve">עמד בית המשפט העליון בע"פ 7014/06 </w:t>
      </w:r>
      <w:r w:rsidRPr="005D5213">
        <w:rPr>
          <w:rFonts w:hint="eastAsia"/>
          <w:b/>
          <w:bCs/>
          <w:rtl/>
        </w:rPr>
        <w:t>מדינת</w:t>
      </w:r>
      <w:r w:rsidRPr="005D5213">
        <w:rPr>
          <w:b/>
          <w:bCs/>
          <w:rtl/>
        </w:rPr>
        <w:t xml:space="preserve"> </w:t>
      </w:r>
      <w:r w:rsidRPr="005D5213">
        <w:rPr>
          <w:rFonts w:hint="eastAsia"/>
          <w:b/>
          <w:bCs/>
          <w:rtl/>
        </w:rPr>
        <w:t>ישראל</w:t>
      </w:r>
      <w:r w:rsidRPr="005D5213">
        <w:rPr>
          <w:b/>
          <w:bCs/>
          <w:rtl/>
        </w:rPr>
        <w:t xml:space="preserve"> </w:t>
      </w:r>
      <w:r w:rsidRPr="005D5213">
        <w:rPr>
          <w:rFonts w:hint="eastAsia"/>
          <w:b/>
          <w:bCs/>
          <w:rtl/>
        </w:rPr>
        <w:t>נ</w:t>
      </w:r>
      <w:r w:rsidRPr="005D5213">
        <w:rPr>
          <w:b/>
          <w:bCs/>
          <w:rtl/>
        </w:rPr>
        <w:t xml:space="preserve">' </w:t>
      </w:r>
      <w:r w:rsidRPr="005D5213">
        <w:rPr>
          <w:rFonts w:hint="eastAsia"/>
          <w:b/>
          <w:bCs/>
          <w:rtl/>
        </w:rPr>
        <w:t>אהרון</w:t>
      </w:r>
      <w:r w:rsidRPr="005D5213">
        <w:rPr>
          <w:b/>
          <w:bCs/>
          <w:rtl/>
        </w:rPr>
        <w:t xml:space="preserve"> </w:t>
      </w:r>
      <w:r w:rsidRPr="005D5213">
        <w:rPr>
          <w:rFonts w:hint="eastAsia"/>
          <w:b/>
          <w:bCs/>
          <w:rtl/>
        </w:rPr>
        <w:t>לימור</w:t>
      </w:r>
      <w:r w:rsidRPr="00034048">
        <w:rPr>
          <w:rFonts w:hint="cs"/>
          <w:rtl/>
        </w:rPr>
        <w:t xml:space="preserve"> (החלטה מיום 4.9.07, פורסם בנבו) עת עסק בפרשנות הראויה לפטור הסטטוטורי הקבוע כיום בסעיף 3(4):</w:t>
      </w:r>
      <w:r w:rsidRPr="00034048">
        <w:rPr>
          <w:rtl/>
        </w:rPr>
        <w:t xml:space="preserve"> </w:t>
      </w:r>
    </w:p>
    <w:p w:rsidR="003324E7" w:rsidRPr="00034048" w:rsidRDefault="003324E7" w:rsidP="005D5213">
      <w:pPr>
        <w:pStyle w:val="Hesber"/>
        <w:rPr>
          <w:rtl/>
        </w:rPr>
      </w:pPr>
      <w:r w:rsidRPr="00034048">
        <w:rPr>
          <w:rFonts w:hint="cs"/>
          <w:rtl/>
        </w:rPr>
        <w:t>"התוצרת החקלאית מהווה, במידה רבה, מצרך יסוד, דבר הגורר עמו ביקוש קשיח באופן יחסי. עליית מחירי התוצרת החקלאית אינה מביאה עמה איפוא ירידה בביקוש באותו היחס, ומכאן החשיבות הרבה של התחרות בענף זה כגורם המבטיח רמת מחירים נאותה. היותם של הירקות והפירות מוצרי יסוד מביאה לכך שהפגיעה בצרכנים אף נושאת אופי רגרסיבי, שכן מחקרים כלכליים מלמדים כי האחוז בהכנסה המוקצה לרכישת מזון גבוה בהרבה בקרב האוכלוסייה הענייה מאשר בקרב האוכלוסייה האמידה, ומכאן שהפגיעה בה בשל הסדרים כובלים בחקלאות חמורה יותר (ראו מחקרו של ד"ר יעקב שיינין בדבר ביטול המע"מ על מזון כתחליף להפחתת המע"מ (2005)</w:t>
      </w:r>
      <w:r w:rsidR="00034048">
        <w:rPr>
          <w:rFonts w:hint="cs"/>
          <w:rtl/>
        </w:rPr>
        <w:t>).</w:t>
      </w:r>
      <w:r w:rsidRPr="00034048">
        <w:rPr>
          <w:rFonts w:hint="cs"/>
          <w:rtl/>
        </w:rPr>
        <w:t xml:space="preserve"> </w:t>
      </w:r>
    </w:p>
    <w:p w:rsidR="003324E7" w:rsidRPr="00034048" w:rsidRDefault="003324E7" w:rsidP="005D5213">
      <w:pPr>
        <w:pStyle w:val="Hesber"/>
        <w:rPr>
          <w:rtl/>
        </w:rPr>
      </w:pPr>
      <w:r w:rsidRPr="00034048">
        <w:rPr>
          <w:rFonts w:hint="cs"/>
          <w:rtl/>
        </w:rPr>
        <w:t xml:space="preserve">לתוצרת החקלאית מאפיינים מסוימים שעשויים להצדיק פטור סטטוטורי ביחס להסדרים כובלים ששותפים להם מגדלי התוצרת החקלאית. להצדקות כלכליות אלה מצטרף גם הרצון לסייע לחקלאים ולחקלאות הישראלית מטעמים של ערכים חברתיים ולאומיים. יש לציין כי מגבלות על תחולת דיני ההגבלים העסקיים ביחס להסדרים כובלים בין מגדלי תוצרת חקלאית אינן ייחודיות לישראל, </w:t>
      </w:r>
      <w:r w:rsidR="00DE1111">
        <w:rPr>
          <w:rFonts w:hint="cs"/>
          <w:rtl/>
        </w:rPr>
        <w:t xml:space="preserve">וקיימות </w:t>
      </w:r>
      <w:r w:rsidRPr="00034048">
        <w:rPr>
          <w:rFonts w:hint="cs"/>
          <w:rtl/>
        </w:rPr>
        <w:t xml:space="preserve">גם בארצות הברית ובאיחוד האירופי. </w:t>
      </w:r>
    </w:p>
    <w:p w:rsidR="003324E7" w:rsidRPr="00034048" w:rsidRDefault="003324E7" w:rsidP="007F1C5E">
      <w:pPr>
        <w:pStyle w:val="Hesber"/>
        <w:rPr>
          <w:highlight w:val="yellow"/>
          <w:rtl/>
        </w:rPr>
      </w:pPr>
      <w:r w:rsidRPr="00034048">
        <w:rPr>
          <w:rFonts w:hint="cs"/>
          <w:rtl/>
        </w:rPr>
        <w:t xml:space="preserve">עם זאת, הפטור הסטטוטורי הקבוע בסעיף 3(4) לחוק העיקרי הינו רחב מידי, באשר הוא חל, שלא לצורך, גם על הסדרים כובלים לשיווק תוצרת חקלאית, בין מי שהם משווקים בסיטונות שאינם מגדלי התוצרת. ההצדקות העקרוניות לפטור הסטטוטורי ביחס לגידול תוצרת חקלאית ולהגנה על פעילות החקלאים אינן קמות ביחס לפעילות השיווק לבדה, באמצעות גופים עסקיים לחלוטין, שאינם חקלאים. החלת הפטור על תוצרת חקלאית גם על מי שהם משווקים בסיטונות שאינם מגדלי התוצרת, כפי שנעשה במצב החוקי הנוכחי בישראל, אף אינה מוכרת בארצות הברית ובאיחוד האירופי. </w:t>
      </w:r>
    </w:p>
    <w:p w:rsidR="003324E7" w:rsidRPr="00034048" w:rsidRDefault="003324E7" w:rsidP="00034048">
      <w:pPr>
        <w:pStyle w:val="Hesber"/>
        <w:rPr>
          <w:rtl/>
        </w:rPr>
      </w:pPr>
      <w:r w:rsidRPr="00034048">
        <w:rPr>
          <w:rFonts w:hint="cs"/>
          <w:rtl/>
        </w:rPr>
        <w:t>על הצורך בצמצום הפטור האמור עמדה הועדה לבחינת רמת התחרותיות והמחירים בתחום מוצרי המזון והצריכה ("ועדת קדמי"). הועדה בחנה את השווקים השונים בתחום המזון, ביניהם מקטע החקלאות על חלקיו השונים, ואיתרה כשלי שוק המונעים הגברת תחרות וירידת מחירים בשווקי המוצרים השונים. הו</w:t>
      </w:r>
      <w:r w:rsidR="00DE1111">
        <w:rPr>
          <w:rFonts w:hint="cs"/>
          <w:rtl/>
        </w:rPr>
        <w:t>ו</w:t>
      </w:r>
      <w:r w:rsidRPr="00034048">
        <w:rPr>
          <w:rFonts w:hint="cs"/>
          <w:rtl/>
        </w:rPr>
        <w:t>עדה מצאה כי צמצום הפטור הקיים לענף החקלאות נחוץ ומתחייב לשם הגברת התחרות במגזר החקלאי ולהורדת מחירי המזון בישראל. בין השאר המליצה הו</w:t>
      </w:r>
      <w:r w:rsidR="00DE1111">
        <w:rPr>
          <w:rFonts w:hint="cs"/>
          <w:rtl/>
        </w:rPr>
        <w:t>ו</w:t>
      </w:r>
      <w:r w:rsidRPr="00034048">
        <w:rPr>
          <w:rFonts w:hint="cs"/>
          <w:rtl/>
        </w:rPr>
        <w:t xml:space="preserve">עדה על צמצום הפטור הקבוע בסעיף 3(4) לחוק העיקרי בדרך של ייחודו למטרתו המקורית, הגנה על גידול תוצרת חקלאית, בד בבד עם הוצאתם מגדר הפטור של משווקים סיטונאיים של תוצרת חקלאית. המלצות ועדת קדמי אומצו על ידי ממשלת ישראל בהחלטתה מיום 21.10.2012. </w:t>
      </w:r>
    </w:p>
    <w:p w:rsidR="003324E7" w:rsidRPr="00034048" w:rsidRDefault="003324E7" w:rsidP="005D5213">
      <w:pPr>
        <w:pStyle w:val="Hesber"/>
        <w:rPr>
          <w:rtl/>
        </w:rPr>
      </w:pPr>
      <w:r w:rsidRPr="00034048">
        <w:rPr>
          <w:rFonts w:hint="cs"/>
          <w:rtl/>
        </w:rPr>
        <w:t xml:space="preserve">סעיף 3(4) לחוק העיקרי מעניק כיום פטור סטטוטורי גורף להסדרים כובלים במקטעים השונים של העוסקים בחקלאות באשר הם, ומאפשר למשווקים סיטונאיים של תוצרת חקלאית לחבור להסדרים כובלים, כמו למשל קרטל מחיר, שעשוי לפגוע הן בצרכנים והן בחקלאים. מצב זה הינו בלתי מידתי ופוגע שלא לצורך בתחרות ובציבור צרכני התוצרת החקלאית </w:t>
      </w:r>
      <w:r w:rsidRPr="00034048">
        <w:rPr>
          <w:rtl/>
        </w:rPr>
        <w:t>–</w:t>
      </w:r>
      <w:r w:rsidRPr="00034048">
        <w:rPr>
          <w:rFonts w:hint="cs"/>
          <w:rtl/>
        </w:rPr>
        <w:t xml:space="preserve"> ואף בציבור המגדלים. משווקים קמעונאיים של תוצרת חקלאית כבר הוצאו מתחולת הפטור הסטטוטורי בתיקון לחוק שנעשה ב</w:t>
      </w:r>
      <w:r w:rsidR="00DE1111">
        <w:rPr>
          <w:rFonts w:hint="cs"/>
          <w:rtl/>
        </w:rPr>
        <w:t xml:space="preserve">שנת </w:t>
      </w:r>
      <w:r w:rsidRPr="00034048">
        <w:rPr>
          <w:rFonts w:hint="cs"/>
          <w:rtl/>
        </w:rPr>
        <w:t>1963 (ס"ח תשכ"ג</w:t>
      </w:r>
      <w:r w:rsidR="00DE1111">
        <w:rPr>
          <w:rFonts w:hint="cs"/>
          <w:rtl/>
        </w:rPr>
        <w:t>, בעמ'</w:t>
      </w:r>
      <w:r w:rsidRPr="00034048">
        <w:rPr>
          <w:rFonts w:hint="cs"/>
          <w:rtl/>
        </w:rPr>
        <w:t xml:space="preserve"> 141), ועתה מתבקש להשלים את המהלך ביחס למקטע השיווק הסיטונאי, כאשר אין המדובר במגדלי התוצרת החקלאית. </w:t>
      </w:r>
    </w:p>
    <w:p w:rsidR="003324E7" w:rsidRPr="00034048" w:rsidRDefault="003324E7" w:rsidP="00034048">
      <w:pPr>
        <w:pStyle w:val="Hesber"/>
        <w:rPr>
          <w:rtl/>
        </w:rPr>
      </w:pPr>
      <w:r w:rsidRPr="00034048">
        <w:rPr>
          <w:rFonts w:hint="cs"/>
          <w:rtl/>
        </w:rPr>
        <w:t>על כן, מוצעים התיקונים הבאים:</w:t>
      </w:r>
    </w:p>
    <w:p w:rsidR="003324E7" w:rsidRPr="00034048" w:rsidRDefault="003324E7" w:rsidP="005D5213">
      <w:pPr>
        <w:pStyle w:val="Hesber"/>
        <w:rPr>
          <w:rtl/>
        </w:rPr>
      </w:pPr>
      <w:r w:rsidRPr="00034048">
        <w:rPr>
          <w:rFonts w:hint="cs"/>
          <w:rtl/>
        </w:rPr>
        <w:t xml:space="preserve">מוצע לתקן את סעיף 3(4) לחוק העיקרי באופן שיחול רק על הסדרים שמגדל (כהגדרתו המוצעת), או </w:t>
      </w:r>
      <w:r w:rsidRPr="00DD5C77">
        <w:rPr>
          <w:rFonts w:hint="eastAsia"/>
          <w:rtl/>
        </w:rPr>
        <w:t>מי</w:t>
      </w:r>
      <w:r w:rsidRPr="00DD5C77">
        <w:rPr>
          <w:rtl/>
        </w:rPr>
        <w:t xml:space="preserve"> </w:t>
      </w:r>
      <w:r w:rsidRPr="00DD5C77">
        <w:rPr>
          <w:rFonts w:hint="eastAsia"/>
          <w:rtl/>
        </w:rPr>
        <w:t>שבבעלות</w:t>
      </w:r>
      <w:r w:rsidRPr="00DD5C77">
        <w:rPr>
          <w:rtl/>
        </w:rPr>
        <w:t xml:space="preserve"> </w:t>
      </w:r>
      <w:r w:rsidRPr="00DD5C77">
        <w:rPr>
          <w:rFonts w:hint="eastAsia"/>
          <w:rtl/>
        </w:rPr>
        <w:t>מלאה</w:t>
      </w:r>
      <w:r w:rsidRPr="00DD5C77">
        <w:rPr>
          <w:rtl/>
        </w:rPr>
        <w:t xml:space="preserve"> </w:t>
      </w:r>
      <w:r w:rsidRPr="00DD5C77">
        <w:rPr>
          <w:rFonts w:hint="eastAsia"/>
          <w:rtl/>
        </w:rPr>
        <w:t>של</w:t>
      </w:r>
      <w:r w:rsidRPr="00DD5C77">
        <w:rPr>
          <w:rtl/>
        </w:rPr>
        <w:t xml:space="preserve"> </w:t>
      </w:r>
      <w:r w:rsidRPr="00DD5C77">
        <w:rPr>
          <w:rFonts w:hint="eastAsia"/>
          <w:rtl/>
        </w:rPr>
        <w:t>מגדל</w:t>
      </w:r>
      <w:r w:rsidRPr="00DD5C77">
        <w:rPr>
          <w:rtl/>
        </w:rPr>
        <w:t xml:space="preserve">, </w:t>
      </w:r>
      <w:r w:rsidRPr="00DD5C77">
        <w:rPr>
          <w:rFonts w:hint="eastAsia"/>
          <w:rtl/>
        </w:rPr>
        <w:t>הוא</w:t>
      </w:r>
      <w:r w:rsidRPr="00DD5C77">
        <w:rPr>
          <w:rtl/>
        </w:rPr>
        <w:t xml:space="preserve"> </w:t>
      </w:r>
      <w:r w:rsidRPr="00DD5C77">
        <w:rPr>
          <w:rFonts w:hint="eastAsia"/>
          <w:rtl/>
        </w:rPr>
        <w:t>צד</w:t>
      </w:r>
      <w:r w:rsidRPr="00DD5C77">
        <w:rPr>
          <w:rtl/>
        </w:rPr>
        <w:t xml:space="preserve"> </w:t>
      </w:r>
      <w:r w:rsidRPr="00DD5C77">
        <w:rPr>
          <w:rFonts w:hint="eastAsia"/>
          <w:rtl/>
        </w:rPr>
        <w:t>להם</w:t>
      </w:r>
      <w:r w:rsidRPr="00034048">
        <w:rPr>
          <w:rFonts w:hint="cs"/>
          <w:rtl/>
        </w:rPr>
        <w:t xml:space="preserve"> וכן על הסדרים אנכיים (הסדרי ספק-לקוח) שצד להם הוא מגדל ושעניינם שיווק בסיטונות של התוצרת החקלאית. בהתאם, </w:t>
      </w:r>
      <w:r w:rsidRPr="00034048">
        <w:rPr>
          <w:rtl/>
        </w:rPr>
        <w:t>משווקים סיטונאים שאינם מגדלים לא י</w:t>
      </w:r>
      <w:r w:rsidRPr="00034048">
        <w:rPr>
          <w:rFonts w:hint="cs"/>
          <w:rtl/>
        </w:rPr>
        <w:t>וכלו</w:t>
      </w:r>
      <w:r w:rsidRPr="00034048">
        <w:rPr>
          <w:rtl/>
        </w:rPr>
        <w:t xml:space="preserve"> להיות צד להסדר אופקי, לא בקנייה מהמגדלים ולא במכירה לקמעונאים.</w:t>
      </w:r>
      <w:r w:rsidRPr="00034048">
        <w:rPr>
          <w:rFonts w:hint="cs"/>
          <w:rtl/>
        </w:rPr>
        <w:t xml:space="preserve"> </w:t>
      </w:r>
      <w:r w:rsidRPr="00034048">
        <w:rPr>
          <w:rtl/>
        </w:rPr>
        <w:t>הסדרים אנכיים</w:t>
      </w:r>
      <w:r w:rsidRPr="00034048">
        <w:rPr>
          <w:rFonts w:hint="cs"/>
          <w:rtl/>
        </w:rPr>
        <w:t xml:space="preserve"> שעניינם שיווק בסיטונות של התוצרת החקלאית</w:t>
      </w:r>
      <w:r w:rsidRPr="00034048">
        <w:rPr>
          <w:rtl/>
        </w:rPr>
        <w:t xml:space="preserve"> שצד להם הוא מגדל </w:t>
      </w:r>
      <w:r w:rsidRPr="00034048">
        <w:rPr>
          <w:rFonts w:hint="cs"/>
          <w:rtl/>
        </w:rPr>
        <w:t>ימשיכו להיות כלולים ב</w:t>
      </w:r>
      <w:r w:rsidRPr="00034048">
        <w:rPr>
          <w:rtl/>
        </w:rPr>
        <w:t>פטור</w:t>
      </w:r>
      <w:r w:rsidRPr="00034048">
        <w:rPr>
          <w:rFonts w:hint="cs"/>
          <w:rtl/>
        </w:rPr>
        <w:t xml:space="preserve"> הסטטוטורי, בעוד ש</w:t>
      </w:r>
      <w:r w:rsidRPr="00034048">
        <w:rPr>
          <w:rtl/>
        </w:rPr>
        <w:t>הסדרים אנכיים אחרים</w:t>
      </w:r>
      <w:r w:rsidRPr="00034048">
        <w:rPr>
          <w:rFonts w:hint="cs"/>
          <w:rtl/>
        </w:rPr>
        <w:t xml:space="preserve"> (דהיינו, בין משווקים שאינם מגדלים)</w:t>
      </w:r>
      <w:r w:rsidRPr="00034048">
        <w:rPr>
          <w:rtl/>
        </w:rPr>
        <w:t xml:space="preserve"> י</w:t>
      </w:r>
      <w:r w:rsidRPr="00034048">
        <w:rPr>
          <w:rFonts w:hint="cs"/>
          <w:rtl/>
        </w:rPr>
        <w:t xml:space="preserve">צאו מגדר </w:t>
      </w:r>
      <w:r w:rsidRPr="00034048">
        <w:rPr>
          <w:rtl/>
        </w:rPr>
        <w:t>הפטור.</w:t>
      </w:r>
    </w:p>
    <w:p w:rsidR="003324E7" w:rsidRPr="00034048" w:rsidRDefault="003324E7" w:rsidP="005D5213">
      <w:pPr>
        <w:pStyle w:val="Hesber"/>
        <w:rPr>
          <w:rtl/>
        </w:rPr>
      </w:pPr>
      <w:r w:rsidRPr="00DD5C77">
        <w:rPr>
          <w:rFonts w:hint="eastAsia"/>
          <w:rtl/>
        </w:rPr>
        <w:t>מוצע</w:t>
      </w:r>
      <w:r w:rsidRPr="00DD5C77">
        <w:rPr>
          <w:rtl/>
        </w:rPr>
        <w:t xml:space="preserve"> </w:t>
      </w:r>
      <w:r w:rsidRPr="00DD5C77">
        <w:rPr>
          <w:rFonts w:hint="eastAsia"/>
          <w:rtl/>
        </w:rPr>
        <w:t>כי</w:t>
      </w:r>
      <w:r w:rsidRPr="00DD5C77">
        <w:rPr>
          <w:rtl/>
        </w:rPr>
        <w:t xml:space="preserve"> </w:t>
      </w:r>
      <w:r w:rsidRPr="00DD5C77">
        <w:rPr>
          <w:rFonts w:hint="eastAsia"/>
          <w:rtl/>
        </w:rPr>
        <w:t>הסעיף</w:t>
      </w:r>
      <w:r w:rsidRPr="00DD5C77">
        <w:rPr>
          <w:rtl/>
        </w:rPr>
        <w:t xml:space="preserve"> </w:t>
      </w:r>
      <w:r w:rsidRPr="00DD5C77">
        <w:rPr>
          <w:rFonts w:hint="eastAsia"/>
          <w:rtl/>
        </w:rPr>
        <w:t>יחול</w:t>
      </w:r>
      <w:r w:rsidRPr="00DD5C77">
        <w:rPr>
          <w:rtl/>
        </w:rPr>
        <w:t xml:space="preserve"> </w:t>
      </w:r>
      <w:r w:rsidRPr="00DD5C77">
        <w:rPr>
          <w:rFonts w:hint="eastAsia"/>
          <w:rtl/>
        </w:rPr>
        <w:t>רק</w:t>
      </w:r>
      <w:r w:rsidRPr="00DD5C77">
        <w:rPr>
          <w:rtl/>
        </w:rPr>
        <w:t xml:space="preserve"> </w:t>
      </w:r>
      <w:r w:rsidRPr="00DD5C77">
        <w:rPr>
          <w:rFonts w:hint="eastAsia"/>
          <w:rtl/>
        </w:rPr>
        <w:t>על</w:t>
      </w:r>
      <w:r w:rsidRPr="00DD5C77">
        <w:rPr>
          <w:rtl/>
        </w:rPr>
        <w:t xml:space="preserve"> </w:t>
      </w:r>
      <w:r w:rsidRPr="00DD5C77">
        <w:rPr>
          <w:rFonts w:hint="eastAsia"/>
          <w:rtl/>
        </w:rPr>
        <w:t>תוצרת</w:t>
      </w:r>
      <w:r w:rsidRPr="00DD5C77">
        <w:rPr>
          <w:rtl/>
        </w:rPr>
        <w:t xml:space="preserve"> </w:t>
      </w:r>
      <w:r w:rsidRPr="00DD5C77">
        <w:rPr>
          <w:rFonts w:hint="eastAsia"/>
          <w:rtl/>
        </w:rPr>
        <w:t>חקלאית</w:t>
      </w:r>
      <w:r w:rsidRPr="00DD5C77">
        <w:rPr>
          <w:rtl/>
        </w:rPr>
        <w:t xml:space="preserve"> </w:t>
      </w:r>
      <w:r w:rsidRPr="00DD5C77">
        <w:rPr>
          <w:rFonts w:hint="eastAsia"/>
          <w:rtl/>
        </w:rPr>
        <w:t>שיצר</w:t>
      </w:r>
      <w:r w:rsidRPr="00DD5C77">
        <w:rPr>
          <w:rtl/>
        </w:rPr>
        <w:t xml:space="preserve"> </w:t>
      </w:r>
      <w:r w:rsidRPr="00DD5C77">
        <w:rPr>
          <w:rFonts w:hint="eastAsia"/>
          <w:rtl/>
        </w:rPr>
        <w:t>המגדל</w:t>
      </w:r>
      <w:r w:rsidRPr="00DD5C77">
        <w:rPr>
          <w:rtl/>
        </w:rPr>
        <w:t xml:space="preserve"> </w:t>
      </w:r>
      <w:r w:rsidRPr="00DD5C77">
        <w:rPr>
          <w:rFonts w:hint="eastAsia"/>
          <w:rtl/>
        </w:rPr>
        <w:t>שהוא</w:t>
      </w:r>
      <w:r w:rsidRPr="00DD5C77">
        <w:rPr>
          <w:rtl/>
        </w:rPr>
        <w:t xml:space="preserve"> </w:t>
      </w:r>
      <w:r w:rsidRPr="00DD5C77">
        <w:rPr>
          <w:rFonts w:hint="eastAsia"/>
          <w:rtl/>
        </w:rPr>
        <w:t>צד</w:t>
      </w:r>
      <w:r w:rsidRPr="00DD5C77">
        <w:rPr>
          <w:rtl/>
        </w:rPr>
        <w:t xml:space="preserve"> </w:t>
      </w:r>
      <w:r w:rsidRPr="00DD5C77">
        <w:rPr>
          <w:rFonts w:hint="eastAsia"/>
          <w:rtl/>
        </w:rPr>
        <w:t>להסדר</w:t>
      </w:r>
      <w:r w:rsidRPr="00DD5C77">
        <w:rPr>
          <w:rtl/>
        </w:rPr>
        <w:t xml:space="preserve"> </w:t>
      </w:r>
      <w:r w:rsidRPr="00DD5C77">
        <w:rPr>
          <w:rFonts w:hint="eastAsia"/>
          <w:rtl/>
        </w:rPr>
        <w:t>ולא</w:t>
      </w:r>
      <w:r w:rsidRPr="00DD5C77">
        <w:rPr>
          <w:rtl/>
        </w:rPr>
        <w:t xml:space="preserve"> </w:t>
      </w:r>
      <w:r w:rsidRPr="00DD5C77">
        <w:rPr>
          <w:rFonts w:hint="eastAsia"/>
          <w:rtl/>
        </w:rPr>
        <w:t>על</w:t>
      </w:r>
      <w:r w:rsidRPr="00DD5C77">
        <w:rPr>
          <w:rtl/>
        </w:rPr>
        <w:t xml:space="preserve"> </w:t>
      </w:r>
      <w:r w:rsidRPr="00DD5C77">
        <w:rPr>
          <w:rFonts w:hint="eastAsia"/>
          <w:rtl/>
        </w:rPr>
        <w:t>תוצרת</w:t>
      </w:r>
      <w:r w:rsidRPr="00DD5C77">
        <w:rPr>
          <w:rtl/>
        </w:rPr>
        <w:t xml:space="preserve"> </w:t>
      </w:r>
      <w:r w:rsidRPr="00DD5C77">
        <w:rPr>
          <w:rFonts w:hint="eastAsia"/>
          <w:rtl/>
        </w:rPr>
        <w:t>חקלאית</w:t>
      </w:r>
      <w:r w:rsidRPr="00DD5C77">
        <w:rPr>
          <w:rtl/>
        </w:rPr>
        <w:t xml:space="preserve"> </w:t>
      </w:r>
      <w:r w:rsidRPr="00DD5C77">
        <w:rPr>
          <w:rFonts w:hint="eastAsia"/>
          <w:rtl/>
        </w:rPr>
        <w:t>שאינה</w:t>
      </w:r>
      <w:r w:rsidRPr="00DD5C77">
        <w:rPr>
          <w:rtl/>
        </w:rPr>
        <w:t xml:space="preserve"> </w:t>
      </w:r>
      <w:r w:rsidRPr="00DD5C77">
        <w:rPr>
          <w:rFonts w:hint="eastAsia"/>
          <w:rtl/>
        </w:rPr>
        <w:t>מייצור</w:t>
      </w:r>
      <w:r w:rsidRPr="00DD5C77">
        <w:rPr>
          <w:rtl/>
        </w:rPr>
        <w:t xml:space="preserve"> </w:t>
      </w:r>
      <w:r w:rsidRPr="00DD5C77">
        <w:rPr>
          <w:rFonts w:hint="eastAsia"/>
          <w:rtl/>
        </w:rPr>
        <w:t>עצמי</w:t>
      </w:r>
      <w:r w:rsidRPr="00DD5C77">
        <w:rPr>
          <w:rtl/>
        </w:rPr>
        <w:t>.</w:t>
      </w:r>
      <w:r w:rsidRPr="00034048">
        <w:rPr>
          <w:rFonts w:hint="cs"/>
          <w:rtl/>
        </w:rPr>
        <w:t xml:space="preserve"> באופן זה, מגדל יוכל לערוך הסדרים אופקיים עם מגדלים אחרים וכן הסדרים אנכיים, רק בהתייחס לתוצרת החקלאית שהוא גידל. במקרה בו המגדל הוא גם משווק בסיטונות של תוצרת של מגדלים אחרים, </w:t>
      </w:r>
      <w:r w:rsidR="00DE1111">
        <w:rPr>
          <w:rFonts w:hint="cs"/>
          <w:rtl/>
        </w:rPr>
        <w:t xml:space="preserve">הוא </w:t>
      </w:r>
      <w:r w:rsidRPr="00034048">
        <w:rPr>
          <w:rFonts w:hint="cs"/>
          <w:rtl/>
        </w:rPr>
        <w:t>לא יוכל לעשות הסדר כובל עם אחר בנוגע לתוצרת זו.</w:t>
      </w:r>
    </w:p>
    <w:p w:rsidR="003324E7" w:rsidRPr="00034048" w:rsidRDefault="003324E7" w:rsidP="005D5213">
      <w:pPr>
        <w:pStyle w:val="Hesber"/>
        <w:rPr>
          <w:rtl/>
        </w:rPr>
      </w:pPr>
      <w:r w:rsidRPr="00034048">
        <w:rPr>
          <w:rFonts w:hint="cs"/>
          <w:rtl/>
        </w:rPr>
        <w:t xml:space="preserve">עוד מוצע להוסיף הגדרה למונח "מגדל", אשר תכלול את הגורמים הבאים </w:t>
      </w:r>
      <w:r w:rsidRPr="00034048">
        <w:rPr>
          <w:rtl/>
        </w:rPr>
        <w:t>אדם שלפחות 25% מפעילותו העסקית היא בגידול תוצרת חקלאית</w:t>
      </w:r>
      <w:r w:rsidRPr="00034048">
        <w:rPr>
          <w:rFonts w:hint="cs"/>
          <w:rtl/>
        </w:rPr>
        <w:t>, כך שגם גוף העוסק בפעילויות עסקיות נוספות, אך גידול מהווה חלק מהותי מכלל פעילותו, ייכלל בפטור הסטטוטורי; אדם שהכנסותיו מגידול תוצרת חקלאית הן מעל לשיעור שיקבע שר ה</w:t>
      </w:r>
      <w:r w:rsidR="00AA2415">
        <w:rPr>
          <w:rFonts w:hint="cs"/>
          <w:rtl/>
        </w:rPr>
        <w:t>כלכלה</w:t>
      </w:r>
      <w:r w:rsidRPr="00034048">
        <w:rPr>
          <w:rFonts w:hint="cs"/>
          <w:rtl/>
        </w:rPr>
        <w:t>, בהתייעצות עם שר האוצר ושר המשפטים, כך שאדם שהכנסותיו מגידול תוצרת חקלאית משמעותיות מאוד</w:t>
      </w:r>
      <w:r w:rsidR="00AA2415">
        <w:rPr>
          <w:rFonts w:hint="cs"/>
          <w:rtl/>
        </w:rPr>
        <w:t>,</w:t>
      </w:r>
      <w:r w:rsidRPr="00034048">
        <w:rPr>
          <w:rFonts w:hint="cs"/>
          <w:rtl/>
        </w:rPr>
        <w:t xml:space="preserve"> ייחשב כמגדל מבלי שיהיה צורך לבחון את היחס בין פעילותו כמגדל לפעילותו האחרת; מי שעוסק בגידול תוצרת חקלאית והכנסותיו השנתיות משיווק סיטונאי של תוצרת חקלאית קטנות מעשרה מיליון </w:t>
      </w:r>
      <w:r w:rsidR="00AA2415">
        <w:rPr>
          <w:rFonts w:hint="cs"/>
          <w:rtl/>
        </w:rPr>
        <w:t>שקלים חדשים,</w:t>
      </w:r>
      <w:r w:rsidRPr="00034048">
        <w:rPr>
          <w:rFonts w:hint="cs"/>
          <w:rtl/>
        </w:rPr>
        <w:t xml:space="preserve"> זאת על מנת לכלול תחת הפטור הסטטוטורי גם מגדלים אשר אינם נכללים בהגדרות לעיל ובלבד שהיקף פעילותם בשיווק סיטונאי של תוצרת חקלאית הינו מצומצם דיו, באופן שאינו מעורר חשש לחריגה מההצדקות הקבועות למתן הפטור; מי שהוא בבעלות מלאה של מגדל (כהגדרת</w:t>
      </w:r>
      <w:r w:rsidR="00AA2415">
        <w:rPr>
          <w:rFonts w:hint="cs"/>
          <w:rtl/>
        </w:rPr>
        <w:t>ו</w:t>
      </w:r>
      <w:r w:rsidRPr="00034048">
        <w:rPr>
          <w:rFonts w:hint="cs"/>
          <w:rtl/>
        </w:rPr>
        <w:t xml:space="preserve"> ביתר החלופות). </w:t>
      </w:r>
    </w:p>
    <w:p w:rsidR="003324E7" w:rsidRPr="00034048" w:rsidRDefault="003324E7" w:rsidP="005D5213">
      <w:pPr>
        <w:pStyle w:val="Hesber"/>
      </w:pPr>
      <w:r w:rsidRPr="00034048">
        <w:rPr>
          <w:rFonts w:hint="cs"/>
          <w:rtl/>
        </w:rPr>
        <w:t xml:space="preserve">מוצע לקבוע כי תוך שישה חודשים מיום פרסום </w:t>
      </w:r>
      <w:r w:rsidR="00AA2415">
        <w:rPr>
          <w:rFonts w:hint="cs"/>
          <w:rtl/>
        </w:rPr>
        <w:t>ה</w:t>
      </w:r>
      <w:r w:rsidRPr="00034048">
        <w:rPr>
          <w:rFonts w:hint="cs"/>
          <w:rtl/>
        </w:rPr>
        <w:t>חוק</w:t>
      </w:r>
      <w:r w:rsidR="00AA2415">
        <w:rPr>
          <w:rFonts w:hint="cs"/>
          <w:rtl/>
        </w:rPr>
        <w:t>,</w:t>
      </w:r>
      <w:r w:rsidRPr="00034048">
        <w:rPr>
          <w:rFonts w:hint="cs"/>
          <w:rtl/>
        </w:rPr>
        <w:t xml:space="preserve"> יפרסם שר </w:t>
      </w:r>
      <w:r w:rsidR="00AA2415">
        <w:rPr>
          <w:rFonts w:hint="cs"/>
          <w:rtl/>
        </w:rPr>
        <w:t xml:space="preserve">הכלכלה </w:t>
      </w:r>
      <w:r w:rsidRPr="00034048">
        <w:rPr>
          <w:rFonts w:hint="cs"/>
          <w:rtl/>
        </w:rPr>
        <w:t xml:space="preserve">צו אשר יקבע את דרך חישוב ההכנסות מגידול תוצרת חקלאית ומשיווק סיטונאי של תוצרת חקלאית וכן את הרף הכספי להגדרת מגדל כאמור. כמו כן, על מנת לאפשר תקופת התארגנות ביחס להסדרים קיימים ולאפשר, במקרים המתאימים, את הפעולות הנחוצות להתאמתם לדרישות פרק ב' לחוק העיקרי, מוצע לקבוע כי תחילתו של תיקון זה היא שישה חודשים מיום </w:t>
      </w:r>
      <w:r w:rsidR="00AA2415">
        <w:rPr>
          <w:rFonts w:hint="cs"/>
          <w:rtl/>
        </w:rPr>
        <w:t>פרסום הצו</w:t>
      </w:r>
      <w:r w:rsidR="007F1C5E">
        <w:rPr>
          <w:rFonts w:hint="cs"/>
          <w:rtl/>
        </w:rPr>
        <w:t xml:space="preserve"> האמור.</w:t>
      </w:r>
    </w:p>
    <w:p w:rsidR="003324E7" w:rsidRDefault="003324E7" w:rsidP="00C62523">
      <w:pPr>
        <w:pStyle w:val="Hesber"/>
        <w:rPr>
          <w:rtl/>
        </w:rPr>
      </w:pPr>
      <w:r w:rsidRPr="00034048">
        <w:rPr>
          <w:rFonts w:hint="cs"/>
          <w:rtl/>
        </w:rPr>
        <w:t>הצעה זו דומה</w:t>
      </w:r>
      <w:r w:rsidR="007F1C5E">
        <w:rPr>
          <w:rFonts w:hint="cs"/>
          <w:rtl/>
        </w:rPr>
        <w:t xml:space="preserve"> להצעת הממשלה, בסעיף 77 להצעת חוק לשינוי סדרי עדיפויות לאומיים (תיקוני חקיקה להשגת יעדי התקציב לשנים 2013 ו-2014), התשע"ג–2013.</w:t>
      </w:r>
      <w:r w:rsidRPr="00034048">
        <w:rPr>
          <w:rFonts w:hint="cs"/>
          <w:rtl/>
        </w:rPr>
        <w:t xml:space="preserve"> </w:t>
      </w:r>
    </w:p>
    <w:p w:rsidR="00170B6E" w:rsidRPr="00034048" w:rsidRDefault="00170B6E" w:rsidP="00C62523">
      <w:pPr>
        <w:pStyle w:val="Hesber"/>
        <w:rPr>
          <w:rtl/>
        </w:rPr>
      </w:pPr>
    </w:p>
    <w:p w:rsidR="009948C2" w:rsidRDefault="009948C2" w:rsidP="009948C2">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rsidR="009948C2" w:rsidRDefault="009948C2" w:rsidP="009948C2">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rsidR="009948C2" w:rsidRDefault="009948C2" w:rsidP="009948C2">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rsidR="009948C2" w:rsidRDefault="009948C2" w:rsidP="009948C2">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כ"ד באב התשע"ג – 31.7.13</w:t>
      </w:r>
    </w:p>
    <w:p w:rsidR="00E13C27" w:rsidRPr="00034048" w:rsidRDefault="00E13C27" w:rsidP="00034048">
      <w:pPr>
        <w:pStyle w:val="Hesber"/>
        <w:rPr>
          <w:rtl/>
        </w:rPr>
      </w:pPr>
    </w:p>
    <w:sectPr w:rsidR="00E13C27" w:rsidRPr="00034048"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66E" w:rsidRDefault="00B1566E">
      <w:r>
        <w:separator/>
      </w:r>
    </w:p>
  </w:endnote>
  <w:endnote w:type="continuationSeparator" w:id="0">
    <w:p w:rsidR="00B1566E" w:rsidRDefault="00B15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1772D3">
      <w:rPr>
        <w:rStyle w:val="ab"/>
        <w:noProof/>
        <w:rtl/>
      </w:rPr>
      <w:t>4</w:t>
    </w:r>
    <w:r>
      <w:rPr>
        <w:rStyle w:val="ab"/>
        <w:rtl/>
      </w:rPr>
      <w:fldChar w:fldCharType="end"/>
    </w:r>
  </w:p>
  <w:p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66E" w:rsidRDefault="00B1566E">
      <w:r>
        <w:separator/>
      </w:r>
    </w:p>
  </w:footnote>
  <w:footnote w:type="continuationSeparator" w:id="0">
    <w:p w:rsidR="00B1566E" w:rsidRDefault="00B1566E">
      <w:r>
        <w:continuationSeparator/>
      </w:r>
    </w:p>
  </w:footnote>
  <w:footnote w:type="continuationNotice" w:id="1">
    <w:p w:rsidR="00B1566E" w:rsidRDefault="00B1566E"/>
  </w:footnote>
  <w:footnote w:id="2">
    <w:p w:rsidR="00112AB3" w:rsidRDefault="00112AB3" w:rsidP="001B2DF3">
      <w:pPr>
        <w:pStyle w:val="a4"/>
        <w:rPr>
          <w:rtl/>
        </w:rPr>
      </w:pPr>
      <w:r>
        <w:rPr>
          <w:rStyle w:val="a6"/>
        </w:rPr>
        <w:footnoteRef/>
      </w:r>
      <w:r>
        <w:rPr>
          <w:rtl/>
        </w:rPr>
        <w:t xml:space="preserve"> </w:t>
      </w:r>
      <w:r>
        <w:rPr>
          <w:rFonts w:hint="cs"/>
          <w:rtl/>
        </w:rPr>
        <w:t xml:space="preserve">ס"ח התשמ"ח, עמ' </w:t>
      </w:r>
      <w:r w:rsidR="001B2DF3">
        <w:rPr>
          <w:rFonts w:hint="cs"/>
          <w:rtl/>
        </w:rPr>
        <w:t>128.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01E2705D"/>
    <w:multiLevelType w:val="hybridMultilevel"/>
    <w:tmpl w:val="2952B9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2AE789D"/>
    <w:multiLevelType w:val="multilevel"/>
    <w:tmpl w:val="7368E1FA"/>
    <w:lvl w:ilvl="0">
      <w:start w:val="1"/>
      <w:numFmt w:val="decimal"/>
      <w:pStyle w:val="1"/>
      <w:lvlText w:val="%1."/>
      <w:lvlJc w:val="center"/>
      <w:pPr>
        <w:tabs>
          <w:tab w:val="num" w:pos="601"/>
        </w:tabs>
        <w:ind w:left="601" w:hanging="601"/>
      </w:pPr>
      <w:rPr>
        <w:bCs w:val="0"/>
        <w:iCs w:val="0"/>
        <w:strike w:val="0"/>
        <w:dstrike w:val="0"/>
        <w:u w:val="none"/>
        <w:effect w:val="none"/>
      </w:rPr>
    </w:lvl>
    <w:lvl w:ilvl="1">
      <w:start w:val="1"/>
      <w:numFmt w:val="hebrew1"/>
      <w:pStyle w:val="2"/>
      <w:lvlText w:val="%2."/>
      <w:lvlJc w:val="center"/>
      <w:pPr>
        <w:tabs>
          <w:tab w:val="num" w:pos="1134"/>
        </w:tabs>
        <w:ind w:left="1134" w:hanging="510"/>
      </w:pPr>
      <w:rPr>
        <w:strike w:val="0"/>
        <w:dstrike w:val="0"/>
        <w:u w:val="none"/>
        <w:effect w:val="none"/>
      </w:rPr>
    </w:lvl>
    <w:lvl w:ilvl="2">
      <w:start w:val="1"/>
      <w:numFmt w:val="decimal"/>
      <w:pStyle w:val="3"/>
      <w:lvlText w:val="%3)"/>
      <w:lvlJc w:val="center"/>
      <w:pPr>
        <w:tabs>
          <w:tab w:val="num" w:pos="1701"/>
        </w:tabs>
        <w:ind w:left="1701" w:hanging="567"/>
      </w:pPr>
      <w:rPr>
        <w:strike w:val="0"/>
        <w:dstrike w:val="0"/>
        <w:u w:val="none"/>
        <w:effect w:val="none"/>
      </w:rPr>
    </w:lvl>
    <w:lvl w:ilvl="3">
      <w:start w:val="1"/>
      <w:numFmt w:val="hebrew1"/>
      <w:lvlText w:val="(%4)"/>
      <w:lvlJc w:val="center"/>
      <w:pPr>
        <w:tabs>
          <w:tab w:val="num" w:pos="2551"/>
        </w:tabs>
        <w:ind w:left="2551" w:hanging="510"/>
      </w:pPr>
      <w:rPr>
        <w:strike w:val="0"/>
        <w:dstrike w:val="0"/>
        <w:u w:val="none"/>
        <w:effect w:val="none"/>
      </w:rPr>
    </w:lvl>
    <w:lvl w:ilvl="4">
      <w:start w:val="1"/>
      <w:numFmt w:val="upperRoman"/>
      <w:lvlText w:val="%5"/>
      <w:lvlJc w:val="center"/>
      <w:pPr>
        <w:tabs>
          <w:tab w:val="num" w:pos="3118"/>
        </w:tabs>
        <w:ind w:left="3118" w:hanging="567"/>
      </w:pPr>
      <w:rPr>
        <w:strike w:val="0"/>
        <w:dstrike w:val="0"/>
        <w:u w:val="none"/>
        <w:effect w:val="none"/>
      </w:rPr>
    </w:lvl>
    <w:lvl w:ilvl="5">
      <w:start w:val="1"/>
      <w:numFmt w:val="lowerRoman"/>
      <w:lvlText w:val="%6"/>
      <w:lvlJc w:val="center"/>
      <w:pPr>
        <w:tabs>
          <w:tab w:val="num" w:pos="3685"/>
        </w:tabs>
        <w:ind w:left="3685" w:hanging="567"/>
      </w:pPr>
      <w:rPr>
        <w:strike w:val="0"/>
        <w:dstrike w:val="0"/>
        <w:u w:val="none"/>
        <w:effect w:val="none"/>
      </w:rPr>
    </w:lvl>
    <w:lvl w:ilvl="6">
      <w:start w:val="1"/>
      <w:numFmt w:val="bullet"/>
      <w:lvlText w:val=""/>
      <w:lvlJc w:val="left"/>
      <w:pPr>
        <w:tabs>
          <w:tab w:val="num" w:pos="4252"/>
        </w:tabs>
        <w:ind w:left="4252" w:hanging="567"/>
      </w:pPr>
      <w:rPr>
        <w:rFonts w:ascii="Symbol" w:hAnsi="Symbol" w:cs="Times New Roman" w:hint="default"/>
        <w:strike w:val="0"/>
        <w:dstrike w:val="0"/>
        <w:u w:val="none"/>
        <w:effect w:val="none"/>
      </w:rPr>
    </w:lvl>
    <w:lvl w:ilvl="7">
      <w:start w:val="1"/>
      <w:numFmt w:val="lowerLetter"/>
      <w:lvlText w:val="(%8)"/>
      <w:lvlJc w:val="center"/>
      <w:pPr>
        <w:tabs>
          <w:tab w:val="num" w:pos="4819"/>
        </w:tabs>
        <w:ind w:left="4819" w:hanging="510"/>
      </w:pPr>
      <w:rPr>
        <w:strike w:val="0"/>
        <w:dstrike w:val="0"/>
        <w:u w:val="none"/>
        <w:effect w:val="none"/>
      </w:rPr>
    </w:lvl>
    <w:lvl w:ilvl="8">
      <w:start w:val="1"/>
      <w:numFmt w:val="lowerRoman"/>
      <w:lvlText w:val="(%9)"/>
      <w:lvlJc w:val="center"/>
      <w:pPr>
        <w:tabs>
          <w:tab w:val="num" w:pos="5386"/>
        </w:tabs>
        <w:ind w:left="5386" w:hanging="510"/>
      </w:pPr>
      <w:rPr>
        <w:strike w:val="0"/>
        <w:dstrike w:val="0"/>
        <w:u w:val="none"/>
        <w:effect w:val="none"/>
      </w:rPr>
    </w:lvl>
  </w:abstractNum>
  <w:abstractNum w:abstractNumId="14">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4"/>
  </w:num>
  <w:num w:numId="13">
    <w:abstractNumId w:val="10"/>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startOverride w:val="1"/>
    </w:lvlOverride>
    <w:lvlOverride w:ilvl="8">
      <w:startOverride w:val="1"/>
    </w:lvlOverride>
  </w:num>
  <w:num w:numId="15">
    <w:abstractNumId w:val="11"/>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6680lsCopyOriginal.docx"/>
    <w:docVar w:name="StartMode" w:val="2"/>
  </w:docVars>
  <w:rsids>
    <w:rsidRoot w:val="00DB7060"/>
    <w:rsid w:val="00015B27"/>
    <w:rsid w:val="00034048"/>
    <w:rsid w:val="000806B6"/>
    <w:rsid w:val="000A542E"/>
    <w:rsid w:val="00112AB3"/>
    <w:rsid w:val="001207F8"/>
    <w:rsid w:val="00121924"/>
    <w:rsid w:val="001279A8"/>
    <w:rsid w:val="0014195F"/>
    <w:rsid w:val="00152609"/>
    <w:rsid w:val="00153E1B"/>
    <w:rsid w:val="00170B6E"/>
    <w:rsid w:val="001772D3"/>
    <w:rsid w:val="001A0623"/>
    <w:rsid w:val="001B2DF3"/>
    <w:rsid w:val="001C23B0"/>
    <w:rsid w:val="001D78A0"/>
    <w:rsid w:val="00203A7F"/>
    <w:rsid w:val="002200A1"/>
    <w:rsid w:val="002362BF"/>
    <w:rsid w:val="00241B97"/>
    <w:rsid w:val="00254605"/>
    <w:rsid w:val="002728B4"/>
    <w:rsid w:val="00292712"/>
    <w:rsid w:val="002C2E29"/>
    <w:rsid w:val="002D06A4"/>
    <w:rsid w:val="003152A9"/>
    <w:rsid w:val="003232A2"/>
    <w:rsid w:val="0032582B"/>
    <w:rsid w:val="003324E7"/>
    <w:rsid w:val="00346701"/>
    <w:rsid w:val="00361137"/>
    <w:rsid w:val="003710F6"/>
    <w:rsid w:val="00386E88"/>
    <w:rsid w:val="003D74A0"/>
    <w:rsid w:val="004033D8"/>
    <w:rsid w:val="004D3876"/>
    <w:rsid w:val="004E4552"/>
    <w:rsid w:val="0054773E"/>
    <w:rsid w:val="00553C9D"/>
    <w:rsid w:val="00587DF5"/>
    <w:rsid w:val="005B064E"/>
    <w:rsid w:val="005C2D5C"/>
    <w:rsid w:val="005D51AE"/>
    <w:rsid w:val="005D5213"/>
    <w:rsid w:val="005D7E5F"/>
    <w:rsid w:val="00600B33"/>
    <w:rsid w:val="006403D0"/>
    <w:rsid w:val="00644940"/>
    <w:rsid w:val="00672CAE"/>
    <w:rsid w:val="006818A9"/>
    <w:rsid w:val="006C1D0D"/>
    <w:rsid w:val="0070601E"/>
    <w:rsid w:val="00765F66"/>
    <w:rsid w:val="007A58C7"/>
    <w:rsid w:val="007B49A9"/>
    <w:rsid w:val="007D5A12"/>
    <w:rsid w:val="007E59F9"/>
    <w:rsid w:val="007E714C"/>
    <w:rsid w:val="007F1C5E"/>
    <w:rsid w:val="007F6C44"/>
    <w:rsid w:val="00810BCD"/>
    <w:rsid w:val="00812C98"/>
    <w:rsid w:val="00814D92"/>
    <w:rsid w:val="008508EB"/>
    <w:rsid w:val="00884997"/>
    <w:rsid w:val="00892135"/>
    <w:rsid w:val="00895449"/>
    <w:rsid w:val="00897879"/>
    <w:rsid w:val="008B2616"/>
    <w:rsid w:val="008C2DDC"/>
    <w:rsid w:val="008F0D63"/>
    <w:rsid w:val="008F2C35"/>
    <w:rsid w:val="0091204F"/>
    <w:rsid w:val="009203DB"/>
    <w:rsid w:val="00943386"/>
    <w:rsid w:val="00957589"/>
    <w:rsid w:val="00982412"/>
    <w:rsid w:val="009948C2"/>
    <w:rsid w:val="00A26BD6"/>
    <w:rsid w:val="00A54D02"/>
    <w:rsid w:val="00A82CB7"/>
    <w:rsid w:val="00AA2415"/>
    <w:rsid w:val="00AC36F7"/>
    <w:rsid w:val="00AF3FC6"/>
    <w:rsid w:val="00B1566E"/>
    <w:rsid w:val="00B35784"/>
    <w:rsid w:val="00B44793"/>
    <w:rsid w:val="00BC45FB"/>
    <w:rsid w:val="00BE6FBA"/>
    <w:rsid w:val="00C53A23"/>
    <w:rsid w:val="00C62523"/>
    <w:rsid w:val="00C75865"/>
    <w:rsid w:val="00C9176A"/>
    <w:rsid w:val="00CC60AB"/>
    <w:rsid w:val="00D42344"/>
    <w:rsid w:val="00D867D7"/>
    <w:rsid w:val="00D963AF"/>
    <w:rsid w:val="00DB7060"/>
    <w:rsid w:val="00DD0A55"/>
    <w:rsid w:val="00DD4469"/>
    <w:rsid w:val="00DD5C77"/>
    <w:rsid w:val="00DE1111"/>
    <w:rsid w:val="00DE3153"/>
    <w:rsid w:val="00E13C27"/>
    <w:rsid w:val="00E33BBD"/>
    <w:rsid w:val="00E45103"/>
    <w:rsid w:val="00E665B9"/>
    <w:rsid w:val="00EA01E6"/>
    <w:rsid w:val="00EA758F"/>
    <w:rsid w:val="00ED142D"/>
    <w:rsid w:val="00ED4A6F"/>
    <w:rsid w:val="00EF3A3A"/>
    <w:rsid w:val="00F439CD"/>
    <w:rsid w:val="00FC1DB7"/>
    <w:rsid w:val="00FD591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5213"/>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5D521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5D5213"/>
    <w:rPr>
      <w:sz w:val="36"/>
      <w:szCs w:val="52"/>
    </w:rPr>
  </w:style>
  <w:style w:type="paragraph" w:customStyle="1" w:styleId="Cover3-Haknesset">
    <w:name w:val="Cover 3-Haknesset"/>
    <w:basedOn w:val="Cover1-Reshumot"/>
    <w:rsid w:val="005D5213"/>
    <w:rPr>
      <w:b/>
      <w:bCs/>
      <w:spacing w:val="60"/>
    </w:rPr>
  </w:style>
  <w:style w:type="paragraph" w:customStyle="1" w:styleId="Cover4-Date">
    <w:name w:val="Cover 4-Date"/>
    <w:basedOn w:val="a"/>
    <w:rsid w:val="005D521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5D521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5D521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5D5213"/>
    <w:pPr>
      <w:spacing w:before="120" w:after="120"/>
    </w:pPr>
    <w:rPr>
      <w:color w:val="FF0000"/>
      <w:w w:val="80"/>
    </w:rPr>
  </w:style>
  <w:style w:type="paragraph" w:styleId="a3">
    <w:name w:val="endnote text"/>
    <w:basedOn w:val="a"/>
    <w:semiHidden/>
    <w:rsid w:val="005D5213"/>
    <w:pPr>
      <w:ind w:left="227" w:hanging="227"/>
    </w:pPr>
    <w:rPr>
      <w:sz w:val="14"/>
      <w:szCs w:val="22"/>
    </w:rPr>
  </w:style>
  <w:style w:type="paragraph" w:customStyle="1" w:styleId="TableText">
    <w:name w:val="Table Text"/>
    <w:basedOn w:val="a"/>
    <w:rsid w:val="005D521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5D5213"/>
  </w:style>
  <w:style w:type="paragraph" w:customStyle="1" w:styleId="TableBlock">
    <w:name w:val="Table Block"/>
    <w:basedOn w:val="TableText"/>
    <w:rsid w:val="005D5213"/>
    <w:pPr>
      <w:ind w:right="0"/>
      <w:jc w:val="both"/>
    </w:pPr>
  </w:style>
  <w:style w:type="paragraph" w:customStyle="1" w:styleId="TableHead">
    <w:name w:val="Table Head"/>
    <w:basedOn w:val="TableText"/>
    <w:rsid w:val="005D5213"/>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5D5213"/>
  </w:style>
  <w:style w:type="paragraph" w:customStyle="1" w:styleId="Hesber">
    <w:name w:val="Hesber"/>
    <w:basedOn w:val="a"/>
    <w:rsid w:val="005D5213"/>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5D5213"/>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1,Footnote Reference2,Footnote Reference11,Footnote Reference12,Footnote Reference3,Footnote Reference13,Footnote Reference4,Footnote Reference5,Footnote Reference14,Footnote Reference"/>
    <w:basedOn w:val="a0"/>
    <w:semiHidden/>
    <w:rsid w:val="005D5213"/>
    <w:rPr>
      <w:vertAlign w:val="superscript"/>
    </w:rPr>
  </w:style>
  <w:style w:type="paragraph" w:customStyle="1" w:styleId="HesberHeading">
    <w:name w:val="Hesber Heading"/>
    <w:basedOn w:val="Hesber"/>
    <w:rsid w:val="005D5213"/>
    <w:pPr>
      <w:tabs>
        <w:tab w:val="left" w:pos="624"/>
        <w:tab w:val="left" w:pos="1247"/>
      </w:tabs>
      <w:ind w:firstLine="0"/>
    </w:pPr>
    <w:rPr>
      <w:b/>
      <w:bCs/>
    </w:rPr>
  </w:style>
  <w:style w:type="paragraph" w:customStyle="1" w:styleId="HesberWriters">
    <w:name w:val="Hesber Writers"/>
    <w:basedOn w:val="Hesber"/>
    <w:rsid w:val="005D5213"/>
    <w:pPr>
      <w:spacing w:before="120" w:after="6000"/>
      <w:ind w:left="1418" w:firstLine="0"/>
      <w:jc w:val="right"/>
    </w:pPr>
    <w:rPr>
      <w:b/>
      <w:bCs/>
    </w:rPr>
  </w:style>
  <w:style w:type="paragraph" w:customStyle="1" w:styleId="Hesber1st">
    <w:name w:val="Hesber 1st"/>
    <w:basedOn w:val="Hesber"/>
    <w:rsid w:val="005D5213"/>
    <w:pPr>
      <w:tabs>
        <w:tab w:val="left" w:pos="680"/>
        <w:tab w:val="left" w:pos="1020"/>
      </w:tabs>
      <w:ind w:firstLine="0"/>
    </w:pPr>
  </w:style>
  <w:style w:type="character" w:styleId="a7">
    <w:name w:val="endnote reference"/>
    <w:basedOn w:val="a0"/>
    <w:semiHidden/>
    <w:rsid w:val="005D5213"/>
    <w:rPr>
      <w:vertAlign w:val="superscript"/>
    </w:rPr>
  </w:style>
  <w:style w:type="paragraph" w:customStyle="1" w:styleId="TableBlockOutdent">
    <w:name w:val="Table BlockOutdent"/>
    <w:basedOn w:val="TableBlock"/>
    <w:rsid w:val="005D5213"/>
    <w:pPr>
      <w:ind w:left="624" w:hanging="624"/>
    </w:pPr>
  </w:style>
  <w:style w:type="paragraph" w:styleId="a8">
    <w:name w:val="header"/>
    <w:basedOn w:val="a"/>
    <w:rsid w:val="005D5213"/>
    <w:pPr>
      <w:tabs>
        <w:tab w:val="center" w:pos="4153"/>
        <w:tab w:val="right" w:pos="8306"/>
      </w:tabs>
    </w:pPr>
  </w:style>
  <w:style w:type="paragraph" w:styleId="a9">
    <w:name w:val="footer"/>
    <w:basedOn w:val="a"/>
    <w:rsid w:val="005D5213"/>
    <w:pPr>
      <w:tabs>
        <w:tab w:val="center" w:pos="4153"/>
        <w:tab w:val="right" w:pos="8306"/>
      </w:tabs>
    </w:pPr>
  </w:style>
  <w:style w:type="paragraph" w:customStyle="1" w:styleId="HeadDivreiHesber">
    <w:name w:val="Head DivreiHesber"/>
    <w:basedOn w:val="a"/>
    <w:rsid w:val="005D5213"/>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5D5213"/>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5D5213"/>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List Paragraph"/>
    <w:basedOn w:val="a"/>
    <w:uiPriority w:val="34"/>
    <w:qFormat/>
    <w:rsid w:val="003324E7"/>
    <w:pPr>
      <w:widowControl/>
      <w:autoSpaceDE/>
      <w:autoSpaceDN/>
      <w:bidi w:val="0"/>
      <w:adjustRightInd/>
      <w:spacing w:before="0" w:line="240" w:lineRule="auto"/>
      <w:ind w:left="720" w:firstLine="0"/>
      <w:jc w:val="left"/>
      <w:textAlignment w:val="auto"/>
    </w:pPr>
    <w:rPr>
      <w:rFonts w:ascii="Calibri" w:eastAsia="Times New Roman" w:hAnsi="Calibri" w:cs="Arial"/>
      <w:color w:val="auto"/>
      <w:spacing w:val="0"/>
      <w:sz w:val="22"/>
      <w:szCs w:val="22"/>
      <w:lang w:eastAsia="en-US"/>
    </w:rPr>
  </w:style>
  <w:style w:type="paragraph" w:customStyle="1" w:styleId="2">
    <w:name w:val="מיספור2"/>
    <w:basedOn w:val="a"/>
    <w:next w:val="a"/>
    <w:rsid w:val="003324E7"/>
    <w:pPr>
      <w:widowControl/>
      <w:numPr>
        <w:ilvl w:val="1"/>
        <w:numId w:val="14"/>
      </w:numPr>
      <w:autoSpaceDE/>
      <w:autoSpaceDN/>
      <w:adjustRightInd/>
      <w:spacing w:before="120" w:after="60" w:line="360" w:lineRule="auto"/>
      <w:textAlignment w:val="auto"/>
    </w:pPr>
    <w:rPr>
      <w:rFonts w:ascii="Times New Roman" w:eastAsia="Times New Roman" w:hAnsi="Times New Roman" w:cs="David"/>
      <w:color w:val="auto"/>
      <w:spacing w:val="0"/>
      <w:sz w:val="20"/>
      <w:szCs w:val="24"/>
      <w:lang w:eastAsia="he-IL"/>
    </w:rPr>
  </w:style>
  <w:style w:type="paragraph" w:customStyle="1" w:styleId="1">
    <w:name w:val="מספור1"/>
    <w:basedOn w:val="a"/>
    <w:next w:val="a"/>
    <w:rsid w:val="003324E7"/>
    <w:pPr>
      <w:widowControl/>
      <w:numPr>
        <w:numId w:val="14"/>
      </w:numPr>
      <w:autoSpaceDE/>
      <w:autoSpaceDN/>
      <w:adjustRightInd/>
      <w:spacing w:before="120" w:after="60" w:line="360" w:lineRule="auto"/>
      <w:ind w:right="34"/>
      <w:textAlignment w:val="auto"/>
    </w:pPr>
    <w:rPr>
      <w:rFonts w:ascii="Times New Roman" w:eastAsia="Times New Roman" w:hAnsi="Times New Roman" w:cs="David"/>
      <w:spacing w:val="0"/>
      <w:sz w:val="20"/>
      <w:szCs w:val="24"/>
      <w:lang w:eastAsia="en-US"/>
    </w:rPr>
  </w:style>
  <w:style w:type="paragraph" w:customStyle="1" w:styleId="3">
    <w:name w:val="מספור3"/>
    <w:basedOn w:val="a"/>
    <w:next w:val="a"/>
    <w:rsid w:val="003324E7"/>
    <w:pPr>
      <w:widowControl/>
      <w:numPr>
        <w:ilvl w:val="2"/>
        <w:numId w:val="14"/>
      </w:numPr>
      <w:autoSpaceDE/>
      <w:autoSpaceDN/>
      <w:adjustRightInd/>
      <w:spacing w:before="120" w:after="60" w:line="360" w:lineRule="auto"/>
      <w:textAlignment w:val="auto"/>
    </w:pPr>
    <w:rPr>
      <w:rFonts w:ascii="Times New Roman" w:eastAsia="Times New Roman" w:hAnsi="Times New Roman" w:cs="David"/>
      <w:color w:val="auto"/>
      <w:spacing w:val="0"/>
      <w:sz w:val="20"/>
      <w:szCs w:val="24"/>
      <w:lang w:eastAsia="he-IL"/>
    </w:rPr>
  </w:style>
  <w:style w:type="paragraph" w:styleId="ad">
    <w:name w:val="Balloon Text"/>
    <w:basedOn w:val="a"/>
    <w:link w:val="ae"/>
    <w:semiHidden/>
    <w:unhideWhenUsed/>
    <w:rsid w:val="00D42344"/>
    <w:pPr>
      <w:spacing w:before="0" w:line="240" w:lineRule="auto"/>
    </w:pPr>
    <w:rPr>
      <w:rFonts w:ascii="Tahoma" w:hAnsi="Tahoma" w:cs="Tahoma"/>
      <w:sz w:val="16"/>
      <w:szCs w:val="16"/>
    </w:rPr>
  </w:style>
  <w:style w:type="character" w:customStyle="1" w:styleId="ae">
    <w:name w:val="טקסט בלונים תו"/>
    <w:basedOn w:val="a0"/>
    <w:link w:val="ad"/>
    <w:semiHidden/>
    <w:rsid w:val="00D4234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112AB3"/>
    <w:rPr>
      <w:rFonts w:ascii="Arial" w:eastAsia="Arial Unicode MS" w:hAnsi="Arial" w:cs="David"/>
      <w:snapToGrid w:val="0"/>
      <w:color w:val="000000"/>
      <w:sz w:val="14"/>
      <w:lang w:eastAsia="ja-JP"/>
    </w:rPr>
  </w:style>
  <w:style w:type="character" w:styleId="Hyperlink">
    <w:name w:val="Hyperlink"/>
    <w:basedOn w:val="a0"/>
    <w:unhideWhenUsed/>
    <w:rsid w:val="0003404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5213"/>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5D521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5D5213"/>
    <w:rPr>
      <w:sz w:val="36"/>
      <w:szCs w:val="52"/>
    </w:rPr>
  </w:style>
  <w:style w:type="paragraph" w:customStyle="1" w:styleId="Cover3-Haknesset">
    <w:name w:val="Cover 3-Haknesset"/>
    <w:basedOn w:val="Cover1-Reshumot"/>
    <w:rsid w:val="005D5213"/>
    <w:rPr>
      <w:b/>
      <w:bCs/>
      <w:spacing w:val="60"/>
    </w:rPr>
  </w:style>
  <w:style w:type="paragraph" w:customStyle="1" w:styleId="Cover4-Date">
    <w:name w:val="Cover 4-Date"/>
    <w:basedOn w:val="a"/>
    <w:rsid w:val="005D521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5D521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5D521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5D5213"/>
    <w:pPr>
      <w:spacing w:before="120" w:after="120"/>
    </w:pPr>
    <w:rPr>
      <w:color w:val="FF0000"/>
      <w:w w:val="80"/>
    </w:rPr>
  </w:style>
  <w:style w:type="paragraph" w:styleId="a3">
    <w:name w:val="endnote text"/>
    <w:basedOn w:val="a"/>
    <w:semiHidden/>
    <w:rsid w:val="005D5213"/>
    <w:pPr>
      <w:ind w:left="227" w:hanging="227"/>
    </w:pPr>
    <w:rPr>
      <w:sz w:val="14"/>
      <w:szCs w:val="22"/>
    </w:rPr>
  </w:style>
  <w:style w:type="paragraph" w:customStyle="1" w:styleId="TableText">
    <w:name w:val="Table Text"/>
    <w:basedOn w:val="a"/>
    <w:rsid w:val="005D521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5D5213"/>
  </w:style>
  <w:style w:type="paragraph" w:customStyle="1" w:styleId="TableBlock">
    <w:name w:val="Table Block"/>
    <w:basedOn w:val="TableText"/>
    <w:rsid w:val="005D5213"/>
    <w:pPr>
      <w:ind w:right="0"/>
      <w:jc w:val="both"/>
    </w:pPr>
  </w:style>
  <w:style w:type="paragraph" w:customStyle="1" w:styleId="TableHead">
    <w:name w:val="Table Head"/>
    <w:basedOn w:val="TableText"/>
    <w:rsid w:val="005D5213"/>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5D5213"/>
  </w:style>
  <w:style w:type="paragraph" w:customStyle="1" w:styleId="Hesber">
    <w:name w:val="Hesber"/>
    <w:basedOn w:val="a"/>
    <w:rsid w:val="005D5213"/>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5D5213"/>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1,Footnote Reference2,Footnote Reference11,Footnote Reference12,Footnote Reference3,Footnote Reference13,Footnote Reference4,Footnote Reference5,Footnote Reference14,Footnote Reference"/>
    <w:basedOn w:val="a0"/>
    <w:semiHidden/>
    <w:rsid w:val="005D5213"/>
    <w:rPr>
      <w:vertAlign w:val="superscript"/>
    </w:rPr>
  </w:style>
  <w:style w:type="paragraph" w:customStyle="1" w:styleId="HesberHeading">
    <w:name w:val="Hesber Heading"/>
    <w:basedOn w:val="Hesber"/>
    <w:rsid w:val="005D5213"/>
    <w:pPr>
      <w:tabs>
        <w:tab w:val="left" w:pos="624"/>
        <w:tab w:val="left" w:pos="1247"/>
      </w:tabs>
      <w:ind w:firstLine="0"/>
    </w:pPr>
    <w:rPr>
      <w:b/>
      <w:bCs/>
    </w:rPr>
  </w:style>
  <w:style w:type="paragraph" w:customStyle="1" w:styleId="HesberWriters">
    <w:name w:val="Hesber Writers"/>
    <w:basedOn w:val="Hesber"/>
    <w:rsid w:val="005D5213"/>
    <w:pPr>
      <w:spacing w:before="120" w:after="6000"/>
      <w:ind w:left="1418" w:firstLine="0"/>
      <w:jc w:val="right"/>
    </w:pPr>
    <w:rPr>
      <w:b/>
      <w:bCs/>
    </w:rPr>
  </w:style>
  <w:style w:type="paragraph" w:customStyle="1" w:styleId="Hesber1st">
    <w:name w:val="Hesber 1st"/>
    <w:basedOn w:val="Hesber"/>
    <w:rsid w:val="005D5213"/>
    <w:pPr>
      <w:tabs>
        <w:tab w:val="left" w:pos="680"/>
        <w:tab w:val="left" w:pos="1020"/>
      </w:tabs>
      <w:ind w:firstLine="0"/>
    </w:pPr>
  </w:style>
  <w:style w:type="character" w:styleId="a7">
    <w:name w:val="endnote reference"/>
    <w:basedOn w:val="a0"/>
    <w:semiHidden/>
    <w:rsid w:val="005D5213"/>
    <w:rPr>
      <w:vertAlign w:val="superscript"/>
    </w:rPr>
  </w:style>
  <w:style w:type="paragraph" w:customStyle="1" w:styleId="TableBlockOutdent">
    <w:name w:val="Table BlockOutdent"/>
    <w:basedOn w:val="TableBlock"/>
    <w:rsid w:val="005D5213"/>
    <w:pPr>
      <w:ind w:left="624" w:hanging="624"/>
    </w:pPr>
  </w:style>
  <w:style w:type="paragraph" w:styleId="a8">
    <w:name w:val="header"/>
    <w:basedOn w:val="a"/>
    <w:rsid w:val="005D5213"/>
    <w:pPr>
      <w:tabs>
        <w:tab w:val="center" w:pos="4153"/>
        <w:tab w:val="right" w:pos="8306"/>
      </w:tabs>
    </w:pPr>
  </w:style>
  <w:style w:type="paragraph" w:styleId="a9">
    <w:name w:val="footer"/>
    <w:basedOn w:val="a"/>
    <w:rsid w:val="005D5213"/>
    <w:pPr>
      <w:tabs>
        <w:tab w:val="center" w:pos="4153"/>
        <w:tab w:val="right" w:pos="8306"/>
      </w:tabs>
    </w:pPr>
  </w:style>
  <w:style w:type="paragraph" w:customStyle="1" w:styleId="HeadDivreiHesber">
    <w:name w:val="Head DivreiHesber"/>
    <w:basedOn w:val="a"/>
    <w:rsid w:val="005D5213"/>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5D5213"/>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5D5213"/>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List Paragraph"/>
    <w:basedOn w:val="a"/>
    <w:uiPriority w:val="34"/>
    <w:qFormat/>
    <w:rsid w:val="003324E7"/>
    <w:pPr>
      <w:widowControl/>
      <w:autoSpaceDE/>
      <w:autoSpaceDN/>
      <w:bidi w:val="0"/>
      <w:adjustRightInd/>
      <w:spacing w:before="0" w:line="240" w:lineRule="auto"/>
      <w:ind w:left="720" w:firstLine="0"/>
      <w:jc w:val="left"/>
      <w:textAlignment w:val="auto"/>
    </w:pPr>
    <w:rPr>
      <w:rFonts w:ascii="Calibri" w:eastAsia="Times New Roman" w:hAnsi="Calibri" w:cs="Arial"/>
      <w:color w:val="auto"/>
      <w:spacing w:val="0"/>
      <w:sz w:val="22"/>
      <w:szCs w:val="22"/>
      <w:lang w:eastAsia="en-US"/>
    </w:rPr>
  </w:style>
  <w:style w:type="paragraph" w:customStyle="1" w:styleId="2">
    <w:name w:val="מיספור2"/>
    <w:basedOn w:val="a"/>
    <w:next w:val="a"/>
    <w:rsid w:val="003324E7"/>
    <w:pPr>
      <w:widowControl/>
      <w:numPr>
        <w:ilvl w:val="1"/>
        <w:numId w:val="14"/>
      </w:numPr>
      <w:autoSpaceDE/>
      <w:autoSpaceDN/>
      <w:adjustRightInd/>
      <w:spacing w:before="120" w:after="60" w:line="360" w:lineRule="auto"/>
      <w:textAlignment w:val="auto"/>
    </w:pPr>
    <w:rPr>
      <w:rFonts w:ascii="Times New Roman" w:eastAsia="Times New Roman" w:hAnsi="Times New Roman" w:cs="David"/>
      <w:color w:val="auto"/>
      <w:spacing w:val="0"/>
      <w:sz w:val="20"/>
      <w:szCs w:val="24"/>
      <w:lang w:eastAsia="he-IL"/>
    </w:rPr>
  </w:style>
  <w:style w:type="paragraph" w:customStyle="1" w:styleId="1">
    <w:name w:val="מספור1"/>
    <w:basedOn w:val="a"/>
    <w:next w:val="a"/>
    <w:rsid w:val="003324E7"/>
    <w:pPr>
      <w:widowControl/>
      <w:numPr>
        <w:numId w:val="14"/>
      </w:numPr>
      <w:autoSpaceDE/>
      <w:autoSpaceDN/>
      <w:adjustRightInd/>
      <w:spacing w:before="120" w:after="60" w:line="360" w:lineRule="auto"/>
      <w:ind w:right="34"/>
      <w:textAlignment w:val="auto"/>
    </w:pPr>
    <w:rPr>
      <w:rFonts w:ascii="Times New Roman" w:eastAsia="Times New Roman" w:hAnsi="Times New Roman" w:cs="David"/>
      <w:spacing w:val="0"/>
      <w:sz w:val="20"/>
      <w:szCs w:val="24"/>
      <w:lang w:eastAsia="en-US"/>
    </w:rPr>
  </w:style>
  <w:style w:type="paragraph" w:customStyle="1" w:styleId="3">
    <w:name w:val="מספור3"/>
    <w:basedOn w:val="a"/>
    <w:next w:val="a"/>
    <w:rsid w:val="003324E7"/>
    <w:pPr>
      <w:widowControl/>
      <w:numPr>
        <w:ilvl w:val="2"/>
        <w:numId w:val="14"/>
      </w:numPr>
      <w:autoSpaceDE/>
      <w:autoSpaceDN/>
      <w:adjustRightInd/>
      <w:spacing w:before="120" w:after="60" w:line="360" w:lineRule="auto"/>
      <w:textAlignment w:val="auto"/>
    </w:pPr>
    <w:rPr>
      <w:rFonts w:ascii="Times New Roman" w:eastAsia="Times New Roman" w:hAnsi="Times New Roman" w:cs="David"/>
      <w:color w:val="auto"/>
      <w:spacing w:val="0"/>
      <w:sz w:val="20"/>
      <w:szCs w:val="24"/>
      <w:lang w:eastAsia="he-IL"/>
    </w:rPr>
  </w:style>
  <w:style w:type="paragraph" w:styleId="ad">
    <w:name w:val="Balloon Text"/>
    <w:basedOn w:val="a"/>
    <w:link w:val="ae"/>
    <w:semiHidden/>
    <w:unhideWhenUsed/>
    <w:rsid w:val="00D42344"/>
    <w:pPr>
      <w:spacing w:before="0" w:line="240" w:lineRule="auto"/>
    </w:pPr>
    <w:rPr>
      <w:rFonts w:ascii="Tahoma" w:hAnsi="Tahoma" w:cs="Tahoma"/>
      <w:sz w:val="16"/>
      <w:szCs w:val="16"/>
    </w:rPr>
  </w:style>
  <w:style w:type="character" w:customStyle="1" w:styleId="ae">
    <w:name w:val="טקסט בלונים תו"/>
    <w:basedOn w:val="a0"/>
    <w:link w:val="ad"/>
    <w:semiHidden/>
    <w:rsid w:val="00D4234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112AB3"/>
    <w:rPr>
      <w:rFonts w:ascii="Arial" w:eastAsia="Arial Unicode MS" w:hAnsi="Arial" w:cs="David"/>
      <w:snapToGrid w:val="0"/>
      <w:color w:val="000000"/>
      <w:sz w:val="14"/>
      <w:lang w:eastAsia="ja-JP"/>
    </w:rPr>
  </w:style>
  <w:style w:type="character" w:styleId="Hyperlink">
    <w:name w:val="Hyperlink"/>
    <w:basedOn w:val="a0"/>
    <w:unhideWhenUsed/>
    <w:rsid w:val="0003404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439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A5F1FE-EFD3-47FA-8F71-07B2A777CF7B}"/>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E2E3A2A1-9F8A-4B29-AD10-A7A8E45E85FE}"/>
</file>

<file path=docProps/app.xml><?xml version="1.0" encoding="utf-8"?>
<Properties xmlns="http://schemas.openxmlformats.org/officeDocument/2006/extended-properties" xmlns:vt="http://schemas.openxmlformats.org/officeDocument/2006/docPropsVTypes">
  <Template>Normal</Template>
  <TotalTime>1</TotalTime>
  <Pages>1</Pages>
  <Words>1174</Words>
  <Characters>6436</Characters>
  <Application>Microsoft Office Word</Application>
  <DocSecurity>0</DocSecurity>
  <Lines>229</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 </Company>
  <LinksUpToDate>false</LinksUpToDate>
  <CharactersWithSpaces>7452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subject/>
  <dc:creator>אסף גולדפרב</dc:creator>
  <cp:keywords/>
  <dc:description/>
  <cp:lastModifiedBy>אושרת כהן</cp:lastModifiedBy>
  <cp:revision>2</cp:revision>
  <cp:lastPrinted>2013-11-14T08:56:00Z</cp:lastPrinted>
  <dcterms:created xsi:type="dcterms:W3CDTF">2013-07-30T07:50:00Z</dcterms:created>
  <dcterms:modified xsi:type="dcterms:W3CDTF">2013-11-14T08:56:00Z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