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0CD" w:rsidRDefault="002400CD" w:rsidP="002400CD">
      <w:pPr>
        <w:spacing w:line="360" w:lineRule="auto"/>
        <w:jc w:val="both"/>
        <w:rPr>
          <w:rFonts w:cs="David"/>
          <w:sz w:val="24"/>
          <w:szCs w:val="24"/>
          <w:rtl/>
        </w:rPr>
      </w:pPr>
      <w:r w:rsidRPr="000C1AD7">
        <w:rPr>
          <w:rFonts w:cs="David" w:hint="cs"/>
          <w:sz w:val="24"/>
          <w:szCs w:val="24"/>
          <w:rtl/>
        </w:rPr>
        <w:t xml:space="preserve">הנחיית יועץ/פ"מ </w:t>
      </w:r>
      <w:r w:rsidRPr="000C1AD7">
        <w:rPr>
          <w:rFonts w:cs="David"/>
          <w:sz w:val="24"/>
          <w:szCs w:val="24"/>
          <w:rtl/>
        </w:rPr>
        <w:t>–</w:t>
      </w:r>
      <w:r w:rsidRPr="000C1AD7">
        <w:rPr>
          <w:rFonts w:cs="David" w:hint="cs"/>
          <w:sz w:val="24"/>
          <w:szCs w:val="24"/>
          <w:rtl/>
        </w:rPr>
        <w:t xml:space="preserve"> מדיניות האכיפה בעבירות של הלבנת הון כאשר עבירות המקור הן עבירות מס</w:t>
      </w:r>
      <w:r w:rsidR="00771CC1">
        <w:rPr>
          <w:rFonts w:cs="David" w:hint="cs"/>
          <w:sz w:val="24"/>
          <w:szCs w:val="24"/>
          <w:rtl/>
        </w:rPr>
        <w:t xml:space="preserve"> </w:t>
      </w:r>
    </w:p>
    <w:p w:rsidR="002400CD" w:rsidRPr="00D02DAB"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רקע</w:t>
      </w:r>
    </w:p>
    <w:p w:rsidR="002400CD" w:rsidRDefault="002400CD" w:rsidP="00FF40FC">
      <w:pPr>
        <w:keepLines/>
        <w:numPr>
          <w:ilvl w:val="0"/>
          <w:numId w:val="2"/>
        </w:numPr>
        <w:spacing w:after="0" w:line="360" w:lineRule="auto"/>
        <w:jc w:val="both"/>
        <w:rPr>
          <w:rFonts w:cs="David"/>
          <w:sz w:val="24"/>
          <w:szCs w:val="24"/>
        </w:rPr>
      </w:pPr>
      <w:r w:rsidRPr="000C1AD7">
        <w:rPr>
          <w:rFonts w:cs="David" w:hint="cs"/>
          <w:sz w:val="24"/>
          <w:szCs w:val="24"/>
          <w:rtl/>
        </w:rPr>
        <w:t xml:space="preserve">הנחיה זו עניינה </w:t>
      </w:r>
      <w:r>
        <w:rPr>
          <w:rFonts w:cs="David" w:hint="cs"/>
          <w:sz w:val="24"/>
          <w:szCs w:val="24"/>
          <w:rtl/>
        </w:rPr>
        <w:t xml:space="preserve">בעבירות הלבנת הון </w:t>
      </w:r>
      <w:r w:rsidR="00FF40FC">
        <w:rPr>
          <w:rFonts w:cs="David" w:hint="cs"/>
          <w:sz w:val="24"/>
          <w:szCs w:val="24"/>
          <w:rtl/>
        </w:rPr>
        <w:t xml:space="preserve">ברכוש אסור המתייחס לעבירות מקור שהן </w:t>
      </w:r>
      <w:r>
        <w:rPr>
          <w:rFonts w:cs="David" w:hint="cs"/>
          <w:sz w:val="24"/>
          <w:szCs w:val="24"/>
          <w:rtl/>
        </w:rPr>
        <w:t>עבירות מס הק</w:t>
      </w:r>
      <w:bookmarkStart w:id="0" w:name="_GoBack"/>
      <w:bookmarkEnd w:id="0"/>
      <w:r>
        <w:rPr>
          <w:rFonts w:cs="David" w:hint="cs"/>
          <w:sz w:val="24"/>
          <w:szCs w:val="24"/>
          <w:rtl/>
        </w:rPr>
        <w:t xml:space="preserve">בועות בתוספת הראשונה לחוק איסור הלבנת הון: סעיף 220 לפקודת מס הכנסה, סעיף 117 לחוק מע"מ וסעיף 98ג לחוק מיסוי מקרקעין. </w:t>
      </w:r>
    </w:p>
    <w:p w:rsidR="002400CD" w:rsidRPr="000C1AD7" w:rsidRDefault="002400CD" w:rsidP="00767DD6">
      <w:pPr>
        <w:keepLines/>
        <w:numPr>
          <w:ilvl w:val="0"/>
          <w:numId w:val="2"/>
        </w:numPr>
        <w:spacing w:after="0" w:line="360" w:lineRule="auto"/>
        <w:jc w:val="both"/>
        <w:rPr>
          <w:rFonts w:cs="David"/>
          <w:sz w:val="24"/>
          <w:szCs w:val="24"/>
          <w:rtl/>
        </w:rPr>
      </w:pPr>
      <w:r>
        <w:rPr>
          <w:rFonts w:cs="David" w:hint="cs"/>
          <w:sz w:val="24"/>
          <w:szCs w:val="24"/>
          <w:rtl/>
        </w:rPr>
        <w:t>לאחרונה תוקן חוק איסור הלבנת הון והתווספו לרשימת עבירות המקור המנויות בתוספת הראשונה לחוק עבירות .... כן נקבע כי עבירות אלו יהוו עבירות מקור בנסיבות המפורטות להלן [...]</w:t>
      </w:r>
    </w:p>
    <w:p w:rsidR="002400CD" w:rsidRPr="009076FE" w:rsidRDefault="002400CD" w:rsidP="009076FE">
      <w:pPr>
        <w:keepLines/>
        <w:numPr>
          <w:ilvl w:val="0"/>
          <w:numId w:val="2"/>
        </w:numPr>
        <w:spacing w:after="0" w:line="360" w:lineRule="auto"/>
        <w:jc w:val="both"/>
        <w:rPr>
          <w:rFonts w:cs="David"/>
          <w:sz w:val="24"/>
          <w:szCs w:val="24"/>
          <w:rtl/>
        </w:rPr>
      </w:pPr>
      <w:r w:rsidRPr="000C1AD7">
        <w:rPr>
          <w:rFonts w:cs="David" w:hint="cs"/>
          <w:sz w:val="24"/>
          <w:szCs w:val="24"/>
          <w:rtl/>
        </w:rPr>
        <w:t xml:space="preserve">מטרתה של הנחיה זו </w:t>
      </w:r>
      <w:r w:rsidR="00871821">
        <w:rPr>
          <w:rFonts w:cs="David" w:hint="cs"/>
          <w:sz w:val="24"/>
          <w:szCs w:val="24"/>
          <w:rtl/>
        </w:rPr>
        <w:t>להבנות את שיקול דעת הפרקליט באשר לנסיבות בהן ראוי להוסיף אישום בעבירת הלבנת הון מקום שעבירת המקור נשוא ההלבנה הינה אחת משלושת העבירות המנויות לעיל.</w:t>
      </w:r>
    </w:p>
    <w:p w:rsidR="002400CD" w:rsidRDefault="002400CD" w:rsidP="002400CD">
      <w:pPr>
        <w:spacing w:line="360" w:lineRule="auto"/>
        <w:jc w:val="both"/>
        <w:rPr>
          <w:rFonts w:cs="David"/>
          <w:sz w:val="24"/>
          <w:szCs w:val="24"/>
        </w:rPr>
      </w:pPr>
    </w:p>
    <w:p w:rsidR="002400CD"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מדיניות התביעה בהגשת כתבי אישום</w:t>
      </w:r>
    </w:p>
    <w:p w:rsidR="002400CD" w:rsidRDefault="002400CD" w:rsidP="00771CC1">
      <w:pPr>
        <w:numPr>
          <w:ilvl w:val="0"/>
          <w:numId w:val="3"/>
        </w:numPr>
        <w:spacing w:line="360" w:lineRule="auto"/>
        <w:jc w:val="both"/>
        <w:rPr>
          <w:rFonts w:cs="David"/>
          <w:sz w:val="24"/>
          <w:szCs w:val="24"/>
        </w:rPr>
      </w:pPr>
      <w:r>
        <w:rPr>
          <w:rFonts w:cs="David" w:hint="cs"/>
          <w:sz w:val="24"/>
          <w:szCs w:val="24"/>
          <w:rtl/>
        </w:rPr>
        <w:t>ככלל, הגש</w:t>
      </w:r>
      <w:r w:rsidR="00663ED2">
        <w:rPr>
          <w:rFonts w:cs="David" w:hint="cs"/>
          <w:sz w:val="24"/>
          <w:szCs w:val="24"/>
          <w:rtl/>
        </w:rPr>
        <w:t>ת כתב אישום בעבירה של הלבנת הון</w:t>
      </w:r>
      <w:r>
        <w:rPr>
          <w:rFonts w:cs="David" w:hint="cs"/>
          <w:sz w:val="24"/>
          <w:szCs w:val="24"/>
          <w:rtl/>
        </w:rPr>
        <w:t xml:space="preserve"> דורשת </w:t>
      </w:r>
      <w:r w:rsidR="00871821">
        <w:rPr>
          <w:rFonts w:cs="David" w:hint="cs"/>
          <w:sz w:val="24"/>
          <w:szCs w:val="24"/>
          <w:rtl/>
        </w:rPr>
        <w:t xml:space="preserve">פגיעה </w:t>
      </w:r>
      <w:r w:rsidR="00BC3034">
        <w:rPr>
          <w:rFonts w:cs="David" w:hint="cs"/>
          <w:sz w:val="24"/>
          <w:szCs w:val="24"/>
          <w:rtl/>
        </w:rPr>
        <w:t>ב</w:t>
      </w:r>
      <w:r>
        <w:rPr>
          <w:rFonts w:cs="David" w:hint="cs"/>
          <w:sz w:val="24"/>
          <w:szCs w:val="24"/>
          <w:rtl/>
        </w:rPr>
        <w:t>ערך מוגן נוסף פרט ל</w:t>
      </w:r>
      <w:r w:rsidR="00771CC1">
        <w:rPr>
          <w:rFonts w:cs="David" w:hint="cs"/>
          <w:sz w:val="24"/>
          <w:szCs w:val="24"/>
          <w:rtl/>
        </w:rPr>
        <w:t>ע</w:t>
      </w:r>
      <w:r w:rsidR="00AD4DFE">
        <w:rPr>
          <w:rFonts w:cs="David" w:hint="cs"/>
          <w:sz w:val="24"/>
          <w:szCs w:val="24"/>
          <w:rtl/>
        </w:rPr>
        <w:t>בירת המקור</w:t>
      </w:r>
      <w:r>
        <w:rPr>
          <w:rFonts w:cs="David" w:hint="cs"/>
          <w:sz w:val="24"/>
          <w:szCs w:val="24"/>
          <w:rtl/>
        </w:rPr>
        <w:t>.</w:t>
      </w:r>
    </w:p>
    <w:p w:rsidR="002400CD" w:rsidRDefault="00871821" w:rsidP="00871821">
      <w:pPr>
        <w:numPr>
          <w:ilvl w:val="0"/>
          <w:numId w:val="3"/>
        </w:numPr>
        <w:spacing w:line="360" w:lineRule="auto"/>
        <w:jc w:val="both"/>
        <w:rPr>
          <w:rFonts w:cs="David"/>
          <w:sz w:val="24"/>
          <w:szCs w:val="24"/>
        </w:rPr>
      </w:pPr>
      <w:r>
        <w:rPr>
          <w:rFonts w:cs="David" w:hint="cs"/>
          <w:sz w:val="24"/>
          <w:szCs w:val="24"/>
          <w:rtl/>
        </w:rPr>
        <w:t>הפגיעה ב</w:t>
      </w:r>
      <w:r w:rsidR="002400CD">
        <w:rPr>
          <w:rFonts w:cs="David" w:hint="cs"/>
          <w:sz w:val="24"/>
          <w:szCs w:val="24"/>
          <w:rtl/>
        </w:rPr>
        <w:t xml:space="preserve">ערך המוגן </w:t>
      </w:r>
      <w:r>
        <w:rPr>
          <w:rFonts w:cs="David" w:hint="cs"/>
          <w:sz w:val="24"/>
          <w:szCs w:val="24"/>
          <w:rtl/>
        </w:rPr>
        <w:t>בחוק איסור הלבנת הון עשויה לבוא לידי ביטוי ב</w:t>
      </w:r>
      <w:r w:rsidR="002400CD">
        <w:rPr>
          <w:rFonts w:cs="David" w:hint="cs"/>
          <w:sz w:val="24"/>
          <w:szCs w:val="24"/>
          <w:rtl/>
        </w:rPr>
        <w:t xml:space="preserve">הסתרה והסוואת </w:t>
      </w:r>
      <w:r>
        <w:rPr>
          <w:rFonts w:cs="David" w:hint="cs"/>
          <w:sz w:val="24"/>
          <w:szCs w:val="24"/>
          <w:rtl/>
        </w:rPr>
        <w:t xml:space="preserve">של הכספים נשוא עבירות המס, מיקומם, זהות הבעלים האמיתי שלהם ועוד. הדבר </w:t>
      </w:r>
      <w:r w:rsidR="002400CD">
        <w:rPr>
          <w:rFonts w:cs="David" w:hint="cs"/>
          <w:sz w:val="24"/>
          <w:szCs w:val="24"/>
          <w:rtl/>
        </w:rPr>
        <w:t xml:space="preserve"> יכול לבוא לידי ביטוי, למשל, </w:t>
      </w:r>
      <w:r>
        <w:rPr>
          <w:rFonts w:cs="David" w:hint="cs"/>
          <w:sz w:val="24"/>
          <w:szCs w:val="24"/>
          <w:rtl/>
        </w:rPr>
        <w:t xml:space="preserve">בהפקדת </w:t>
      </w:r>
      <w:r w:rsidR="002400CD">
        <w:rPr>
          <w:rFonts w:cs="David" w:hint="cs"/>
          <w:sz w:val="24"/>
          <w:szCs w:val="24"/>
          <w:rtl/>
        </w:rPr>
        <w:t>כספי המס שהועלמו לחשבונות על שם אנשים אחרים, לחשבונות בחו"ל, שימוש באנשי קש או בחברות קש, הקמת ישויות משפטיו</w:t>
      </w:r>
      <w:r w:rsidR="009076FE">
        <w:rPr>
          <w:rFonts w:cs="David" w:hint="cs"/>
          <w:sz w:val="24"/>
          <w:szCs w:val="24"/>
          <w:rtl/>
        </w:rPr>
        <w:t>ת מורכבות, ניצול המערכת הפיננסית</w:t>
      </w:r>
      <w:r w:rsidR="002400CD">
        <w:rPr>
          <w:rFonts w:cs="David" w:hint="cs"/>
          <w:sz w:val="24"/>
          <w:szCs w:val="24"/>
          <w:rtl/>
        </w:rPr>
        <w:t xml:space="preserve"> או העסקית לצורך הסוואת מקור הרכוש</w:t>
      </w:r>
      <w:r>
        <w:rPr>
          <w:rFonts w:cs="David" w:hint="cs"/>
          <w:sz w:val="24"/>
          <w:szCs w:val="24"/>
          <w:rtl/>
        </w:rPr>
        <w:t>, ערבובם בעסק אחר</w:t>
      </w:r>
      <w:r w:rsidR="002400CD">
        <w:rPr>
          <w:rFonts w:cs="David" w:hint="cs"/>
          <w:sz w:val="24"/>
          <w:szCs w:val="24"/>
          <w:rtl/>
        </w:rPr>
        <w:t xml:space="preserve"> ועוד.</w:t>
      </w:r>
    </w:p>
    <w:p w:rsidR="00F35729" w:rsidRPr="00F35729" w:rsidRDefault="002400CD" w:rsidP="004E592B">
      <w:pPr>
        <w:numPr>
          <w:ilvl w:val="0"/>
          <w:numId w:val="3"/>
        </w:numPr>
        <w:spacing w:line="360" w:lineRule="auto"/>
        <w:jc w:val="both"/>
        <w:rPr>
          <w:rFonts w:cs="David"/>
          <w:sz w:val="24"/>
          <w:szCs w:val="24"/>
        </w:rPr>
      </w:pPr>
      <w:r w:rsidRPr="00196F4F">
        <w:rPr>
          <w:rFonts w:cs="David" w:hint="cs"/>
          <w:sz w:val="24"/>
          <w:szCs w:val="24"/>
          <w:rtl/>
        </w:rPr>
        <w:t xml:space="preserve">לפיכך, על אף שהגדרת "פעולה ברכוש" כוללת החזקה (ראו סעיף 1 לחוק איסור הלבנת הון), אין </w:t>
      </w:r>
      <w:r w:rsidR="00147269" w:rsidRPr="00196F4F">
        <w:rPr>
          <w:rFonts w:cs="David" w:hint="cs"/>
          <w:sz w:val="24"/>
          <w:szCs w:val="24"/>
          <w:rtl/>
        </w:rPr>
        <w:t xml:space="preserve">ככלל </w:t>
      </w:r>
      <w:r w:rsidRPr="00196F4F">
        <w:rPr>
          <w:rFonts w:cs="David" w:hint="cs"/>
          <w:sz w:val="24"/>
          <w:szCs w:val="24"/>
          <w:rtl/>
        </w:rPr>
        <w:t xml:space="preserve">מקום </w:t>
      </w:r>
      <w:r w:rsidR="00321895">
        <w:rPr>
          <w:rFonts w:cs="David" w:hint="cs"/>
          <w:sz w:val="24"/>
          <w:szCs w:val="24"/>
          <w:rtl/>
        </w:rPr>
        <w:t xml:space="preserve">להגיש כתב אישום בעבירה </w:t>
      </w:r>
      <w:r w:rsidR="00B371C5">
        <w:rPr>
          <w:rFonts w:cs="David" w:hint="cs"/>
          <w:sz w:val="24"/>
          <w:szCs w:val="24"/>
          <w:rtl/>
        </w:rPr>
        <w:t>לפי סעיף 4</w:t>
      </w:r>
      <w:r w:rsidRPr="00196F4F">
        <w:rPr>
          <w:rFonts w:cs="David" w:hint="cs"/>
          <w:sz w:val="24"/>
          <w:szCs w:val="24"/>
          <w:rtl/>
        </w:rPr>
        <w:t xml:space="preserve"> </w:t>
      </w:r>
      <w:r w:rsidR="00810F2D">
        <w:rPr>
          <w:rFonts w:cs="David" w:hint="cs"/>
          <w:sz w:val="24"/>
          <w:szCs w:val="24"/>
          <w:rtl/>
        </w:rPr>
        <w:t xml:space="preserve">לחוק </w:t>
      </w:r>
      <w:r w:rsidR="00963327">
        <w:rPr>
          <w:rFonts w:cs="David" w:hint="cs"/>
          <w:sz w:val="24"/>
          <w:szCs w:val="24"/>
          <w:rtl/>
        </w:rPr>
        <w:t xml:space="preserve">איסור הלבנת הון </w:t>
      </w:r>
      <w:r w:rsidR="00196F4F">
        <w:rPr>
          <w:rFonts w:cs="David" w:hint="cs"/>
          <w:sz w:val="24"/>
          <w:szCs w:val="24"/>
          <w:rtl/>
        </w:rPr>
        <w:t xml:space="preserve">נגד </w:t>
      </w:r>
      <w:r w:rsidR="004E592B">
        <w:rPr>
          <w:rFonts w:cs="David" w:hint="cs"/>
          <w:sz w:val="24"/>
          <w:szCs w:val="24"/>
          <w:rtl/>
        </w:rPr>
        <w:t>מבצע עבירת המקור</w:t>
      </w:r>
      <w:r w:rsidR="00196F4F">
        <w:rPr>
          <w:rFonts w:cs="David" w:hint="cs"/>
          <w:sz w:val="24"/>
          <w:szCs w:val="24"/>
          <w:rtl/>
        </w:rPr>
        <w:t xml:space="preserve">, בגין עצם החזקת הרכוש, למעט במקרים חריגים, </w:t>
      </w:r>
      <w:r w:rsidR="005C679C">
        <w:rPr>
          <w:rFonts w:cs="David" w:hint="cs"/>
          <w:sz w:val="24"/>
          <w:szCs w:val="24"/>
          <w:rtl/>
        </w:rPr>
        <w:t xml:space="preserve">באישור פרקליט מחוז, </w:t>
      </w:r>
      <w:r w:rsidR="00196F4F">
        <w:rPr>
          <w:rFonts w:cs="David" w:hint="cs"/>
          <w:sz w:val="24"/>
          <w:szCs w:val="24"/>
          <w:rtl/>
        </w:rPr>
        <w:t xml:space="preserve">לדוגמא: </w:t>
      </w:r>
    </w:p>
    <w:p w:rsidR="00196F4F" w:rsidRDefault="00196F4F" w:rsidP="00196F4F">
      <w:pPr>
        <w:numPr>
          <w:ilvl w:val="1"/>
          <w:numId w:val="7"/>
        </w:numPr>
        <w:spacing w:line="360" w:lineRule="auto"/>
        <w:jc w:val="both"/>
        <w:rPr>
          <w:rFonts w:cs="David"/>
          <w:sz w:val="24"/>
          <w:szCs w:val="24"/>
        </w:rPr>
      </w:pPr>
      <w:r>
        <w:rPr>
          <w:rFonts w:cs="David" w:hint="cs"/>
          <w:sz w:val="24"/>
          <w:szCs w:val="24"/>
          <w:rtl/>
        </w:rPr>
        <w:t xml:space="preserve">כאשר החזקת הרכוש בוצעה בנסיבות </w:t>
      </w:r>
      <w:r w:rsidR="00F35729">
        <w:rPr>
          <w:rFonts w:cs="David" w:hint="cs"/>
          <w:sz w:val="24"/>
          <w:szCs w:val="24"/>
          <w:rtl/>
        </w:rPr>
        <w:t>שיש בהן משום פעולת הסתרה מובהקת.</w:t>
      </w:r>
      <w:r>
        <w:rPr>
          <w:rFonts w:cs="David" w:hint="cs"/>
          <w:sz w:val="24"/>
          <w:szCs w:val="24"/>
          <w:rtl/>
        </w:rPr>
        <w:t xml:space="preserve"> </w:t>
      </w:r>
    </w:p>
    <w:p w:rsidR="00F35729" w:rsidRDefault="004A713B" w:rsidP="00196F4F">
      <w:pPr>
        <w:numPr>
          <w:ilvl w:val="1"/>
          <w:numId w:val="7"/>
        </w:numPr>
        <w:spacing w:line="360" w:lineRule="auto"/>
        <w:jc w:val="both"/>
        <w:rPr>
          <w:rFonts w:cs="David"/>
          <w:sz w:val="24"/>
          <w:szCs w:val="24"/>
        </w:rPr>
      </w:pPr>
      <w:r>
        <w:rPr>
          <w:rFonts w:cs="David" w:hint="cs"/>
          <w:sz w:val="24"/>
          <w:szCs w:val="24"/>
          <w:rtl/>
        </w:rPr>
        <w:t xml:space="preserve">כאשר </w:t>
      </w:r>
      <w:r w:rsidR="00F35729">
        <w:rPr>
          <w:rFonts w:cs="David" w:hint="cs"/>
          <w:sz w:val="24"/>
          <w:szCs w:val="24"/>
          <w:rtl/>
        </w:rPr>
        <w:t>עב</w:t>
      </w:r>
      <w:r>
        <w:rPr>
          <w:rFonts w:cs="David" w:hint="cs"/>
          <w:sz w:val="24"/>
          <w:szCs w:val="24"/>
          <w:rtl/>
        </w:rPr>
        <w:t>ירת המקור</w:t>
      </w:r>
      <w:r w:rsidR="00601ABC">
        <w:rPr>
          <w:rFonts w:cs="David" w:hint="cs"/>
          <w:sz w:val="24"/>
          <w:szCs w:val="24"/>
          <w:rtl/>
        </w:rPr>
        <w:t xml:space="preserve"> נעשתה בזיקה לארגון פשיעה, </w:t>
      </w:r>
      <w:r w:rsidR="00F35729">
        <w:rPr>
          <w:rFonts w:cs="David" w:hint="cs"/>
          <w:sz w:val="24"/>
          <w:szCs w:val="24"/>
          <w:rtl/>
        </w:rPr>
        <w:t>קשורה למימון טרור</w:t>
      </w:r>
      <w:r w:rsidR="00601ABC">
        <w:rPr>
          <w:rFonts w:cs="David" w:hint="cs"/>
          <w:sz w:val="24"/>
          <w:szCs w:val="24"/>
          <w:rtl/>
        </w:rPr>
        <w:t xml:space="preserve"> או לעבירה בדרגת חומרה מיוחדת אחרת</w:t>
      </w:r>
      <w:r w:rsidR="00F35729">
        <w:rPr>
          <w:rFonts w:cs="David" w:hint="cs"/>
          <w:sz w:val="24"/>
          <w:szCs w:val="24"/>
          <w:rtl/>
        </w:rPr>
        <w:t>.</w:t>
      </w:r>
    </w:p>
    <w:p w:rsidR="00196F4F" w:rsidRDefault="00196F4F" w:rsidP="00196F4F">
      <w:pPr>
        <w:numPr>
          <w:ilvl w:val="1"/>
          <w:numId w:val="7"/>
        </w:numPr>
        <w:spacing w:line="360" w:lineRule="auto"/>
        <w:jc w:val="both"/>
        <w:rPr>
          <w:rFonts w:cs="David"/>
          <w:sz w:val="24"/>
          <w:szCs w:val="24"/>
        </w:rPr>
      </w:pPr>
      <w:r>
        <w:rPr>
          <w:rFonts w:cs="David" w:hint="cs"/>
          <w:sz w:val="24"/>
          <w:szCs w:val="24"/>
          <w:rtl/>
        </w:rPr>
        <w:t>כאשר האופן שבו הוחזק הרכוש מקשה על שיוכו לעבריין שביצע את עבירת המקור, למשל כאשר ההחזקה מבוצעת יחד עם אחר.</w:t>
      </w:r>
    </w:p>
    <w:p w:rsidR="00F35729" w:rsidRDefault="00F35729" w:rsidP="00752EE2">
      <w:pPr>
        <w:numPr>
          <w:ilvl w:val="1"/>
          <w:numId w:val="7"/>
        </w:numPr>
        <w:spacing w:line="360" w:lineRule="auto"/>
        <w:jc w:val="both"/>
        <w:rPr>
          <w:rFonts w:cs="David"/>
          <w:sz w:val="24"/>
          <w:szCs w:val="24"/>
        </w:rPr>
      </w:pPr>
      <w:r>
        <w:rPr>
          <w:rFonts w:cs="David" w:hint="cs"/>
          <w:sz w:val="24"/>
          <w:szCs w:val="24"/>
          <w:rtl/>
        </w:rPr>
        <w:lastRenderedPageBreak/>
        <w:t xml:space="preserve">כאשר </w:t>
      </w:r>
      <w:r w:rsidR="00B371C5">
        <w:rPr>
          <w:rFonts w:cs="David" w:hint="cs"/>
          <w:sz w:val="24"/>
          <w:szCs w:val="24"/>
          <w:rtl/>
        </w:rPr>
        <w:t xml:space="preserve">לא ניתן להעמיד לדין בעבירת המקור (למשל </w:t>
      </w:r>
      <w:r w:rsidR="00752EE2">
        <w:rPr>
          <w:rFonts w:cs="David" w:hint="cs"/>
          <w:sz w:val="24"/>
          <w:szCs w:val="24"/>
          <w:rtl/>
        </w:rPr>
        <w:t>בשל התיישנות ,</w:t>
      </w:r>
      <w:r w:rsidR="00B371C5">
        <w:rPr>
          <w:rFonts w:cs="David" w:hint="cs"/>
          <w:sz w:val="24"/>
          <w:szCs w:val="24"/>
          <w:rtl/>
        </w:rPr>
        <w:t>אי כשירות לעמידה לדין וכו')</w:t>
      </w:r>
      <w:r>
        <w:rPr>
          <w:rFonts w:cs="David" w:hint="cs"/>
          <w:sz w:val="24"/>
          <w:szCs w:val="24"/>
          <w:rtl/>
        </w:rPr>
        <w:t>.</w:t>
      </w:r>
    </w:p>
    <w:p w:rsidR="002400CD" w:rsidRDefault="00196F4F" w:rsidP="009E02CB">
      <w:pPr>
        <w:numPr>
          <w:ilvl w:val="0"/>
          <w:numId w:val="3"/>
        </w:numPr>
        <w:spacing w:line="360" w:lineRule="auto"/>
        <w:jc w:val="both"/>
        <w:rPr>
          <w:rFonts w:cs="David"/>
          <w:sz w:val="24"/>
          <w:szCs w:val="24"/>
        </w:rPr>
      </w:pPr>
      <w:r>
        <w:rPr>
          <w:rFonts w:cs="David" w:hint="cs"/>
          <w:sz w:val="24"/>
          <w:szCs w:val="24"/>
          <w:rtl/>
        </w:rPr>
        <w:t xml:space="preserve">בנוגע לעבירת מס כעבירת מקור, </w:t>
      </w:r>
      <w:r w:rsidR="001A7741">
        <w:rPr>
          <w:rFonts w:cs="David" w:hint="cs"/>
          <w:sz w:val="24"/>
          <w:szCs w:val="24"/>
          <w:rtl/>
        </w:rPr>
        <w:t xml:space="preserve">שאינה קשורה לרכוש אסור אחר, </w:t>
      </w:r>
      <w:r w:rsidR="009E02CB" w:rsidRPr="00196F4F">
        <w:rPr>
          <w:rFonts w:cs="David" w:hint="cs"/>
          <w:sz w:val="24"/>
          <w:szCs w:val="24"/>
          <w:rtl/>
        </w:rPr>
        <w:t xml:space="preserve">אין ככלל מקום </w:t>
      </w:r>
      <w:r w:rsidR="009E02CB">
        <w:rPr>
          <w:rFonts w:cs="David" w:hint="cs"/>
          <w:sz w:val="24"/>
          <w:szCs w:val="24"/>
          <w:rtl/>
        </w:rPr>
        <w:t>להגיש כתב אישום בעבירה לפי סעיף 4</w:t>
      </w:r>
      <w:r w:rsidR="009E02CB" w:rsidRPr="00196F4F">
        <w:rPr>
          <w:rFonts w:cs="David" w:hint="cs"/>
          <w:sz w:val="24"/>
          <w:szCs w:val="24"/>
          <w:rtl/>
        </w:rPr>
        <w:t xml:space="preserve"> </w:t>
      </w:r>
      <w:r w:rsidR="009E02CB">
        <w:rPr>
          <w:rFonts w:cs="David" w:hint="cs"/>
          <w:sz w:val="24"/>
          <w:szCs w:val="24"/>
          <w:rtl/>
        </w:rPr>
        <w:t xml:space="preserve">לחוק איסור הלבנת הון </w:t>
      </w:r>
      <w:r w:rsidR="00366C87">
        <w:rPr>
          <w:rFonts w:cs="David" w:hint="cs"/>
          <w:sz w:val="24"/>
          <w:szCs w:val="24"/>
          <w:rtl/>
        </w:rPr>
        <w:t xml:space="preserve">נגד מעלים המס </w:t>
      </w:r>
      <w:r w:rsidR="002400CD" w:rsidRPr="00196F4F">
        <w:rPr>
          <w:rFonts w:cs="David" w:hint="cs"/>
          <w:sz w:val="24"/>
          <w:szCs w:val="24"/>
          <w:rtl/>
        </w:rPr>
        <w:t xml:space="preserve">כאשר הפעולה ברכוש של מעלים המס </w:t>
      </w:r>
      <w:r w:rsidR="00432BA6" w:rsidRPr="00196F4F">
        <w:rPr>
          <w:rFonts w:cs="David" w:hint="cs"/>
          <w:sz w:val="24"/>
          <w:szCs w:val="24"/>
          <w:rtl/>
        </w:rPr>
        <w:t xml:space="preserve">מתמצית </w:t>
      </w:r>
      <w:r w:rsidR="00030D77">
        <w:rPr>
          <w:rFonts w:cs="David" w:hint="cs"/>
          <w:sz w:val="24"/>
          <w:szCs w:val="24"/>
          <w:rtl/>
        </w:rPr>
        <w:t>ב</w:t>
      </w:r>
      <w:r w:rsidR="00366C87">
        <w:rPr>
          <w:rFonts w:cs="David" w:hint="cs"/>
          <w:sz w:val="24"/>
          <w:szCs w:val="24"/>
          <w:rtl/>
        </w:rPr>
        <w:t>המשך החזקת</w:t>
      </w:r>
      <w:r w:rsidR="001A7741">
        <w:rPr>
          <w:rFonts w:cs="David" w:hint="cs"/>
          <w:sz w:val="24"/>
          <w:szCs w:val="24"/>
          <w:rtl/>
        </w:rPr>
        <w:t xml:space="preserve"> ההכנסה שהועלמה</w:t>
      </w:r>
      <w:r w:rsidR="00366C87">
        <w:rPr>
          <w:rFonts w:cs="David" w:hint="cs"/>
          <w:sz w:val="24"/>
          <w:szCs w:val="24"/>
          <w:rtl/>
        </w:rPr>
        <w:t xml:space="preserve"> </w:t>
      </w:r>
      <w:r w:rsidR="00432BA6" w:rsidRPr="00196F4F">
        <w:rPr>
          <w:rFonts w:cs="David" w:hint="cs"/>
          <w:sz w:val="24"/>
          <w:szCs w:val="24"/>
          <w:rtl/>
        </w:rPr>
        <w:t>ב</w:t>
      </w:r>
      <w:r w:rsidR="002400CD" w:rsidRPr="00196F4F">
        <w:rPr>
          <w:rFonts w:cs="David" w:hint="cs"/>
          <w:sz w:val="24"/>
          <w:szCs w:val="24"/>
          <w:rtl/>
        </w:rPr>
        <w:t>חשבון הבנק</w:t>
      </w:r>
      <w:r w:rsidR="001A7741">
        <w:rPr>
          <w:rFonts w:cs="David" w:hint="cs"/>
          <w:sz w:val="24"/>
          <w:szCs w:val="24"/>
          <w:rtl/>
        </w:rPr>
        <w:t xml:space="preserve"> בישראל </w:t>
      </w:r>
      <w:r w:rsidR="00147269" w:rsidRPr="00196F4F">
        <w:rPr>
          <w:rFonts w:cs="David" w:hint="cs"/>
          <w:sz w:val="24"/>
          <w:szCs w:val="24"/>
          <w:rtl/>
        </w:rPr>
        <w:t>על שם</w:t>
      </w:r>
      <w:r w:rsidR="00366C87">
        <w:rPr>
          <w:rFonts w:cs="David" w:hint="cs"/>
          <w:sz w:val="24"/>
          <w:szCs w:val="24"/>
          <w:rtl/>
        </w:rPr>
        <w:t xml:space="preserve"> מי שהפיק א</w:t>
      </w:r>
      <w:r w:rsidR="001A7741">
        <w:rPr>
          <w:rFonts w:cs="David" w:hint="cs"/>
          <w:sz w:val="24"/>
          <w:szCs w:val="24"/>
          <w:rtl/>
        </w:rPr>
        <w:t>ת ההכנסה</w:t>
      </w:r>
      <w:r w:rsidR="00175A66">
        <w:rPr>
          <w:rFonts w:cs="David" w:hint="cs"/>
          <w:sz w:val="24"/>
          <w:szCs w:val="24"/>
          <w:rtl/>
        </w:rPr>
        <w:t xml:space="preserve"> [או על שם העסק שלו]</w:t>
      </w:r>
      <w:r w:rsidR="002400CD" w:rsidRPr="00196F4F">
        <w:rPr>
          <w:rFonts w:cs="David" w:hint="cs"/>
          <w:sz w:val="24"/>
          <w:szCs w:val="24"/>
          <w:rtl/>
        </w:rPr>
        <w:t xml:space="preserve">. </w:t>
      </w:r>
      <w:r w:rsidR="001A7741">
        <w:rPr>
          <w:rFonts w:cs="David" w:hint="cs"/>
          <w:sz w:val="24"/>
          <w:szCs w:val="24"/>
          <w:rtl/>
        </w:rPr>
        <w:t>והכל בכפוף לסייגים המפורטים בסעיף 3 לעיל.</w:t>
      </w:r>
    </w:p>
    <w:p w:rsidR="00217351" w:rsidRPr="008E0746" w:rsidRDefault="00217351" w:rsidP="00DE4C62">
      <w:pPr>
        <w:numPr>
          <w:ilvl w:val="0"/>
          <w:numId w:val="3"/>
        </w:numPr>
        <w:spacing w:line="360" w:lineRule="auto"/>
        <w:jc w:val="both"/>
        <w:rPr>
          <w:rFonts w:cs="David"/>
          <w:sz w:val="24"/>
          <w:szCs w:val="24"/>
        </w:rPr>
      </w:pPr>
      <w:r w:rsidRPr="008E0746">
        <w:rPr>
          <w:rFonts w:cs="David"/>
          <w:sz w:val="24"/>
          <w:szCs w:val="24"/>
          <w:rtl/>
        </w:rPr>
        <w:t>מדיניות הפרקליטות הינה ככלל</w:t>
      </w:r>
      <w:r w:rsidRPr="008E0746">
        <w:rPr>
          <w:rFonts w:cs="David" w:hint="cs"/>
          <w:sz w:val="24"/>
          <w:szCs w:val="24"/>
          <w:rtl/>
        </w:rPr>
        <w:t>,</w:t>
      </w:r>
      <w:r w:rsidRPr="008E0746">
        <w:rPr>
          <w:rFonts w:cs="David"/>
          <w:sz w:val="24"/>
          <w:szCs w:val="24"/>
          <w:rtl/>
        </w:rPr>
        <w:t xml:space="preserve"> שלא להעמיד לדין בעבירה לפי סעיף 4 לחוק איסור הלבנת הון בגין "פעולה ברכוש" שעשה אדם, מקום שמדובר ברכוש אסור שמקורו בעבירת מס בלבד, והפעולה הינה שימוש ברכוש זה לצריכה עצמית. יובהר, כי הדברים אמורים מקום שהפעולה אינה פוגעת באפשרות לאתר את המקור של הרכוש האסור</w:t>
      </w:r>
      <w:r w:rsidRPr="008E0746">
        <w:rPr>
          <w:rFonts w:cs="David" w:hint="cs"/>
          <w:sz w:val="24"/>
          <w:szCs w:val="24"/>
          <w:rtl/>
        </w:rPr>
        <w:t>.</w:t>
      </w:r>
    </w:p>
    <w:p w:rsidR="002400CD" w:rsidRDefault="002400CD" w:rsidP="00321895">
      <w:pPr>
        <w:numPr>
          <w:ilvl w:val="0"/>
          <w:numId w:val="3"/>
        </w:numPr>
        <w:spacing w:line="360" w:lineRule="auto"/>
        <w:jc w:val="both"/>
        <w:rPr>
          <w:rFonts w:cs="David"/>
          <w:sz w:val="24"/>
          <w:szCs w:val="24"/>
        </w:rPr>
      </w:pPr>
      <w:r w:rsidRPr="008E0746">
        <w:rPr>
          <w:rFonts w:cs="David" w:hint="cs"/>
          <w:sz w:val="24"/>
          <w:szCs w:val="24"/>
          <w:rtl/>
        </w:rPr>
        <w:t>יודגש כי מדיניות אכיפה זו נוגעת</w:t>
      </w:r>
      <w:r>
        <w:rPr>
          <w:rFonts w:cs="David" w:hint="cs"/>
          <w:sz w:val="24"/>
          <w:szCs w:val="24"/>
          <w:rtl/>
        </w:rPr>
        <w:t xml:space="preserve"> למצבים בהם הלבנת ההון היא עצמית</w:t>
      </w:r>
      <w:r w:rsidR="00871821">
        <w:rPr>
          <w:rFonts w:cs="David" w:hint="cs"/>
          <w:sz w:val="24"/>
          <w:szCs w:val="24"/>
          <w:rtl/>
        </w:rPr>
        <w:t xml:space="preserve"> (</w:t>
      </w:r>
      <w:r w:rsidR="00871821">
        <w:rPr>
          <w:rFonts w:cs="David"/>
          <w:sz w:val="24"/>
          <w:szCs w:val="24"/>
        </w:rPr>
        <w:t>self</w:t>
      </w:r>
      <w:r w:rsidR="00175A66">
        <w:rPr>
          <w:rFonts w:cs="David"/>
          <w:sz w:val="24"/>
          <w:szCs w:val="24"/>
        </w:rPr>
        <w:t>-</w:t>
      </w:r>
      <w:r w:rsidR="00871821">
        <w:rPr>
          <w:rFonts w:cs="David"/>
          <w:sz w:val="24"/>
          <w:szCs w:val="24"/>
        </w:rPr>
        <w:t>launderi</w:t>
      </w:r>
      <w:r w:rsidR="009076FE">
        <w:rPr>
          <w:rFonts w:cs="David"/>
          <w:sz w:val="24"/>
          <w:szCs w:val="24"/>
        </w:rPr>
        <w:t>n</w:t>
      </w:r>
      <w:r w:rsidR="00871821">
        <w:rPr>
          <w:rFonts w:cs="David"/>
          <w:sz w:val="24"/>
          <w:szCs w:val="24"/>
        </w:rPr>
        <w:t>g</w:t>
      </w:r>
      <w:r w:rsidR="00871821">
        <w:rPr>
          <w:rFonts w:cs="David" w:hint="cs"/>
          <w:sz w:val="24"/>
          <w:szCs w:val="24"/>
          <w:rtl/>
        </w:rPr>
        <w:t>)</w:t>
      </w:r>
      <w:r>
        <w:rPr>
          <w:rFonts w:cs="David" w:hint="cs"/>
          <w:sz w:val="24"/>
          <w:szCs w:val="24"/>
          <w:rtl/>
        </w:rPr>
        <w:t>, כלומר על ידי מעלים המס עצ</w:t>
      </w:r>
      <w:r w:rsidR="004E592B">
        <w:rPr>
          <w:rFonts w:cs="David" w:hint="cs"/>
          <w:sz w:val="24"/>
          <w:szCs w:val="24"/>
          <w:rtl/>
        </w:rPr>
        <w:t xml:space="preserve">מו, </w:t>
      </w:r>
      <w:r w:rsidR="00321895">
        <w:rPr>
          <w:rFonts w:cs="David"/>
          <w:sz w:val="24"/>
          <w:szCs w:val="24"/>
          <w:rtl/>
        </w:rPr>
        <w:t>ואינה נוגעת למצבים בהם פעולת הלבנ</w:t>
      </w:r>
      <w:r w:rsidR="00321895">
        <w:rPr>
          <w:rFonts w:cs="David" w:hint="cs"/>
          <w:sz w:val="24"/>
          <w:szCs w:val="24"/>
          <w:rtl/>
        </w:rPr>
        <w:t>ת ההון</w:t>
      </w:r>
      <w:r w:rsidR="00321895" w:rsidRPr="00321895">
        <w:rPr>
          <w:rFonts w:cs="David"/>
          <w:sz w:val="24"/>
          <w:szCs w:val="24"/>
          <w:rtl/>
        </w:rPr>
        <w:t xml:space="preserve"> מתבצעת על ידי צד ג</w:t>
      </w:r>
      <w:r w:rsidR="00321895">
        <w:rPr>
          <w:rFonts w:cs="David" w:hint="cs"/>
          <w:sz w:val="24"/>
          <w:szCs w:val="24"/>
          <w:rtl/>
        </w:rPr>
        <w:t>'</w:t>
      </w:r>
      <w:r>
        <w:rPr>
          <w:rFonts w:cs="David" w:hint="cs"/>
          <w:sz w:val="24"/>
          <w:szCs w:val="24"/>
          <w:rtl/>
        </w:rPr>
        <w:t>.</w:t>
      </w:r>
      <w:r w:rsidRPr="009E4685">
        <w:rPr>
          <w:rFonts w:cs="David" w:hint="cs"/>
          <w:sz w:val="24"/>
          <w:szCs w:val="24"/>
          <w:rtl/>
        </w:rPr>
        <w:t xml:space="preserve"> </w:t>
      </w:r>
      <w:r>
        <w:rPr>
          <w:rFonts w:cs="David" w:hint="cs"/>
          <w:sz w:val="24"/>
          <w:szCs w:val="24"/>
          <w:rtl/>
        </w:rPr>
        <w:t>הטעם לכך הוא שבמקרים</w:t>
      </w:r>
      <w:r w:rsidR="002C2B12">
        <w:rPr>
          <w:rFonts w:cs="David" w:hint="cs"/>
          <w:sz w:val="24"/>
          <w:szCs w:val="24"/>
          <w:rtl/>
        </w:rPr>
        <w:t xml:space="preserve"> של ה</w:t>
      </w:r>
      <w:r w:rsidR="00175A66">
        <w:rPr>
          <w:rFonts w:cs="David" w:hint="cs"/>
          <w:sz w:val="24"/>
          <w:szCs w:val="24"/>
          <w:rtl/>
        </w:rPr>
        <w:t>לבנה</w:t>
      </w:r>
      <w:r w:rsidR="002C2B12">
        <w:rPr>
          <w:rFonts w:cs="David" w:hint="cs"/>
          <w:sz w:val="24"/>
          <w:szCs w:val="24"/>
          <w:rtl/>
        </w:rPr>
        <w:t xml:space="preserve"> עצמית</w:t>
      </w:r>
      <w:r w:rsidR="009076FE">
        <w:rPr>
          <w:rFonts w:cs="David" w:hint="cs"/>
          <w:sz w:val="24"/>
          <w:szCs w:val="24"/>
          <w:rtl/>
        </w:rPr>
        <w:t>,</w:t>
      </w:r>
      <w:r w:rsidR="002C2B12">
        <w:rPr>
          <w:rFonts w:cs="David" w:hint="cs"/>
          <w:sz w:val="24"/>
          <w:szCs w:val="24"/>
          <w:rtl/>
        </w:rPr>
        <w:t xml:space="preserve"> כאשר קיימת זהות רבה בין דפוסי העלמת המס לדפוסי הלבנת ההון, </w:t>
      </w:r>
      <w:r w:rsidR="00871821">
        <w:rPr>
          <w:rFonts w:cs="David" w:hint="cs"/>
          <w:sz w:val="24"/>
          <w:szCs w:val="24"/>
          <w:rtl/>
        </w:rPr>
        <w:t>הפגיעה בערך המוגן הנפרד הינה מינ</w:t>
      </w:r>
      <w:r w:rsidR="009076FE">
        <w:rPr>
          <w:rFonts w:cs="David" w:hint="cs"/>
          <w:sz w:val="24"/>
          <w:szCs w:val="24"/>
          <w:rtl/>
        </w:rPr>
        <w:t>י</w:t>
      </w:r>
      <w:r w:rsidR="00871821">
        <w:rPr>
          <w:rFonts w:cs="David" w:hint="cs"/>
          <w:sz w:val="24"/>
          <w:szCs w:val="24"/>
          <w:rtl/>
        </w:rPr>
        <w:t>מאלית ולפיכך, ככלל, אין הצדקה לאישום נוסף הנוגע להלבנת כספים אלו.</w:t>
      </w:r>
    </w:p>
    <w:p w:rsidR="002400CD" w:rsidRDefault="002400CD" w:rsidP="002400CD">
      <w:pPr>
        <w:numPr>
          <w:ilvl w:val="0"/>
          <w:numId w:val="1"/>
        </w:numPr>
        <w:spacing w:line="360" w:lineRule="auto"/>
        <w:jc w:val="both"/>
        <w:rPr>
          <w:rFonts w:cs="David"/>
          <w:b/>
          <w:bCs/>
          <w:sz w:val="24"/>
          <w:szCs w:val="24"/>
        </w:rPr>
      </w:pPr>
      <w:r w:rsidRPr="00D02DAB">
        <w:rPr>
          <w:rFonts w:cs="David" w:hint="cs"/>
          <w:b/>
          <w:bCs/>
          <w:sz w:val="24"/>
          <w:szCs w:val="24"/>
          <w:rtl/>
        </w:rPr>
        <w:t>מדיניות התביעה בחילוט רכוש</w:t>
      </w:r>
    </w:p>
    <w:p w:rsidR="002400CD" w:rsidRDefault="002400CD" w:rsidP="009076FE">
      <w:pPr>
        <w:numPr>
          <w:ilvl w:val="0"/>
          <w:numId w:val="4"/>
        </w:numPr>
        <w:spacing w:line="360" w:lineRule="auto"/>
        <w:jc w:val="both"/>
        <w:rPr>
          <w:rFonts w:cs="David"/>
          <w:sz w:val="24"/>
          <w:szCs w:val="24"/>
        </w:rPr>
      </w:pPr>
      <w:r>
        <w:rPr>
          <w:rFonts w:cs="David" w:hint="cs"/>
          <w:sz w:val="24"/>
          <w:szCs w:val="24"/>
          <w:rtl/>
        </w:rPr>
        <w:t>הוראות החילוט בחוק איסור הלבנת הון מאפשרות לבקש את חילוט הרכוש של מלבין ההון בשווי רכוש ששימש לביצוע העבירה, איפשר את ביצוע העבירה, או שיועד לכך</w:t>
      </w:r>
      <w:r w:rsidR="005D5439">
        <w:rPr>
          <w:rFonts w:cs="David" w:hint="cs"/>
          <w:sz w:val="24"/>
          <w:szCs w:val="24"/>
          <w:rtl/>
        </w:rPr>
        <w:t xml:space="preserve"> (סעיף 21 לחוק</w:t>
      </w:r>
      <w:r w:rsidR="009076FE">
        <w:rPr>
          <w:rFonts w:cs="David" w:hint="cs"/>
          <w:sz w:val="24"/>
          <w:szCs w:val="24"/>
          <w:rtl/>
        </w:rPr>
        <w:t xml:space="preserve"> </w:t>
      </w:r>
      <w:r w:rsidR="009076FE">
        <w:rPr>
          <w:rFonts w:cs="David"/>
          <w:sz w:val="24"/>
          <w:szCs w:val="24"/>
          <w:rtl/>
        </w:rPr>
        <w:t>–</w:t>
      </w:r>
      <w:r w:rsidR="009076FE">
        <w:rPr>
          <w:rFonts w:cs="David" w:hint="cs"/>
          <w:sz w:val="24"/>
          <w:szCs w:val="24"/>
          <w:rtl/>
        </w:rPr>
        <w:t xml:space="preserve"> להביאו במלואו).</w:t>
      </w:r>
    </w:p>
    <w:p w:rsidR="002400CD" w:rsidRDefault="002400CD" w:rsidP="002400CD">
      <w:pPr>
        <w:numPr>
          <w:ilvl w:val="0"/>
          <w:numId w:val="4"/>
        </w:numPr>
        <w:spacing w:line="360" w:lineRule="auto"/>
        <w:jc w:val="both"/>
        <w:rPr>
          <w:rFonts w:cs="David"/>
          <w:sz w:val="24"/>
          <w:szCs w:val="24"/>
        </w:rPr>
      </w:pPr>
      <w:r>
        <w:rPr>
          <w:rFonts w:cs="David" w:hint="cs"/>
          <w:sz w:val="24"/>
          <w:szCs w:val="24"/>
          <w:rtl/>
        </w:rPr>
        <w:t>תפיסה זמנית של רכוש דורשת אישור בכתב של פרקליט המחוז, כדי להבטיח כי תפיסה זו תיעשה בצורה מידתית על מנת שלא להשבית את העסק של החשוד מחד, ולאפשר חילוט רכוש בסוף ההליך מאידך.</w:t>
      </w:r>
    </w:p>
    <w:p w:rsidR="002400CD" w:rsidRPr="002312F7" w:rsidRDefault="00701389" w:rsidP="002312F7">
      <w:pPr>
        <w:numPr>
          <w:ilvl w:val="0"/>
          <w:numId w:val="4"/>
        </w:numPr>
        <w:spacing w:line="360" w:lineRule="auto"/>
        <w:jc w:val="both"/>
        <w:rPr>
          <w:rFonts w:cs="David"/>
          <w:sz w:val="24"/>
          <w:szCs w:val="24"/>
        </w:rPr>
      </w:pPr>
      <w:r w:rsidRPr="002312F7">
        <w:rPr>
          <w:rFonts w:cs="David" w:hint="cs"/>
          <w:sz w:val="24"/>
          <w:szCs w:val="24"/>
          <w:rtl/>
        </w:rPr>
        <w:t xml:space="preserve">במקרים בהם עורבב הרכוש שמקורו בעבירה ברכוש לגיטימי אחר הופך גם הרכוש הלגיטימי לרכוש אסור בר חילוט לפי סעיף 21 (ע"א 6212/14 </w:t>
      </w:r>
      <w:r w:rsidRPr="002312F7">
        <w:rPr>
          <w:rFonts w:cs="David" w:hint="cs"/>
          <w:i/>
          <w:iCs/>
          <w:sz w:val="24"/>
          <w:szCs w:val="24"/>
          <w:rtl/>
        </w:rPr>
        <w:t>מדינת ישראל נ' ג'סארי</w:t>
      </w:r>
      <w:r w:rsidRPr="002312F7">
        <w:rPr>
          <w:rFonts w:cs="David" w:hint="cs"/>
          <w:sz w:val="24"/>
          <w:szCs w:val="24"/>
          <w:rtl/>
        </w:rPr>
        <w:t xml:space="preserve">, ע"פ 2333/07 </w:t>
      </w:r>
      <w:r w:rsidRPr="002312F7">
        <w:rPr>
          <w:rFonts w:cs="David" w:hint="cs"/>
          <w:i/>
          <w:iCs/>
          <w:sz w:val="24"/>
          <w:szCs w:val="24"/>
          <w:rtl/>
        </w:rPr>
        <w:t>תענך</w:t>
      </w:r>
      <w:r w:rsidRPr="002312F7">
        <w:rPr>
          <w:rFonts w:cs="David" w:hint="cs"/>
          <w:sz w:val="24"/>
          <w:szCs w:val="24"/>
          <w:rtl/>
        </w:rPr>
        <w:t>). מובן כי סמכות זו של פרקליט מחוז צריכה להיעשות במידתיות</w:t>
      </w:r>
      <w:r w:rsidR="00826399">
        <w:rPr>
          <w:rStyle w:val="af"/>
          <w:rFonts w:cs="David"/>
          <w:sz w:val="24"/>
          <w:szCs w:val="24"/>
          <w:rtl/>
        </w:rPr>
        <w:footnoteReference w:id="1"/>
      </w:r>
      <w:r w:rsidRPr="002312F7">
        <w:rPr>
          <w:rFonts w:cs="David" w:hint="cs"/>
          <w:sz w:val="24"/>
          <w:szCs w:val="24"/>
          <w:rtl/>
        </w:rPr>
        <w:t xml:space="preserve"> בהתחשב בקווים המנחים הבאים: חלקו היחסי של הרכוש האסור ברכוש הלגיטימי, מידת הפגיעה בערך המוגן הנוסף, שיטתיות, תחכום או מורכבות ההסתרה, החשש שהרכוש ישמש להמשך ביצוע עבירות (מניעה מצבית), זיקה לארגוני פשיעה ולארגוני טרור. </w:t>
      </w:r>
    </w:p>
    <w:sectPr w:rsidR="002400CD" w:rsidRPr="002312F7" w:rsidSect="00BC303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4AF" w:rsidRDefault="00E104AF">
      <w:pPr>
        <w:spacing w:after="0" w:line="240" w:lineRule="auto"/>
      </w:pPr>
      <w:r>
        <w:separator/>
      </w:r>
    </w:p>
  </w:endnote>
  <w:endnote w:type="continuationSeparator" w:id="0">
    <w:p w:rsidR="00E104AF" w:rsidRDefault="00E10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66" w:rsidRDefault="00175A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66" w:rsidRDefault="00175A6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66" w:rsidRDefault="00175A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4AF" w:rsidRDefault="00E104AF">
      <w:pPr>
        <w:spacing w:after="0" w:line="240" w:lineRule="auto"/>
      </w:pPr>
      <w:r>
        <w:separator/>
      </w:r>
    </w:p>
  </w:footnote>
  <w:footnote w:type="continuationSeparator" w:id="0">
    <w:p w:rsidR="00E104AF" w:rsidRDefault="00E104AF">
      <w:pPr>
        <w:spacing w:after="0" w:line="240" w:lineRule="auto"/>
      </w:pPr>
      <w:r>
        <w:continuationSeparator/>
      </w:r>
    </w:p>
  </w:footnote>
  <w:footnote w:id="1">
    <w:p w:rsidR="00826399" w:rsidRDefault="00826399">
      <w:pPr>
        <w:pStyle w:val="ad"/>
      </w:pPr>
      <w:r>
        <w:rPr>
          <w:rStyle w:val="af"/>
        </w:rPr>
        <w:footnoteRef/>
      </w:r>
      <w:r>
        <w:rPr>
          <w:rtl/>
        </w:rPr>
        <w:t xml:space="preserve"> </w:t>
      </w:r>
      <w:r w:rsidR="002312F7">
        <w:rPr>
          <w:rFonts w:hint="cs"/>
          <w:highlight w:val="yellow"/>
          <w:rtl/>
        </w:rPr>
        <w:t xml:space="preserve">השווה פסק דין </w:t>
      </w:r>
      <w:r w:rsidRPr="00826399">
        <w:rPr>
          <w:rFonts w:hint="cs"/>
          <w:highlight w:val="yellow"/>
          <w:rtl/>
        </w:rPr>
        <w:t>אמריקאי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66" w:rsidRDefault="00175A6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66" w:rsidRDefault="00F96D88">
    <w:pPr>
      <w:pStyle w:val="a7"/>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66" w:rsidRDefault="00175A6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F2C03"/>
    <w:multiLevelType w:val="hybridMultilevel"/>
    <w:tmpl w:val="F2D68912"/>
    <w:lvl w:ilvl="0" w:tplc="B5DE78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3137E0"/>
    <w:multiLevelType w:val="hybridMultilevel"/>
    <w:tmpl w:val="71428486"/>
    <w:lvl w:ilvl="0" w:tplc="FF168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2A0817"/>
    <w:multiLevelType w:val="hybridMultilevel"/>
    <w:tmpl w:val="2A123FA0"/>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7064B9"/>
    <w:multiLevelType w:val="hybridMultilevel"/>
    <w:tmpl w:val="D8BE88C4"/>
    <w:lvl w:ilvl="0" w:tplc="B5DE78CE">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7102B6"/>
    <w:multiLevelType w:val="hybridMultilevel"/>
    <w:tmpl w:val="42E6CEE8"/>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1E11CF"/>
    <w:multiLevelType w:val="hybridMultilevel"/>
    <w:tmpl w:val="530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7F70AB"/>
    <w:multiLevelType w:val="hybridMultilevel"/>
    <w:tmpl w:val="FEFEE66A"/>
    <w:lvl w:ilvl="0" w:tplc="2FB82D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0CD"/>
    <w:rsid w:val="00030D77"/>
    <w:rsid w:val="000361CA"/>
    <w:rsid w:val="000A48B4"/>
    <w:rsid w:val="00147269"/>
    <w:rsid w:val="00175A66"/>
    <w:rsid w:val="00196F4F"/>
    <w:rsid w:val="001A7741"/>
    <w:rsid w:val="00217351"/>
    <w:rsid w:val="002312F7"/>
    <w:rsid w:val="002400CD"/>
    <w:rsid w:val="00265398"/>
    <w:rsid w:val="002C2B12"/>
    <w:rsid w:val="00321895"/>
    <w:rsid w:val="00366C87"/>
    <w:rsid w:val="004020EA"/>
    <w:rsid w:val="00404818"/>
    <w:rsid w:val="00423E0D"/>
    <w:rsid w:val="00431F9C"/>
    <w:rsid w:val="00432BA6"/>
    <w:rsid w:val="00473C06"/>
    <w:rsid w:val="004A713B"/>
    <w:rsid w:val="004E592B"/>
    <w:rsid w:val="005C679C"/>
    <w:rsid w:val="005D02FB"/>
    <w:rsid w:val="005D5439"/>
    <w:rsid w:val="00601ABC"/>
    <w:rsid w:val="00663ED2"/>
    <w:rsid w:val="00701389"/>
    <w:rsid w:val="00752EE2"/>
    <w:rsid w:val="00767DD6"/>
    <w:rsid w:val="00771CC1"/>
    <w:rsid w:val="00802704"/>
    <w:rsid w:val="00810F2D"/>
    <w:rsid w:val="00826399"/>
    <w:rsid w:val="00871821"/>
    <w:rsid w:val="008E0746"/>
    <w:rsid w:val="0090191D"/>
    <w:rsid w:val="009076FE"/>
    <w:rsid w:val="00920DE9"/>
    <w:rsid w:val="009324A8"/>
    <w:rsid w:val="00963327"/>
    <w:rsid w:val="00994E3A"/>
    <w:rsid w:val="009C4159"/>
    <w:rsid w:val="009E02CB"/>
    <w:rsid w:val="00AD4DFE"/>
    <w:rsid w:val="00B371C5"/>
    <w:rsid w:val="00BB4B9A"/>
    <w:rsid w:val="00BC3034"/>
    <w:rsid w:val="00C709A3"/>
    <w:rsid w:val="00CB0ED4"/>
    <w:rsid w:val="00D70E68"/>
    <w:rsid w:val="00DE4C62"/>
    <w:rsid w:val="00E104AF"/>
    <w:rsid w:val="00F35729"/>
    <w:rsid w:val="00F80186"/>
    <w:rsid w:val="00F96D88"/>
    <w:rsid w:val="00FF40FC"/>
    <w:rsid w:val="00FF51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uiPriority w:val="99"/>
    <w:semiHidden/>
    <w:unhideWhenUsed/>
    <w:rsid w:val="00826399"/>
    <w:pPr>
      <w:spacing w:after="0" w:line="240" w:lineRule="auto"/>
    </w:pPr>
    <w:rPr>
      <w:sz w:val="20"/>
      <w:szCs w:val="20"/>
    </w:rPr>
  </w:style>
  <w:style w:type="character" w:customStyle="1" w:styleId="ae">
    <w:name w:val="טקסט הערת שוליים תו"/>
    <w:basedOn w:val="a0"/>
    <w:link w:val="ad"/>
    <w:uiPriority w:val="99"/>
    <w:semiHidden/>
    <w:rsid w:val="00826399"/>
    <w:rPr>
      <w:rFonts w:ascii="Calibri" w:eastAsia="Calibri" w:hAnsi="Calibri" w:cs="Arial"/>
      <w:sz w:val="20"/>
      <w:szCs w:val="20"/>
    </w:rPr>
  </w:style>
  <w:style w:type="character" w:styleId="af">
    <w:name w:val="footnote reference"/>
    <w:basedOn w:val="a0"/>
    <w:uiPriority w:val="99"/>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uiPriority w:val="99"/>
    <w:semiHidden/>
    <w:unhideWhenUsed/>
    <w:rsid w:val="00826399"/>
    <w:pPr>
      <w:spacing w:after="0" w:line="240" w:lineRule="auto"/>
    </w:pPr>
    <w:rPr>
      <w:sz w:val="20"/>
      <w:szCs w:val="20"/>
    </w:rPr>
  </w:style>
  <w:style w:type="character" w:customStyle="1" w:styleId="ae">
    <w:name w:val="טקסט הערת שוליים תו"/>
    <w:basedOn w:val="a0"/>
    <w:link w:val="ad"/>
    <w:uiPriority w:val="99"/>
    <w:semiHidden/>
    <w:rsid w:val="00826399"/>
    <w:rPr>
      <w:rFonts w:ascii="Calibri" w:eastAsia="Calibri" w:hAnsi="Calibri" w:cs="Arial"/>
      <w:sz w:val="20"/>
      <w:szCs w:val="20"/>
    </w:rPr>
  </w:style>
  <w:style w:type="character" w:styleId="af">
    <w:name w:val="footnote reference"/>
    <w:basedOn w:val="a0"/>
    <w:uiPriority w:val="99"/>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קלאסי">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85AE8F-B802-4464-9565-4935D23BA0C3}"/>
</file>

<file path=customXml/itemProps2.xml><?xml version="1.0" encoding="utf-8"?>
<ds:datastoreItem xmlns:ds="http://schemas.openxmlformats.org/officeDocument/2006/customXml" ds:itemID="{7969A218-E6A8-4134-B307-90C91FFA1DED}"/>
</file>

<file path=customXml/itemProps3.xml><?xml version="1.0" encoding="utf-8"?>
<ds:datastoreItem xmlns:ds="http://schemas.openxmlformats.org/officeDocument/2006/customXml" ds:itemID="{EA43A112-A87D-4C87-85CC-E8D3011E33E8}"/>
</file>

<file path=customXml/itemProps4.xml><?xml version="1.0" encoding="utf-8"?>
<ds:datastoreItem xmlns:ds="http://schemas.openxmlformats.org/officeDocument/2006/customXml" ds:itemID="{717F027A-3DC4-439F-BC03-7DB2018370CB}"/>
</file>

<file path=docProps/app.xml><?xml version="1.0" encoding="utf-8"?>
<Properties xmlns="http://schemas.openxmlformats.org/officeDocument/2006/extended-properties" xmlns:vt="http://schemas.openxmlformats.org/officeDocument/2006/docPropsVTypes">
  <Template>Normal</Template>
  <TotalTime>5</TotalTime>
  <Pages>2</Pages>
  <Words>584</Words>
  <Characters>2923</Characters>
  <Application>Microsoft Office Word</Application>
  <DocSecurity>4</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dc:creator>
  <cp:lastModifiedBy>חופית עלפי</cp:lastModifiedBy>
  <cp:revision>2</cp:revision>
  <cp:lastPrinted>2016-02-15T06:00:00Z</cp:lastPrinted>
  <dcterms:created xsi:type="dcterms:W3CDTF">2016-02-16T10:59:00Z</dcterms:created>
  <dcterms:modified xsi:type="dcterms:W3CDTF">2016-02-16T10:59:00Z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