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3C71" w:rsidRPr="00DD022F" w:rsidRDefault="00AB3C71" w:rsidP="00AB3C71">
      <w:pPr>
        <w:bidi/>
        <w:rPr>
          <w:rFonts w:ascii="Arial" w:hAnsi="Arial" w:cs="Arial"/>
        </w:rPr>
      </w:pPr>
      <w:bookmarkStart w:id="0" w:name="_GoBack"/>
      <w:bookmarkEnd w:id="0"/>
      <w:r w:rsidRPr="00DD022F">
        <w:rPr>
          <w:rFonts w:ascii="Arial" w:hAnsi="Arial" w:cs="Arial"/>
          <w:rtl/>
        </w:rPr>
        <w:t>להלן נתונים שהתקבלו ממשרד האוצר המפרטים את מחזור ההכנסות השנתי של עוסקים פעילים במע"מ (לשנת 2014)  </w:t>
      </w:r>
    </w:p>
    <w:p w:rsidR="00AB3C71" w:rsidRPr="00DD022F" w:rsidRDefault="00AB3C71" w:rsidP="00AB3C71">
      <w:pPr>
        <w:bidi/>
        <w:rPr>
          <w:rFonts w:ascii="Arial" w:hAnsi="Arial" w:cs="Arial"/>
        </w:rPr>
      </w:pPr>
      <w:r w:rsidRPr="00DD022F">
        <w:rPr>
          <w:rFonts w:ascii="Arial" w:hAnsi="Arial" w:cs="Arial"/>
          <w:rtl/>
        </w:rPr>
        <w:t xml:space="preserve">מדובר כמובן על ההכנסות המדווחות למע"מ אך ניתן ללמוד מהם על השיעור היחסי של עוסקים קטנים בכלל, ולהסיק מסקנה בעניין זה גם על הכנסות שאינן מדווחות </w:t>
      </w:r>
    </w:p>
    <w:p w:rsidR="00AB3C71" w:rsidRPr="00DD022F" w:rsidRDefault="00AB3C71" w:rsidP="00AB3C71">
      <w:pPr>
        <w:bidi/>
        <w:rPr>
          <w:rFonts w:ascii="Arial" w:hAnsi="Arial" w:cs="Arial"/>
          <w:sz w:val="22"/>
          <w:szCs w:val="22"/>
        </w:rPr>
      </w:pPr>
    </w:p>
    <w:tbl>
      <w:tblPr>
        <w:bidiVisual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71"/>
        <w:gridCol w:w="1771"/>
        <w:gridCol w:w="2582"/>
      </w:tblGrid>
      <w:tr w:rsidR="00DD022F" w:rsidRPr="00DD022F" w:rsidTr="00AB3C71">
        <w:tc>
          <w:tcPr>
            <w:tcW w:w="17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3C71" w:rsidRPr="00DD022F" w:rsidRDefault="00AB3C71">
            <w:pPr>
              <w:bidi/>
              <w:jc w:val="center"/>
              <w:rPr>
                <w:rFonts w:ascii="Arial" w:hAnsi="Arial" w:cs="Arial"/>
                <w:rtl/>
              </w:rPr>
            </w:pPr>
            <w:r w:rsidRPr="00DD022F">
              <w:rPr>
                <w:rFonts w:ascii="Arial" w:hAnsi="Arial" w:cs="Arial"/>
                <w:rtl/>
              </w:rPr>
              <w:t>אחוז</w:t>
            </w:r>
          </w:p>
        </w:tc>
        <w:tc>
          <w:tcPr>
            <w:tcW w:w="177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3C71" w:rsidRPr="00DD022F" w:rsidRDefault="00AB3C71">
            <w:pPr>
              <w:bidi/>
              <w:rPr>
                <w:rFonts w:ascii="Arial" w:hAnsi="Arial" w:cs="Arial"/>
                <w:rtl/>
              </w:rPr>
            </w:pPr>
            <w:r w:rsidRPr="00DD022F">
              <w:rPr>
                <w:rFonts w:ascii="Arial" w:hAnsi="Arial" w:cs="Arial"/>
                <w:rtl/>
              </w:rPr>
              <w:t xml:space="preserve">מספר עוסקים </w:t>
            </w:r>
          </w:p>
        </w:tc>
        <w:tc>
          <w:tcPr>
            <w:tcW w:w="258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3C71" w:rsidRPr="00DD022F" w:rsidRDefault="00AB3C71">
            <w:pPr>
              <w:bidi/>
              <w:jc w:val="center"/>
              <w:rPr>
                <w:rFonts w:ascii="Arial" w:hAnsi="Arial" w:cs="Arial"/>
              </w:rPr>
            </w:pPr>
            <w:r w:rsidRPr="00DD022F">
              <w:rPr>
                <w:rFonts w:ascii="Arial" w:hAnsi="Arial" w:cs="Arial"/>
                <w:rtl/>
              </w:rPr>
              <w:t>מחזור הכנסות שנתי</w:t>
            </w:r>
          </w:p>
        </w:tc>
      </w:tr>
      <w:tr w:rsidR="00DD022F" w:rsidRPr="00DD022F" w:rsidTr="00AB3C71">
        <w:tc>
          <w:tcPr>
            <w:tcW w:w="17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3C71" w:rsidRPr="00DD022F" w:rsidRDefault="00AB3C71">
            <w:pPr>
              <w:bidi/>
              <w:jc w:val="center"/>
              <w:rPr>
                <w:rFonts w:ascii="Arial" w:hAnsi="Arial" w:cs="Arial"/>
              </w:rPr>
            </w:pPr>
            <w:r w:rsidRPr="00DD022F">
              <w:rPr>
                <w:rFonts w:ascii="Arial" w:hAnsi="Arial" w:cs="Arial"/>
                <w:rtl/>
              </w:rPr>
              <w:t>79.9%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3C71" w:rsidRPr="00DD022F" w:rsidRDefault="00AB3C71">
            <w:pPr>
              <w:bidi/>
              <w:jc w:val="center"/>
              <w:rPr>
                <w:rFonts w:ascii="Arial" w:hAnsi="Arial" w:cs="Arial"/>
              </w:rPr>
            </w:pPr>
            <w:r w:rsidRPr="00DD022F">
              <w:rPr>
                <w:rFonts w:ascii="Arial" w:hAnsi="Arial" w:cs="Arial"/>
                <w:rtl/>
              </w:rPr>
              <w:t>417,566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3C71" w:rsidRPr="00DD022F" w:rsidRDefault="00AB3C71">
            <w:pPr>
              <w:bidi/>
              <w:jc w:val="center"/>
              <w:rPr>
                <w:rFonts w:ascii="Arial" w:hAnsi="Arial" w:cs="Arial"/>
              </w:rPr>
            </w:pPr>
            <w:r w:rsidRPr="00DD022F">
              <w:rPr>
                <w:rFonts w:ascii="Arial" w:hAnsi="Arial" w:cs="Arial"/>
                <w:rtl/>
              </w:rPr>
              <w:t>עד 1,000,000</w:t>
            </w:r>
          </w:p>
        </w:tc>
      </w:tr>
      <w:tr w:rsidR="00DD022F" w:rsidRPr="00DD022F" w:rsidTr="00AB3C71">
        <w:tc>
          <w:tcPr>
            <w:tcW w:w="17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3C71" w:rsidRPr="00DD022F" w:rsidRDefault="00AB3C71">
            <w:pPr>
              <w:bidi/>
              <w:jc w:val="center"/>
              <w:rPr>
                <w:rFonts w:ascii="Arial" w:hAnsi="Arial" w:cs="Arial"/>
              </w:rPr>
            </w:pPr>
            <w:r w:rsidRPr="00DD022F">
              <w:rPr>
                <w:rFonts w:ascii="Arial" w:hAnsi="Arial" w:cs="Arial"/>
                <w:rtl/>
              </w:rPr>
              <w:t>8.1%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3C71" w:rsidRPr="00DD022F" w:rsidRDefault="00AB3C71">
            <w:pPr>
              <w:bidi/>
              <w:jc w:val="center"/>
              <w:rPr>
                <w:rFonts w:ascii="Arial" w:hAnsi="Arial" w:cs="Arial"/>
              </w:rPr>
            </w:pPr>
            <w:r w:rsidRPr="00DD022F">
              <w:rPr>
                <w:rFonts w:ascii="Arial" w:hAnsi="Arial" w:cs="Arial"/>
                <w:rtl/>
              </w:rPr>
              <w:t>42,546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3C71" w:rsidRPr="00DD022F" w:rsidRDefault="00AB3C71">
            <w:pPr>
              <w:bidi/>
              <w:jc w:val="center"/>
              <w:rPr>
                <w:rFonts w:ascii="Arial" w:hAnsi="Arial" w:cs="Arial"/>
              </w:rPr>
            </w:pPr>
            <w:r w:rsidRPr="00DD022F">
              <w:rPr>
                <w:rFonts w:ascii="Arial" w:hAnsi="Arial" w:cs="Arial"/>
                <w:rtl/>
              </w:rPr>
              <w:t>1,000,001-2,000,000</w:t>
            </w:r>
          </w:p>
        </w:tc>
      </w:tr>
      <w:tr w:rsidR="00DD022F" w:rsidRPr="00DD022F" w:rsidTr="00AB3C71">
        <w:tc>
          <w:tcPr>
            <w:tcW w:w="17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3C71" w:rsidRPr="00DD022F" w:rsidRDefault="00AB3C71">
            <w:pPr>
              <w:bidi/>
              <w:jc w:val="center"/>
              <w:rPr>
                <w:rFonts w:ascii="Arial" w:hAnsi="Arial" w:cs="Arial"/>
              </w:rPr>
            </w:pPr>
            <w:r w:rsidRPr="00DD022F">
              <w:rPr>
                <w:rFonts w:ascii="Arial" w:hAnsi="Arial" w:cs="Arial"/>
                <w:rtl/>
              </w:rPr>
              <w:t>3.3%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3C71" w:rsidRPr="00DD022F" w:rsidRDefault="00AB3C71">
            <w:pPr>
              <w:bidi/>
              <w:jc w:val="center"/>
              <w:rPr>
                <w:rFonts w:ascii="Arial" w:hAnsi="Arial" w:cs="Arial"/>
              </w:rPr>
            </w:pPr>
            <w:r w:rsidRPr="00DD022F">
              <w:rPr>
                <w:rFonts w:ascii="Arial" w:hAnsi="Arial" w:cs="Arial"/>
                <w:rtl/>
              </w:rPr>
              <w:t>17,198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3C71" w:rsidRPr="00DD022F" w:rsidRDefault="00AB3C71">
            <w:pPr>
              <w:bidi/>
              <w:jc w:val="center"/>
              <w:rPr>
                <w:rFonts w:ascii="Arial" w:hAnsi="Arial" w:cs="Arial"/>
              </w:rPr>
            </w:pPr>
            <w:r w:rsidRPr="00DD022F">
              <w:rPr>
                <w:rFonts w:ascii="Arial" w:hAnsi="Arial" w:cs="Arial"/>
                <w:rtl/>
              </w:rPr>
              <w:t>2,000,001-3,000,000</w:t>
            </w:r>
          </w:p>
        </w:tc>
      </w:tr>
      <w:tr w:rsidR="00DD022F" w:rsidRPr="00DD022F" w:rsidTr="00AB3C71">
        <w:tc>
          <w:tcPr>
            <w:tcW w:w="17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3C71" w:rsidRPr="00DD022F" w:rsidRDefault="00AB3C71">
            <w:pPr>
              <w:bidi/>
              <w:jc w:val="center"/>
              <w:rPr>
                <w:rFonts w:ascii="Arial" w:hAnsi="Arial" w:cs="Arial"/>
              </w:rPr>
            </w:pPr>
            <w:r w:rsidRPr="00DD022F">
              <w:rPr>
                <w:rFonts w:ascii="Arial" w:hAnsi="Arial" w:cs="Arial"/>
                <w:rtl/>
              </w:rPr>
              <w:t>3.0%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3C71" w:rsidRPr="00DD022F" w:rsidRDefault="00AB3C71">
            <w:pPr>
              <w:bidi/>
              <w:jc w:val="center"/>
              <w:rPr>
                <w:rFonts w:ascii="Arial" w:hAnsi="Arial" w:cs="Arial"/>
              </w:rPr>
            </w:pPr>
            <w:r w:rsidRPr="00DD022F">
              <w:rPr>
                <w:rFonts w:ascii="Arial" w:hAnsi="Arial" w:cs="Arial"/>
                <w:rtl/>
              </w:rPr>
              <w:t>15,604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3C71" w:rsidRPr="00DD022F" w:rsidRDefault="00AB3C71">
            <w:pPr>
              <w:bidi/>
              <w:jc w:val="center"/>
              <w:rPr>
                <w:rFonts w:ascii="Arial" w:hAnsi="Arial" w:cs="Arial"/>
              </w:rPr>
            </w:pPr>
            <w:r w:rsidRPr="00DD022F">
              <w:rPr>
                <w:rFonts w:ascii="Arial" w:hAnsi="Arial" w:cs="Arial"/>
                <w:rtl/>
              </w:rPr>
              <w:t>3,000,001-5,000,000</w:t>
            </w:r>
          </w:p>
        </w:tc>
      </w:tr>
      <w:tr w:rsidR="00DD022F" w:rsidRPr="00DD022F" w:rsidTr="00AB3C71">
        <w:tc>
          <w:tcPr>
            <w:tcW w:w="17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3C71" w:rsidRPr="00DD022F" w:rsidRDefault="00AB3C71">
            <w:pPr>
              <w:bidi/>
              <w:jc w:val="center"/>
              <w:rPr>
                <w:rFonts w:ascii="Arial" w:hAnsi="Arial" w:cs="Arial"/>
              </w:rPr>
            </w:pPr>
            <w:r w:rsidRPr="00DD022F">
              <w:rPr>
                <w:rFonts w:ascii="Arial" w:hAnsi="Arial" w:cs="Arial"/>
                <w:rtl/>
              </w:rPr>
              <w:t>2.5%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3C71" w:rsidRPr="00DD022F" w:rsidRDefault="00AB3C71">
            <w:pPr>
              <w:bidi/>
              <w:jc w:val="center"/>
              <w:rPr>
                <w:rFonts w:ascii="Arial" w:hAnsi="Arial" w:cs="Arial"/>
              </w:rPr>
            </w:pPr>
            <w:r w:rsidRPr="00DD022F">
              <w:rPr>
                <w:rFonts w:ascii="Arial" w:hAnsi="Arial" w:cs="Arial"/>
                <w:rtl/>
              </w:rPr>
              <w:t>13,093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3C71" w:rsidRPr="00DD022F" w:rsidRDefault="00AB3C71">
            <w:pPr>
              <w:bidi/>
              <w:jc w:val="center"/>
              <w:rPr>
                <w:rFonts w:ascii="Arial" w:hAnsi="Arial" w:cs="Arial"/>
              </w:rPr>
            </w:pPr>
            <w:r w:rsidRPr="00DD022F">
              <w:rPr>
                <w:rFonts w:ascii="Arial" w:hAnsi="Arial" w:cs="Arial"/>
                <w:rtl/>
              </w:rPr>
              <w:t>5,000,001-10,000,000</w:t>
            </w:r>
          </w:p>
        </w:tc>
      </w:tr>
      <w:tr w:rsidR="00DD022F" w:rsidRPr="00DD022F" w:rsidTr="00AB3C71">
        <w:tc>
          <w:tcPr>
            <w:tcW w:w="17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3C71" w:rsidRPr="00DD022F" w:rsidRDefault="00AB3C71">
            <w:pPr>
              <w:bidi/>
              <w:jc w:val="center"/>
              <w:rPr>
                <w:rFonts w:ascii="Arial" w:hAnsi="Arial" w:cs="Arial"/>
              </w:rPr>
            </w:pPr>
            <w:r w:rsidRPr="00DD022F">
              <w:rPr>
                <w:rFonts w:ascii="Arial" w:hAnsi="Arial" w:cs="Arial"/>
                <w:rtl/>
              </w:rPr>
              <w:t>2.8%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3C71" w:rsidRPr="00DD022F" w:rsidRDefault="00AB3C71">
            <w:pPr>
              <w:bidi/>
              <w:jc w:val="center"/>
              <w:rPr>
                <w:rFonts w:ascii="Arial" w:hAnsi="Arial" w:cs="Arial"/>
              </w:rPr>
            </w:pPr>
            <w:r w:rsidRPr="00DD022F">
              <w:rPr>
                <w:rFonts w:ascii="Arial" w:hAnsi="Arial" w:cs="Arial"/>
                <w:rtl/>
              </w:rPr>
              <w:t>14,776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3C71" w:rsidRPr="00DD022F" w:rsidRDefault="00AB3C71">
            <w:pPr>
              <w:bidi/>
              <w:jc w:val="center"/>
              <w:rPr>
                <w:rFonts w:ascii="Arial" w:hAnsi="Arial" w:cs="Arial"/>
              </w:rPr>
            </w:pPr>
            <w:r w:rsidRPr="00DD022F">
              <w:rPr>
                <w:rFonts w:ascii="Arial" w:hAnsi="Arial" w:cs="Arial"/>
                <w:rtl/>
              </w:rPr>
              <w:t>10,000,001-100,000,000</w:t>
            </w:r>
          </w:p>
        </w:tc>
      </w:tr>
      <w:tr w:rsidR="00DD022F" w:rsidRPr="00DD022F" w:rsidTr="00AB3C71">
        <w:tc>
          <w:tcPr>
            <w:tcW w:w="17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3C71" w:rsidRPr="00DD022F" w:rsidRDefault="00AB3C71">
            <w:pPr>
              <w:bidi/>
              <w:jc w:val="center"/>
              <w:rPr>
                <w:rFonts w:ascii="Arial" w:hAnsi="Arial" w:cs="Arial"/>
              </w:rPr>
            </w:pPr>
            <w:r w:rsidRPr="00DD022F">
              <w:rPr>
                <w:rFonts w:ascii="Arial" w:hAnsi="Arial" w:cs="Arial"/>
                <w:rtl/>
              </w:rPr>
              <w:t>0.4%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3C71" w:rsidRPr="00DD022F" w:rsidRDefault="00AB3C71">
            <w:pPr>
              <w:bidi/>
              <w:jc w:val="center"/>
              <w:rPr>
                <w:rFonts w:ascii="Arial" w:hAnsi="Arial" w:cs="Arial"/>
              </w:rPr>
            </w:pPr>
            <w:r w:rsidRPr="00DD022F">
              <w:rPr>
                <w:rFonts w:ascii="Arial" w:hAnsi="Arial" w:cs="Arial"/>
                <w:rtl/>
              </w:rPr>
              <w:t>1,905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3C71" w:rsidRPr="00DD022F" w:rsidRDefault="00AB3C71">
            <w:pPr>
              <w:bidi/>
              <w:jc w:val="center"/>
              <w:rPr>
                <w:rFonts w:ascii="Arial" w:hAnsi="Arial" w:cs="Arial"/>
              </w:rPr>
            </w:pPr>
            <w:r w:rsidRPr="00DD022F">
              <w:rPr>
                <w:rFonts w:ascii="Arial" w:hAnsi="Arial" w:cs="Arial"/>
                <w:rtl/>
              </w:rPr>
              <w:t>מעל 100,000,000</w:t>
            </w:r>
          </w:p>
        </w:tc>
      </w:tr>
      <w:tr w:rsidR="00DD022F" w:rsidRPr="00DD022F" w:rsidTr="00AB3C71">
        <w:tc>
          <w:tcPr>
            <w:tcW w:w="17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3C71" w:rsidRPr="00DD022F" w:rsidRDefault="00AB3C71">
            <w:pPr>
              <w:bidi/>
              <w:jc w:val="center"/>
              <w:rPr>
                <w:rFonts w:ascii="Arial" w:hAnsi="Arial" w:cs="Arial"/>
              </w:rPr>
            </w:pPr>
            <w:r w:rsidRPr="00DD022F">
              <w:rPr>
                <w:rFonts w:ascii="Arial" w:hAnsi="Arial" w:cs="Arial"/>
                <w:rtl/>
              </w:rPr>
              <w:t>100%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3C71" w:rsidRPr="00DD022F" w:rsidRDefault="00AB3C71">
            <w:pPr>
              <w:bidi/>
              <w:jc w:val="center"/>
              <w:rPr>
                <w:rFonts w:ascii="Arial" w:hAnsi="Arial" w:cs="Arial"/>
              </w:rPr>
            </w:pPr>
            <w:r w:rsidRPr="00DD022F">
              <w:rPr>
                <w:rFonts w:ascii="Arial" w:hAnsi="Arial" w:cs="Arial"/>
                <w:rtl/>
              </w:rPr>
              <w:t>522,688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3C71" w:rsidRPr="00DD022F" w:rsidRDefault="00AB3C71">
            <w:pPr>
              <w:bidi/>
              <w:jc w:val="center"/>
              <w:rPr>
                <w:rFonts w:ascii="Arial" w:hAnsi="Arial" w:cs="Arial"/>
              </w:rPr>
            </w:pPr>
            <w:r w:rsidRPr="00DD022F">
              <w:rPr>
                <w:rFonts w:ascii="Arial" w:hAnsi="Arial" w:cs="Arial"/>
                <w:rtl/>
              </w:rPr>
              <w:t>סה"כ</w:t>
            </w:r>
          </w:p>
        </w:tc>
      </w:tr>
    </w:tbl>
    <w:p w:rsidR="00AB3C71" w:rsidRPr="00DD022F" w:rsidRDefault="00AB3C71" w:rsidP="00AB3C71">
      <w:pPr>
        <w:bidi/>
        <w:rPr>
          <w:rFonts w:ascii="Arial" w:hAnsi="Arial" w:cs="Arial"/>
        </w:rPr>
      </w:pPr>
    </w:p>
    <w:p w:rsidR="00AB3C71" w:rsidRPr="00DD022F" w:rsidRDefault="00AB3C71" w:rsidP="00AB3C71">
      <w:pPr>
        <w:bidi/>
        <w:rPr>
          <w:rFonts w:ascii="Arial" w:hAnsi="Arial" w:cs="Arial"/>
        </w:rPr>
      </w:pPr>
      <w:r w:rsidRPr="00DD022F">
        <w:rPr>
          <w:rFonts w:ascii="Arial" w:hAnsi="Arial" w:cs="Arial"/>
          <w:rtl/>
        </w:rPr>
        <w:t>מנתונים אלה עולה כי רוב רובה של אוכלוסיית העוסקים (כ 80%) (הכוללת יש להניח דוגמאות שהובאו בעת הדיון בוועדה שזכו לכינוי "אינסטלטורים") -  הינה בעלת מחזור שנתי של כ-מיליון ₪ ומטה.</w:t>
      </w:r>
    </w:p>
    <w:p w:rsidR="00AB3C71" w:rsidRPr="00DD022F" w:rsidRDefault="00AB3C71" w:rsidP="00AB3C71">
      <w:pPr>
        <w:bidi/>
        <w:rPr>
          <w:rFonts w:ascii="Arial" w:hAnsi="Arial" w:cs="Arial"/>
          <w:rtl/>
        </w:rPr>
      </w:pPr>
    </w:p>
    <w:p w:rsidR="00AB3C71" w:rsidRPr="00DD022F" w:rsidRDefault="00AB3C71" w:rsidP="00AB3C71">
      <w:pPr>
        <w:bidi/>
        <w:rPr>
          <w:rFonts w:ascii="Arial" w:hAnsi="Arial" w:cs="Arial"/>
          <w:rtl/>
        </w:rPr>
      </w:pPr>
      <w:r w:rsidRPr="00DD022F">
        <w:rPr>
          <w:rFonts w:ascii="Arial" w:hAnsi="Arial" w:cs="Arial"/>
          <w:rtl/>
        </w:rPr>
        <w:t>משמעות הדברים היא כי כל העלאה של הרף הכספי להכללתו של סעיף 220 כעבירת מקור בחוק איסור הלבנת הון – מעבר למליון ₪ -  מוסיפה אחוזים ספורים בלבד של אוכלוסיית העוסקים, אולם, מאידך רשויות האכיפה נתקלות לא מעט בחשדות להלבנת הון בסכומים אלה.</w:t>
      </w:r>
    </w:p>
    <w:p w:rsidR="00496A35" w:rsidRPr="00DD022F" w:rsidRDefault="00CC6C43">
      <w:pPr>
        <w:rPr>
          <w:sz w:val="28"/>
          <w:szCs w:val="28"/>
        </w:rPr>
      </w:pPr>
    </w:p>
    <w:sectPr w:rsidR="00496A35" w:rsidRPr="00DD022F" w:rsidSect="00D276EF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3C71"/>
    <w:rsid w:val="00460512"/>
    <w:rsid w:val="00AB3C71"/>
    <w:rsid w:val="00CC6C43"/>
    <w:rsid w:val="00D276EF"/>
    <w:rsid w:val="00DD0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C71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C71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42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BACDEF6-5ABA-4E51-A0B2-33CA6E74F248}"/>
</file>

<file path=customXml/itemProps2.xml><?xml version="1.0" encoding="utf-8"?>
<ds:datastoreItem xmlns:ds="http://schemas.openxmlformats.org/officeDocument/2006/customXml" ds:itemID="{C3EC0263-7F6D-442F-A89A-EEF8BCDF8A5F}"/>
</file>

<file path=customXml/itemProps3.xml><?xml version="1.0" encoding="utf-8"?>
<ds:datastoreItem xmlns:ds="http://schemas.openxmlformats.org/officeDocument/2006/customXml" ds:itemID="{C4202F24-2BCC-4094-BA8A-AB97AFF67D9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785</Characters>
  <Application>Microsoft Office Word</Application>
  <DocSecurity>4</DocSecurity>
  <Lines>6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</Company>
  <LinksUpToDate>false</LinksUpToDate>
  <CharactersWithSpaces>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אלעזר שטרן - הלשכה המשפטית</dc:creator>
  <cp:lastModifiedBy>חופית עלפי</cp:lastModifiedBy>
  <cp:revision>2</cp:revision>
  <dcterms:created xsi:type="dcterms:W3CDTF">2016-02-16T11:00:00Z</dcterms:created>
  <dcterms:modified xsi:type="dcterms:W3CDTF">2016-02-16T11:00:00Z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