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E25" w:rsidRPr="00CA2C75" w:rsidRDefault="001065F8" w:rsidP="00DC7B08">
      <w:pPr>
        <w:spacing w:line="240" w:lineRule="auto"/>
        <w:jc w:val="right"/>
        <w:rPr>
          <w:rFonts w:cs="David"/>
          <w:sz w:val="20"/>
          <w:szCs w:val="22"/>
          <w:rtl/>
        </w:rPr>
      </w:pPr>
      <w:bookmarkStart w:id="0" w:name="_GoBack"/>
      <w:bookmarkEnd w:id="0"/>
      <w:r w:rsidRPr="00CA2C75">
        <w:rPr>
          <w:rFonts w:cs="David" w:hint="cs"/>
          <w:sz w:val="20"/>
          <w:szCs w:val="22"/>
          <w:rtl/>
        </w:rPr>
        <w:t>ד</w:t>
      </w:r>
      <w:r w:rsidR="00A358D8" w:rsidRPr="00CA2C75">
        <w:rPr>
          <w:rFonts w:cs="David" w:hint="cs"/>
          <w:sz w:val="20"/>
          <w:szCs w:val="22"/>
          <w:rtl/>
        </w:rPr>
        <w:t xml:space="preserve">' באדר </w:t>
      </w:r>
      <w:r w:rsidR="00DC7B08" w:rsidRPr="00CA2C75">
        <w:rPr>
          <w:rFonts w:cs="David" w:hint="cs"/>
          <w:sz w:val="20"/>
          <w:szCs w:val="22"/>
          <w:rtl/>
        </w:rPr>
        <w:t>ב</w:t>
      </w:r>
      <w:r w:rsidR="00A358D8" w:rsidRPr="00CA2C75">
        <w:rPr>
          <w:rFonts w:cs="David" w:hint="cs"/>
          <w:sz w:val="20"/>
          <w:szCs w:val="22"/>
          <w:rtl/>
        </w:rPr>
        <w:t>'</w:t>
      </w:r>
      <w:r w:rsidR="00954876" w:rsidRPr="00CA2C75">
        <w:rPr>
          <w:rFonts w:cs="David" w:hint="cs"/>
          <w:sz w:val="20"/>
          <w:szCs w:val="22"/>
          <w:rtl/>
        </w:rPr>
        <w:t xml:space="preserve"> </w:t>
      </w:r>
      <w:r w:rsidR="00554E25" w:rsidRPr="00CA2C75">
        <w:rPr>
          <w:rFonts w:cs="David" w:hint="cs"/>
          <w:sz w:val="20"/>
          <w:szCs w:val="22"/>
          <w:rtl/>
        </w:rPr>
        <w:t>התשע"ו</w:t>
      </w:r>
    </w:p>
    <w:p w:rsidR="00554E25" w:rsidRPr="00CA2C75" w:rsidRDefault="00DC7B08" w:rsidP="001065F8">
      <w:pPr>
        <w:spacing w:line="240" w:lineRule="auto"/>
        <w:jc w:val="right"/>
        <w:rPr>
          <w:rFonts w:cs="David"/>
          <w:rtl/>
        </w:rPr>
      </w:pPr>
      <w:r w:rsidRPr="00CA2C75">
        <w:rPr>
          <w:rFonts w:cs="David" w:hint="cs"/>
          <w:sz w:val="20"/>
          <w:szCs w:val="22"/>
          <w:rtl/>
        </w:rPr>
        <w:t>1</w:t>
      </w:r>
      <w:r w:rsidR="001065F8" w:rsidRPr="00CA2C75">
        <w:rPr>
          <w:rFonts w:cs="David" w:hint="cs"/>
          <w:sz w:val="20"/>
          <w:szCs w:val="22"/>
          <w:rtl/>
        </w:rPr>
        <w:t>4</w:t>
      </w:r>
      <w:r w:rsidRPr="00CA2C75">
        <w:rPr>
          <w:rFonts w:cs="David" w:hint="cs"/>
          <w:sz w:val="20"/>
          <w:szCs w:val="22"/>
          <w:rtl/>
        </w:rPr>
        <w:t xml:space="preserve"> במרץ</w:t>
      </w:r>
      <w:r w:rsidR="00554E25" w:rsidRPr="00CA2C75">
        <w:rPr>
          <w:rFonts w:cs="David" w:hint="cs"/>
          <w:sz w:val="20"/>
          <w:szCs w:val="22"/>
          <w:rtl/>
        </w:rPr>
        <w:t xml:space="preserve"> 2016</w:t>
      </w:r>
    </w:p>
    <w:p w:rsidR="00554E25" w:rsidRPr="00CA16EC" w:rsidRDefault="00554E25" w:rsidP="00554E25">
      <w:pPr>
        <w:spacing w:line="240" w:lineRule="auto"/>
        <w:rPr>
          <w:rFonts w:cs="David"/>
          <w:rtl/>
        </w:rPr>
      </w:pPr>
      <w:r w:rsidRPr="00CA2C75">
        <w:rPr>
          <w:rFonts w:cs="David" w:hint="cs"/>
          <w:u w:val="single"/>
          <w:rtl/>
        </w:rPr>
        <w:t>אל</w:t>
      </w:r>
      <w:r w:rsidRPr="00CA2C75">
        <w:rPr>
          <w:rFonts w:cs="David" w:hint="cs"/>
          <w:rtl/>
        </w:rPr>
        <w:t>: חברי ועדת החוקה, חוק ומשפט</w:t>
      </w:r>
    </w:p>
    <w:p w:rsidR="00554E25" w:rsidRPr="00CA16EC" w:rsidRDefault="00554E25" w:rsidP="00554E25">
      <w:pPr>
        <w:spacing w:line="240" w:lineRule="auto"/>
        <w:rPr>
          <w:rFonts w:cs="David"/>
          <w:rtl/>
        </w:rPr>
      </w:pPr>
      <w:r w:rsidRPr="00151569">
        <w:rPr>
          <w:rFonts w:cs="David" w:hint="cs"/>
          <w:u w:val="single"/>
          <w:rtl/>
        </w:rPr>
        <w:t>מאת</w:t>
      </w:r>
      <w:r w:rsidRPr="00CA16EC">
        <w:rPr>
          <w:rFonts w:cs="David" w:hint="cs"/>
          <w:rtl/>
        </w:rPr>
        <w:t>: הייעוץ המשפטי לוועדה</w:t>
      </w:r>
    </w:p>
    <w:p w:rsidR="00554E25" w:rsidRPr="00CA16EC" w:rsidRDefault="00554E25" w:rsidP="00554E25">
      <w:pPr>
        <w:spacing w:line="240" w:lineRule="auto"/>
        <w:rPr>
          <w:rFonts w:cs="David"/>
          <w:rtl/>
        </w:rPr>
      </w:pPr>
    </w:p>
    <w:p w:rsidR="00554E25" w:rsidRPr="00CA16EC" w:rsidRDefault="00554E25" w:rsidP="00554E25">
      <w:pPr>
        <w:spacing w:line="240" w:lineRule="auto"/>
        <w:rPr>
          <w:rFonts w:cs="David"/>
          <w:rtl/>
        </w:rPr>
      </w:pPr>
    </w:p>
    <w:p w:rsidR="00554E25" w:rsidRPr="00CA16EC" w:rsidRDefault="00FA5640" w:rsidP="00FA5640">
      <w:pPr>
        <w:spacing w:after="240" w:line="240" w:lineRule="auto"/>
        <w:jc w:val="center"/>
        <w:rPr>
          <w:rFonts w:cs="David"/>
          <w:b/>
          <w:bCs/>
          <w:sz w:val="28"/>
          <w:szCs w:val="28"/>
          <w:u w:val="single"/>
          <w:rtl/>
        </w:rPr>
      </w:pPr>
      <w:r>
        <w:rPr>
          <w:rFonts w:cs="David" w:hint="cs"/>
          <w:b/>
          <w:bCs/>
          <w:sz w:val="28"/>
          <w:szCs w:val="28"/>
          <w:u w:val="single"/>
          <w:rtl/>
        </w:rPr>
        <w:t xml:space="preserve">עבירות מס כעבירות מקור  </w:t>
      </w:r>
      <w:r w:rsidR="00011C5C">
        <w:rPr>
          <w:rFonts w:cs="David" w:hint="cs"/>
          <w:b/>
          <w:bCs/>
          <w:sz w:val="28"/>
          <w:szCs w:val="28"/>
          <w:u w:val="single"/>
          <w:rtl/>
        </w:rPr>
        <w:t xml:space="preserve"> </w:t>
      </w:r>
      <w:r w:rsidR="00523A97">
        <w:rPr>
          <w:rFonts w:cs="David" w:hint="cs"/>
          <w:b/>
          <w:bCs/>
          <w:sz w:val="28"/>
          <w:szCs w:val="28"/>
          <w:u w:val="single"/>
          <w:rtl/>
        </w:rPr>
        <w:t xml:space="preserve"> </w:t>
      </w:r>
      <w:r w:rsidR="009F5DEE">
        <w:rPr>
          <w:rFonts w:cs="David" w:hint="cs"/>
          <w:b/>
          <w:bCs/>
          <w:sz w:val="28"/>
          <w:szCs w:val="28"/>
          <w:u w:val="single"/>
          <w:rtl/>
        </w:rPr>
        <w:t xml:space="preserve">     </w:t>
      </w:r>
      <w:r w:rsidR="00523A97">
        <w:rPr>
          <w:rFonts w:cs="David" w:hint="cs"/>
          <w:b/>
          <w:bCs/>
          <w:sz w:val="28"/>
          <w:szCs w:val="28"/>
          <w:u w:val="single"/>
          <w:rtl/>
        </w:rPr>
        <w:t xml:space="preserve">   </w:t>
      </w:r>
      <w:r w:rsidR="00011C5C">
        <w:rPr>
          <w:rFonts w:cs="David" w:hint="cs"/>
          <w:b/>
          <w:bCs/>
          <w:sz w:val="28"/>
          <w:szCs w:val="28"/>
          <w:u w:val="single"/>
          <w:rtl/>
        </w:rPr>
        <w:t xml:space="preserve"> </w:t>
      </w:r>
      <w:r>
        <w:rPr>
          <w:rFonts w:cs="David" w:hint="cs"/>
          <w:b/>
          <w:bCs/>
          <w:sz w:val="28"/>
          <w:szCs w:val="28"/>
          <w:u w:val="single"/>
          <w:rtl/>
        </w:rPr>
        <w:t xml:space="preserve">                                                                                          </w:t>
      </w:r>
      <w:r>
        <w:rPr>
          <w:rFonts w:cs="David"/>
          <w:b/>
          <w:bCs/>
          <w:sz w:val="28"/>
          <w:szCs w:val="28"/>
          <w:u w:val="single"/>
          <w:rtl/>
        </w:rPr>
        <w:t>–</w:t>
      </w:r>
      <w:r>
        <w:rPr>
          <w:rFonts w:cs="David" w:hint="cs"/>
          <w:b/>
          <w:bCs/>
          <w:sz w:val="28"/>
          <w:szCs w:val="28"/>
          <w:u w:val="single"/>
          <w:rtl/>
        </w:rPr>
        <w:t xml:space="preserve"> הצעה למתווה תיקונים בהתאם להנחיות הוועדה מהדיון הקודם</w:t>
      </w:r>
    </w:p>
    <w:p w:rsidR="00554E25" w:rsidRPr="00784791" w:rsidRDefault="001A7CD1" w:rsidP="00AE08BB">
      <w:pPr>
        <w:shd w:val="clear" w:color="auto" w:fill="A6A6A6" w:themeFill="background1" w:themeFillShade="A6"/>
        <w:spacing w:after="200" w:line="240" w:lineRule="auto"/>
        <w:jc w:val="center"/>
        <w:rPr>
          <w:rFonts w:cs="David"/>
          <w:b/>
          <w:bCs/>
          <w:sz w:val="28"/>
          <w:szCs w:val="28"/>
          <w:rtl/>
        </w:rPr>
      </w:pPr>
      <w:r w:rsidRPr="00784791">
        <w:rPr>
          <w:rFonts w:cs="David" w:hint="cs"/>
          <w:b/>
          <w:bCs/>
          <w:sz w:val="28"/>
          <w:szCs w:val="28"/>
          <w:rtl/>
        </w:rPr>
        <w:t>כללי</w:t>
      </w:r>
    </w:p>
    <w:p w:rsidR="00D14166" w:rsidRPr="00713ADA" w:rsidRDefault="001A7CD1" w:rsidP="00D14166">
      <w:pPr>
        <w:spacing w:after="120"/>
        <w:rPr>
          <w:rFonts w:cs="David"/>
          <w:sz w:val="24"/>
          <w:rtl/>
        </w:rPr>
      </w:pPr>
      <w:r>
        <w:rPr>
          <w:rFonts w:cs="David" w:hint="cs"/>
          <w:sz w:val="24"/>
          <w:rtl/>
        </w:rPr>
        <w:t xml:space="preserve">במסגרת הדיון בהצעת </w:t>
      </w:r>
      <w:r w:rsidRPr="001A7CD1">
        <w:rPr>
          <w:rFonts w:cs="David" w:hint="cs"/>
          <w:sz w:val="24"/>
          <w:rtl/>
        </w:rPr>
        <w:t>חוק להעמקת גביית המסים ולהגברת האכיפה (הרתעה מפני הלבנת הון), התשע"ה-2015</w:t>
      </w:r>
      <w:r>
        <w:rPr>
          <w:rFonts w:cs="David" w:hint="cs"/>
          <w:sz w:val="24"/>
          <w:rtl/>
        </w:rPr>
        <w:t xml:space="preserve">, שהתקיים בוועדת החוקה, חוק ומשפט ב-3 בינואר 2016, סברו חברי הכנסת כי יש מקום לערוך תיקונים ושינויים בהצעת החוק הממשלתית, </w:t>
      </w:r>
      <w:r w:rsidR="004753D1">
        <w:rPr>
          <w:rFonts w:cs="David" w:hint="cs"/>
          <w:sz w:val="24"/>
          <w:rtl/>
        </w:rPr>
        <w:t xml:space="preserve">באופן </w:t>
      </w:r>
      <w:r>
        <w:rPr>
          <w:rFonts w:cs="David" w:hint="cs"/>
          <w:sz w:val="24"/>
          <w:rtl/>
        </w:rPr>
        <w:t>שיוביל ליצירת הסדר מידתי ומאוזן יותר.</w:t>
      </w:r>
      <w:r w:rsidR="00D14166">
        <w:rPr>
          <w:rFonts w:cs="David" w:hint="cs"/>
          <w:sz w:val="24"/>
          <w:rtl/>
        </w:rPr>
        <w:t xml:space="preserve"> במסגרת זו</w:t>
      </w:r>
      <w:r w:rsidR="00855314">
        <w:rPr>
          <w:rFonts w:cs="David" w:hint="cs"/>
          <w:sz w:val="24"/>
          <w:rtl/>
        </w:rPr>
        <w:t>,</w:t>
      </w:r>
      <w:r w:rsidR="00D14166">
        <w:rPr>
          <w:rFonts w:cs="David" w:hint="cs"/>
          <w:sz w:val="24"/>
          <w:rtl/>
        </w:rPr>
        <w:t xml:space="preserve"> נתבקשנו להציע לוועדה מתווה של תיקונים להצעת החוק, שייתן מענה </w:t>
      </w:r>
      <w:r w:rsidR="00D14166" w:rsidRPr="00713ADA">
        <w:rPr>
          <w:rFonts w:cs="David" w:hint="cs"/>
          <w:sz w:val="24"/>
          <w:rtl/>
        </w:rPr>
        <w:t>לקשיים העיקריים והבעיות המרכזיות שהוצגו על ידינו במהלך הדיון הקודם ובחוות הדעת שהופצה לקראתו</w:t>
      </w:r>
      <w:r w:rsidR="00D70F5D" w:rsidRPr="00713ADA">
        <w:rPr>
          <w:rFonts w:cs="David" w:hint="cs"/>
          <w:sz w:val="24"/>
          <w:rtl/>
        </w:rPr>
        <w:t>.</w:t>
      </w:r>
      <w:r w:rsidR="00D14166" w:rsidRPr="00713ADA">
        <w:rPr>
          <w:rFonts w:cs="David" w:hint="cs"/>
          <w:sz w:val="24"/>
          <w:rtl/>
        </w:rPr>
        <w:t xml:space="preserve"> </w:t>
      </w:r>
    </w:p>
    <w:p w:rsidR="00B65FDE" w:rsidRPr="00713ADA" w:rsidRDefault="00B65FDE" w:rsidP="00CA2C75">
      <w:pPr>
        <w:spacing w:after="120"/>
        <w:rPr>
          <w:rFonts w:cs="David"/>
          <w:sz w:val="24"/>
          <w:rtl/>
        </w:rPr>
      </w:pPr>
      <w:r w:rsidRPr="00713ADA">
        <w:rPr>
          <w:rFonts w:cs="David" w:hint="cs"/>
          <w:sz w:val="24"/>
          <w:rtl/>
        </w:rPr>
        <w:t>להלן הצעה למתווה של תיקונים</w:t>
      </w:r>
      <w:r w:rsidR="00D70F5D" w:rsidRPr="00713ADA">
        <w:rPr>
          <w:rFonts w:cs="David" w:hint="cs"/>
          <w:sz w:val="24"/>
          <w:rtl/>
        </w:rPr>
        <w:t xml:space="preserve"> </w:t>
      </w:r>
      <w:r w:rsidR="00855314" w:rsidRPr="00713ADA">
        <w:rPr>
          <w:rFonts w:cs="David" w:hint="cs"/>
          <w:sz w:val="24"/>
          <w:rtl/>
        </w:rPr>
        <w:t>בהתאם להנחיות הוועדה</w:t>
      </w:r>
      <w:r w:rsidRPr="00713ADA">
        <w:rPr>
          <w:rFonts w:cs="David" w:hint="cs"/>
          <w:sz w:val="24"/>
          <w:rtl/>
        </w:rPr>
        <w:t>.</w:t>
      </w:r>
      <w:r w:rsidR="00113056" w:rsidRPr="00713ADA">
        <w:rPr>
          <w:rFonts w:cs="David" w:hint="cs"/>
          <w:sz w:val="24"/>
          <w:rtl/>
        </w:rPr>
        <w:t xml:space="preserve"> במסגרת זו</w:t>
      </w:r>
      <w:r w:rsidR="00855314" w:rsidRPr="00713ADA">
        <w:rPr>
          <w:rFonts w:cs="David" w:hint="cs"/>
          <w:sz w:val="24"/>
          <w:rtl/>
        </w:rPr>
        <w:t>,</w:t>
      </w:r>
      <w:r w:rsidR="00113056" w:rsidRPr="00713ADA">
        <w:rPr>
          <w:rFonts w:cs="David" w:hint="cs"/>
          <w:sz w:val="24"/>
          <w:rtl/>
        </w:rPr>
        <w:t xml:space="preserve"> נתייחס גם להצעת המתווה </w:t>
      </w:r>
      <w:r w:rsidR="00D70F5D" w:rsidRPr="00713ADA">
        <w:rPr>
          <w:rFonts w:cs="David" w:hint="cs"/>
          <w:sz w:val="24"/>
          <w:rtl/>
        </w:rPr>
        <w:t xml:space="preserve">שהונחה על שולחן הוועדה על ידי </w:t>
      </w:r>
      <w:r w:rsidR="00113056" w:rsidRPr="00713ADA">
        <w:rPr>
          <w:rFonts w:cs="David" w:hint="cs"/>
          <w:sz w:val="24"/>
          <w:rtl/>
        </w:rPr>
        <w:t>נציגי הממשלה</w:t>
      </w:r>
      <w:r w:rsidR="00EE25BE" w:rsidRPr="00713ADA">
        <w:rPr>
          <w:rFonts w:cs="David" w:hint="cs"/>
          <w:sz w:val="24"/>
          <w:rtl/>
        </w:rPr>
        <w:t xml:space="preserve"> (להלן </w:t>
      </w:r>
      <w:r w:rsidR="00EE25BE" w:rsidRPr="00713ADA">
        <w:rPr>
          <w:rFonts w:cs="David"/>
          <w:sz w:val="24"/>
          <w:rtl/>
        </w:rPr>
        <w:t>–</w:t>
      </w:r>
      <w:r w:rsidR="00EE25BE" w:rsidRPr="00713ADA">
        <w:rPr>
          <w:rFonts w:cs="David" w:hint="cs"/>
          <w:sz w:val="24"/>
          <w:rtl/>
        </w:rPr>
        <w:t xml:space="preserve"> הטיוטה הממשלתית)</w:t>
      </w:r>
      <w:r w:rsidR="00113056" w:rsidRPr="00713ADA">
        <w:rPr>
          <w:rFonts w:cs="David" w:hint="cs"/>
          <w:sz w:val="24"/>
          <w:rtl/>
        </w:rPr>
        <w:t>.</w:t>
      </w:r>
    </w:p>
    <w:p w:rsidR="001A7CD1" w:rsidRPr="00713ADA" w:rsidRDefault="001A7CD1" w:rsidP="00454466">
      <w:pPr>
        <w:spacing w:after="120"/>
        <w:rPr>
          <w:rFonts w:cs="David"/>
          <w:sz w:val="24"/>
          <w:rtl/>
        </w:rPr>
      </w:pPr>
    </w:p>
    <w:p w:rsidR="00B65FDE" w:rsidRPr="00713ADA" w:rsidRDefault="00DC020F" w:rsidP="00AE08BB">
      <w:pPr>
        <w:shd w:val="clear" w:color="auto" w:fill="A6A6A6" w:themeFill="background1" w:themeFillShade="A6"/>
        <w:spacing w:after="200" w:line="240" w:lineRule="auto"/>
        <w:jc w:val="center"/>
        <w:rPr>
          <w:rFonts w:cs="David"/>
          <w:b/>
          <w:bCs/>
          <w:sz w:val="28"/>
          <w:szCs w:val="28"/>
          <w:rtl/>
        </w:rPr>
      </w:pPr>
      <w:r w:rsidRPr="00713ADA">
        <w:rPr>
          <w:rFonts w:cs="David" w:hint="cs"/>
          <w:b/>
          <w:bCs/>
          <w:sz w:val="28"/>
          <w:szCs w:val="28"/>
          <w:rtl/>
        </w:rPr>
        <w:t>הצעה ל</w:t>
      </w:r>
      <w:r w:rsidR="00B65FDE" w:rsidRPr="00713ADA">
        <w:rPr>
          <w:rFonts w:cs="David" w:hint="cs"/>
          <w:b/>
          <w:bCs/>
          <w:sz w:val="28"/>
          <w:szCs w:val="28"/>
          <w:rtl/>
        </w:rPr>
        <w:t>מתווה תיקונים</w:t>
      </w:r>
    </w:p>
    <w:p w:rsidR="00033871" w:rsidRPr="00713ADA" w:rsidRDefault="00172B7D" w:rsidP="00011C5C">
      <w:pPr>
        <w:rPr>
          <w:rFonts w:cs="David"/>
          <w:b/>
          <w:bCs/>
          <w:sz w:val="24"/>
          <w:rtl/>
        </w:rPr>
      </w:pPr>
      <w:r w:rsidRPr="00713ADA">
        <w:rPr>
          <w:rFonts w:cs="David" w:hint="cs"/>
          <w:b/>
          <w:bCs/>
          <w:sz w:val="24"/>
          <w:rtl/>
        </w:rPr>
        <w:t xml:space="preserve">(1) </w:t>
      </w:r>
      <w:r w:rsidR="00E016AE" w:rsidRPr="00713ADA">
        <w:rPr>
          <w:rFonts w:cs="David" w:hint="cs"/>
          <w:b/>
          <w:bCs/>
          <w:sz w:val="24"/>
          <w:rtl/>
        </w:rPr>
        <w:t>הגדר</w:t>
      </w:r>
      <w:r w:rsidR="00B65FDE" w:rsidRPr="00713ADA">
        <w:rPr>
          <w:rFonts w:cs="David" w:hint="cs"/>
          <w:b/>
          <w:bCs/>
          <w:sz w:val="24"/>
          <w:rtl/>
        </w:rPr>
        <w:t>ה</w:t>
      </w:r>
      <w:r w:rsidR="00E016AE" w:rsidRPr="00713ADA">
        <w:rPr>
          <w:rFonts w:cs="David" w:hint="cs"/>
          <w:b/>
          <w:bCs/>
          <w:sz w:val="24"/>
          <w:rtl/>
        </w:rPr>
        <w:t xml:space="preserve"> </w:t>
      </w:r>
      <w:r w:rsidR="00B65FDE" w:rsidRPr="00713ADA">
        <w:rPr>
          <w:rFonts w:cs="David" w:hint="cs"/>
          <w:b/>
          <w:bCs/>
          <w:sz w:val="24"/>
          <w:rtl/>
        </w:rPr>
        <w:t>מצומצמת של ה</w:t>
      </w:r>
      <w:r w:rsidR="00E016AE" w:rsidRPr="00713ADA">
        <w:rPr>
          <w:rFonts w:cs="David" w:hint="cs"/>
          <w:b/>
          <w:bCs/>
          <w:sz w:val="24"/>
          <w:rtl/>
        </w:rPr>
        <w:t xml:space="preserve">עבירות </w:t>
      </w:r>
      <w:r w:rsidR="00B65FDE" w:rsidRPr="00713ADA">
        <w:rPr>
          <w:rFonts w:cs="David" w:hint="cs"/>
          <w:b/>
          <w:bCs/>
          <w:sz w:val="24"/>
          <w:rtl/>
        </w:rPr>
        <w:t xml:space="preserve">שיוגדרו כעבירות </w:t>
      </w:r>
      <w:r w:rsidR="00E016AE" w:rsidRPr="00713ADA">
        <w:rPr>
          <w:rFonts w:cs="David" w:hint="cs"/>
          <w:b/>
          <w:bCs/>
          <w:sz w:val="24"/>
          <w:rtl/>
        </w:rPr>
        <w:t>מקור</w:t>
      </w:r>
      <w:r w:rsidR="00B65FDE" w:rsidRPr="00713ADA">
        <w:rPr>
          <w:rFonts w:cs="David" w:hint="cs"/>
          <w:b/>
          <w:bCs/>
          <w:sz w:val="24"/>
          <w:rtl/>
        </w:rPr>
        <w:t xml:space="preserve"> </w:t>
      </w:r>
    </w:p>
    <w:p w:rsidR="00814C75" w:rsidRPr="00713ADA" w:rsidRDefault="00513DC8" w:rsidP="00814C75">
      <w:pPr>
        <w:spacing w:after="120"/>
        <w:rPr>
          <w:rFonts w:cs="David"/>
          <w:sz w:val="24"/>
          <w:rtl/>
        </w:rPr>
      </w:pPr>
      <w:r w:rsidRPr="00713ADA">
        <w:rPr>
          <w:rFonts w:cs="David" w:hint="cs"/>
          <w:sz w:val="24"/>
          <w:rtl/>
        </w:rPr>
        <w:t xml:space="preserve">כדי להבטיח כי כלי האכיפה הנרחבים שבחוק איסור הלבנת הון יופעלו רק כלפי "כרישי פשע", </w:t>
      </w:r>
      <w:r w:rsidR="00B65FDE" w:rsidRPr="00713ADA">
        <w:rPr>
          <w:rFonts w:cs="David" w:hint="cs"/>
          <w:sz w:val="24"/>
          <w:rtl/>
        </w:rPr>
        <w:t xml:space="preserve">עבירות המס אותן מוצע להוסיף לרשימת עבירות המקור יוגדרו ככאלה </w:t>
      </w:r>
      <w:r w:rsidR="00B65FDE" w:rsidRPr="00713ADA">
        <w:rPr>
          <w:rFonts w:cs="David" w:hint="cs"/>
          <w:sz w:val="24"/>
          <w:u w:val="single"/>
          <w:rtl/>
        </w:rPr>
        <w:t>אך ורק אם סכום המס שהועלם</w:t>
      </w:r>
      <w:r w:rsidR="00AE6A39" w:rsidRPr="00713ADA">
        <w:rPr>
          <w:rFonts w:cs="David" w:hint="cs"/>
          <w:sz w:val="24"/>
          <w:u w:val="single"/>
          <w:rtl/>
        </w:rPr>
        <w:t xml:space="preserve"> הוא גבוה באופן משמעותי</w:t>
      </w:r>
      <w:r w:rsidR="008C4878" w:rsidRPr="00713ADA">
        <w:rPr>
          <w:rFonts w:cs="David" w:hint="cs"/>
          <w:sz w:val="24"/>
          <w:u w:val="single"/>
          <w:rtl/>
        </w:rPr>
        <w:t xml:space="preserve"> </w:t>
      </w:r>
      <w:r w:rsidR="008C4878" w:rsidRPr="00713ADA">
        <w:rPr>
          <w:rFonts w:cs="David" w:hint="cs"/>
          <w:sz w:val="24"/>
          <w:rtl/>
        </w:rPr>
        <w:t xml:space="preserve">או </w:t>
      </w:r>
      <w:r w:rsidR="00985945" w:rsidRPr="00713ADA">
        <w:rPr>
          <w:rFonts w:cs="David" w:hint="cs"/>
          <w:sz w:val="24"/>
          <w:rtl/>
        </w:rPr>
        <w:t>ש</w:t>
      </w:r>
      <w:r w:rsidR="00985945" w:rsidRPr="00713ADA">
        <w:rPr>
          <w:rFonts w:cs="David" w:hint="cs"/>
          <w:sz w:val="24"/>
          <w:u w:val="single"/>
          <w:rtl/>
        </w:rPr>
        <w:t>עבירת המס נעברה ב</w:t>
      </w:r>
      <w:r w:rsidR="008C4878" w:rsidRPr="00713ADA">
        <w:rPr>
          <w:rFonts w:cs="David" w:hint="cs"/>
          <w:sz w:val="24"/>
          <w:u w:val="single"/>
          <w:rtl/>
        </w:rPr>
        <w:t>נסיבות מחמירות</w:t>
      </w:r>
      <w:r w:rsidR="008C4878" w:rsidRPr="00713ADA">
        <w:rPr>
          <w:rFonts w:cs="David" w:hint="cs"/>
          <w:sz w:val="24"/>
          <w:rtl/>
        </w:rPr>
        <w:t>.</w:t>
      </w:r>
      <w:r w:rsidR="00B1783A" w:rsidRPr="00713ADA">
        <w:rPr>
          <w:rFonts w:cs="David" w:hint="cs"/>
          <w:sz w:val="24"/>
          <w:rtl/>
        </w:rPr>
        <w:t xml:space="preserve"> </w:t>
      </w:r>
    </w:p>
    <w:p w:rsidR="00814C75" w:rsidRPr="00713ADA" w:rsidRDefault="00814C75" w:rsidP="00B70CF9">
      <w:pPr>
        <w:spacing w:after="120"/>
        <w:rPr>
          <w:rFonts w:cs="David"/>
          <w:sz w:val="24"/>
          <w:rtl/>
        </w:rPr>
      </w:pPr>
      <w:r w:rsidRPr="00713ADA">
        <w:rPr>
          <w:rFonts w:cs="David" w:hint="cs"/>
          <w:sz w:val="24"/>
          <w:u w:val="single"/>
          <w:rtl/>
        </w:rPr>
        <w:t>לעניין הסכום</w:t>
      </w:r>
      <w:r w:rsidRPr="00713ADA">
        <w:rPr>
          <w:rFonts w:cs="David" w:hint="cs"/>
          <w:sz w:val="24"/>
          <w:rtl/>
        </w:rPr>
        <w:t xml:space="preserve"> </w:t>
      </w:r>
      <w:r w:rsidRPr="00713ADA">
        <w:rPr>
          <w:rFonts w:cs="David"/>
          <w:sz w:val="24"/>
          <w:rtl/>
        </w:rPr>
        <w:t>–</w:t>
      </w:r>
      <w:r w:rsidRPr="00713ADA">
        <w:rPr>
          <w:rFonts w:cs="David" w:hint="cs"/>
          <w:sz w:val="24"/>
          <w:rtl/>
        </w:rPr>
        <w:t xml:space="preserve"> מוצע לקבוע כי עבירות המס </w:t>
      </w:r>
      <w:r w:rsidR="00C126E8">
        <w:rPr>
          <w:rFonts w:cs="David" w:hint="cs"/>
          <w:sz w:val="24"/>
          <w:rtl/>
        </w:rPr>
        <w:t xml:space="preserve">המוצעות </w:t>
      </w:r>
      <w:r w:rsidRPr="00713ADA">
        <w:rPr>
          <w:rFonts w:cs="David" w:hint="cs"/>
          <w:sz w:val="24"/>
          <w:rtl/>
        </w:rPr>
        <w:t>תחשבנה לעבירות מקור</w:t>
      </w:r>
      <w:r w:rsidR="001F581A">
        <w:rPr>
          <w:rFonts w:cs="David" w:hint="cs"/>
          <w:sz w:val="24"/>
          <w:rtl/>
        </w:rPr>
        <w:t>,</w:t>
      </w:r>
      <w:r w:rsidRPr="00713ADA">
        <w:rPr>
          <w:rFonts w:cs="David" w:hint="cs"/>
          <w:sz w:val="24"/>
          <w:rtl/>
        </w:rPr>
        <w:t xml:space="preserve"> רק אם </w:t>
      </w:r>
      <w:r w:rsidRPr="008A67E3">
        <w:rPr>
          <w:rFonts w:cs="David" w:hint="cs"/>
          <w:b/>
          <w:bCs/>
          <w:sz w:val="24"/>
          <w:rtl/>
        </w:rPr>
        <w:t>סכום המס שהועלם עולה על מיליון ₪</w:t>
      </w:r>
      <w:r w:rsidRPr="00713ADA">
        <w:rPr>
          <w:rFonts w:cs="David" w:hint="cs"/>
          <w:sz w:val="24"/>
          <w:rtl/>
        </w:rPr>
        <w:t xml:space="preserve">. ודוק, הסכום האמור מתייחס </w:t>
      </w:r>
      <w:r w:rsidRPr="00713ADA">
        <w:rPr>
          <w:rFonts w:cs="David" w:hint="cs"/>
          <w:b/>
          <w:bCs/>
          <w:sz w:val="24"/>
          <w:rtl/>
        </w:rPr>
        <w:t>למס שהועלם</w:t>
      </w:r>
      <w:r w:rsidRPr="00713ADA">
        <w:rPr>
          <w:rFonts w:cs="David" w:hint="cs"/>
          <w:sz w:val="24"/>
          <w:rtl/>
        </w:rPr>
        <w:t xml:space="preserve"> ולא </w:t>
      </w:r>
      <w:r w:rsidRPr="00713ADA">
        <w:rPr>
          <w:rFonts w:cs="David" w:hint="cs"/>
          <w:b/>
          <w:bCs/>
          <w:sz w:val="24"/>
          <w:rtl/>
        </w:rPr>
        <w:t>להכנסה שהושמטה</w:t>
      </w:r>
      <w:r w:rsidRPr="00713ADA">
        <w:rPr>
          <w:rFonts w:cs="David" w:hint="cs"/>
          <w:sz w:val="24"/>
          <w:rtl/>
        </w:rPr>
        <w:t xml:space="preserve">, כך </w:t>
      </w:r>
      <w:r w:rsidR="0079207A" w:rsidRPr="00713ADA">
        <w:rPr>
          <w:rFonts w:cs="David" w:hint="cs"/>
          <w:sz w:val="24"/>
          <w:rtl/>
        </w:rPr>
        <w:t xml:space="preserve">שלגבי עבירה של </w:t>
      </w:r>
      <w:r w:rsidRPr="00713ADA">
        <w:rPr>
          <w:rFonts w:cs="David" w:hint="cs"/>
          <w:sz w:val="24"/>
          <w:rtl/>
        </w:rPr>
        <w:t>השמטת הכנסות לפי סעיף 220 לפקודת מס הכנסה</w:t>
      </w:r>
      <w:r w:rsidR="00941E36" w:rsidRPr="00713ADA">
        <w:rPr>
          <w:rFonts w:cs="David" w:hint="cs"/>
          <w:sz w:val="24"/>
          <w:rtl/>
        </w:rPr>
        <w:t>,</w:t>
      </w:r>
      <w:r w:rsidRPr="00713ADA">
        <w:rPr>
          <w:rFonts w:cs="David" w:hint="cs"/>
          <w:sz w:val="24"/>
          <w:rtl/>
        </w:rPr>
        <w:t xml:space="preserve"> מדובר על סדר גודל של 2.5 מיליון ₪. יובהר</w:t>
      </w:r>
      <w:r w:rsidR="001F581A">
        <w:rPr>
          <w:rFonts w:cs="David" w:hint="cs"/>
          <w:sz w:val="24"/>
          <w:rtl/>
        </w:rPr>
        <w:t>,</w:t>
      </w:r>
      <w:r w:rsidRPr="00713ADA">
        <w:rPr>
          <w:rFonts w:cs="David" w:hint="cs"/>
          <w:sz w:val="24"/>
          <w:rtl/>
        </w:rPr>
        <w:t xml:space="preserve"> </w:t>
      </w:r>
      <w:r w:rsidR="00941E36" w:rsidRPr="00713ADA">
        <w:rPr>
          <w:rFonts w:cs="David" w:hint="cs"/>
          <w:sz w:val="24"/>
          <w:rtl/>
        </w:rPr>
        <w:t xml:space="preserve">כי הסכום האמור יכול להיות </w:t>
      </w:r>
      <w:r w:rsidRPr="00713ADA">
        <w:rPr>
          <w:rFonts w:cs="David" w:hint="cs"/>
          <w:sz w:val="24"/>
          <w:rtl/>
        </w:rPr>
        <w:t>סכום מצטבר</w:t>
      </w:r>
      <w:r w:rsidR="00941E36" w:rsidRPr="00713ADA">
        <w:rPr>
          <w:rFonts w:cs="David" w:hint="cs"/>
          <w:sz w:val="24"/>
          <w:rtl/>
        </w:rPr>
        <w:t xml:space="preserve"> של מספר שנות מס</w:t>
      </w:r>
      <w:r w:rsidRPr="00713ADA">
        <w:rPr>
          <w:rFonts w:cs="David" w:hint="cs"/>
          <w:sz w:val="24"/>
          <w:rtl/>
        </w:rPr>
        <w:t xml:space="preserve">, ובלבד שסך המס שהושמט בכל אחת משנות המס </w:t>
      </w:r>
      <w:r w:rsidR="00106268" w:rsidRPr="00713ADA">
        <w:rPr>
          <w:rFonts w:cs="David" w:hint="cs"/>
          <w:sz w:val="24"/>
          <w:rtl/>
        </w:rPr>
        <w:t xml:space="preserve">עולה על </w:t>
      </w:r>
      <w:r w:rsidRPr="00713ADA">
        <w:rPr>
          <w:rFonts w:cs="David" w:hint="cs"/>
          <w:sz w:val="24"/>
          <w:rtl/>
        </w:rPr>
        <w:t xml:space="preserve">250 </w:t>
      </w:r>
      <w:r w:rsidRPr="003A1ED9">
        <w:rPr>
          <w:rFonts w:cs="David" w:hint="cs"/>
          <w:sz w:val="24"/>
          <w:rtl/>
        </w:rPr>
        <w:t>אלף ₪</w:t>
      </w:r>
      <w:r w:rsidR="003745A6" w:rsidRPr="003A1ED9">
        <w:rPr>
          <w:rFonts w:cs="David" w:hint="cs"/>
          <w:sz w:val="24"/>
          <w:rtl/>
        </w:rPr>
        <w:t xml:space="preserve"> (לגבי פקודת מס הכנסה </w:t>
      </w:r>
      <w:r w:rsidR="003745A6" w:rsidRPr="003A1ED9">
        <w:rPr>
          <w:rFonts w:cs="David"/>
          <w:sz w:val="24"/>
          <w:rtl/>
        </w:rPr>
        <w:t>–</w:t>
      </w:r>
      <w:r w:rsidR="003745A6" w:rsidRPr="003A1ED9">
        <w:rPr>
          <w:rFonts w:cs="David" w:hint="cs"/>
          <w:sz w:val="24"/>
          <w:rtl/>
        </w:rPr>
        <w:t xml:space="preserve"> 625 אלף ₪ הכנסה</w:t>
      </w:r>
      <w:r w:rsidR="00E34B8B" w:rsidRPr="003A1ED9">
        <w:rPr>
          <w:rFonts w:cs="David" w:hint="cs"/>
          <w:sz w:val="24"/>
          <w:rtl/>
        </w:rPr>
        <w:t xml:space="preserve"> שהועלמה</w:t>
      </w:r>
      <w:r w:rsidR="003745A6" w:rsidRPr="003A1ED9">
        <w:rPr>
          <w:rFonts w:cs="David" w:hint="cs"/>
          <w:sz w:val="24"/>
          <w:rtl/>
        </w:rPr>
        <w:t>)</w:t>
      </w:r>
      <w:r w:rsidR="002A0775" w:rsidRPr="003A1ED9">
        <w:rPr>
          <w:rFonts w:cs="David" w:hint="cs"/>
          <w:sz w:val="24"/>
          <w:rtl/>
        </w:rPr>
        <w:t>;</w:t>
      </w:r>
      <w:r w:rsidR="00CF4B27" w:rsidRPr="003A1ED9">
        <w:rPr>
          <w:rFonts w:cs="David" w:hint="cs"/>
          <w:sz w:val="24"/>
          <w:rtl/>
        </w:rPr>
        <w:t xml:space="preserve"> לחלופין</w:t>
      </w:r>
      <w:r w:rsidR="00296B07" w:rsidRPr="003A1ED9">
        <w:rPr>
          <w:rFonts w:cs="David" w:hint="cs"/>
          <w:sz w:val="24"/>
          <w:rtl/>
        </w:rPr>
        <w:t>,</w:t>
      </w:r>
      <w:r w:rsidR="00CF4B27" w:rsidRPr="003A1ED9">
        <w:rPr>
          <w:rFonts w:cs="David" w:hint="cs"/>
          <w:sz w:val="24"/>
          <w:rtl/>
        </w:rPr>
        <w:t xml:space="preserve"> ניתן לקבוע </w:t>
      </w:r>
      <w:r w:rsidR="00B70CF9">
        <w:rPr>
          <w:rFonts w:cs="David" w:hint="cs"/>
          <w:sz w:val="24"/>
          <w:rtl/>
        </w:rPr>
        <w:t xml:space="preserve">כי </w:t>
      </w:r>
      <w:r w:rsidR="003A1ED9" w:rsidRPr="003A1ED9">
        <w:rPr>
          <w:rFonts w:cs="David" w:hint="cs"/>
          <w:sz w:val="24"/>
          <w:rtl/>
        </w:rPr>
        <w:t>סכום ההכנסה האמור הועלם בתקופת זמן שאינה עולה על 3-4 שנים, ללא קביעה מפורשת של סכום ההכנסה המינימאלי שהועלם בכל שנה</w:t>
      </w:r>
      <w:r w:rsidRPr="003A1ED9">
        <w:rPr>
          <w:rFonts w:cs="David" w:hint="cs"/>
          <w:sz w:val="24"/>
          <w:rtl/>
        </w:rPr>
        <w:t>.</w:t>
      </w:r>
      <w:r w:rsidRPr="00713ADA">
        <w:rPr>
          <w:rFonts w:cs="David" w:hint="cs"/>
          <w:sz w:val="24"/>
          <w:rtl/>
        </w:rPr>
        <w:t xml:space="preserve"> </w:t>
      </w:r>
    </w:p>
    <w:p w:rsidR="00BD6DBC" w:rsidRPr="00713ADA" w:rsidRDefault="00BD6DBC" w:rsidP="00B80DA4">
      <w:pPr>
        <w:spacing w:after="120"/>
        <w:rPr>
          <w:rFonts w:cs="David"/>
          <w:sz w:val="24"/>
          <w:rtl/>
        </w:rPr>
      </w:pPr>
      <w:r w:rsidRPr="00713ADA">
        <w:rPr>
          <w:rFonts w:cs="David" w:hint="cs"/>
          <w:sz w:val="24"/>
          <w:rtl/>
        </w:rPr>
        <w:t xml:space="preserve">=&gt; הטיוטה הממשלתית כוללת התייחסות </w:t>
      </w:r>
      <w:r w:rsidR="00272826">
        <w:rPr>
          <w:rFonts w:cs="David" w:hint="cs"/>
          <w:sz w:val="24"/>
          <w:rtl/>
        </w:rPr>
        <w:t>לסכומים נמוכים בהרבה</w:t>
      </w:r>
      <w:r w:rsidR="005E077B">
        <w:rPr>
          <w:rFonts w:cs="David" w:hint="cs"/>
          <w:sz w:val="24"/>
          <w:rtl/>
        </w:rPr>
        <w:t xml:space="preserve">, </w:t>
      </w:r>
      <w:r w:rsidR="00143455">
        <w:rPr>
          <w:rFonts w:cs="David" w:hint="cs"/>
          <w:sz w:val="24"/>
          <w:rtl/>
        </w:rPr>
        <w:t xml:space="preserve">ואינה מגבילה </w:t>
      </w:r>
      <w:r w:rsidR="007543D0">
        <w:rPr>
          <w:rFonts w:cs="David" w:hint="cs"/>
          <w:sz w:val="24"/>
          <w:rtl/>
        </w:rPr>
        <w:t xml:space="preserve">את </w:t>
      </w:r>
      <w:r w:rsidR="00143455">
        <w:rPr>
          <w:rFonts w:cs="David" w:hint="cs"/>
          <w:sz w:val="24"/>
          <w:rtl/>
        </w:rPr>
        <w:t xml:space="preserve">סכום המס השנתי או את </w:t>
      </w:r>
      <w:r w:rsidR="000136D3">
        <w:rPr>
          <w:rFonts w:cs="David" w:hint="cs"/>
          <w:sz w:val="24"/>
          <w:rtl/>
        </w:rPr>
        <w:t xml:space="preserve">מספר </w:t>
      </w:r>
      <w:r w:rsidR="00143455">
        <w:rPr>
          <w:rFonts w:cs="David" w:hint="cs"/>
          <w:sz w:val="24"/>
          <w:rtl/>
        </w:rPr>
        <w:t xml:space="preserve">שנות המס שבהם הסכום הכללי יכול להתפרס, אלא </w:t>
      </w:r>
      <w:r w:rsidR="005E077B">
        <w:rPr>
          <w:rFonts w:cs="David" w:hint="cs"/>
          <w:sz w:val="24"/>
          <w:rtl/>
        </w:rPr>
        <w:t xml:space="preserve">כוללת סייג, ולפיו </w:t>
      </w:r>
      <w:r w:rsidR="00871797">
        <w:rPr>
          <w:rFonts w:cs="David" w:hint="cs"/>
          <w:sz w:val="24"/>
          <w:rtl/>
        </w:rPr>
        <w:t>די בכך ש</w:t>
      </w:r>
      <w:r w:rsidR="005E077B">
        <w:rPr>
          <w:rFonts w:cs="David" w:hint="cs"/>
          <w:sz w:val="24"/>
          <w:rtl/>
        </w:rPr>
        <w:t>סך המס שהושמט באחת משנות המס עולה על רבע מהסכום הכללי</w:t>
      </w:r>
      <w:r w:rsidR="00266684">
        <w:rPr>
          <w:rFonts w:cs="David" w:hint="cs"/>
          <w:sz w:val="24"/>
          <w:rtl/>
        </w:rPr>
        <w:t xml:space="preserve"> (הגבלה שאינה קיימת בטיוטה הממשלתית לגבי מיסוי מקרקעין)</w:t>
      </w:r>
      <w:r w:rsidRPr="00713ADA">
        <w:rPr>
          <w:rFonts w:cs="David" w:hint="cs"/>
          <w:sz w:val="24"/>
          <w:rtl/>
        </w:rPr>
        <w:t>.</w:t>
      </w:r>
      <w:r w:rsidR="0018501A">
        <w:rPr>
          <w:rFonts w:cs="David" w:hint="cs"/>
          <w:sz w:val="24"/>
          <w:rtl/>
        </w:rPr>
        <w:t xml:space="preserve"> </w:t>
      </w:r>
      <w:r w:rsidR="005C6C18">
        <w:rPr>
          <w:rFonts w:cs="David" w:hint="cs"/>
          <w:sz w:val="24"/>
          <w:rtl/>
        </w:rPr>
        <w:t>אנו סבורים כי</w:t>
      </w:r>
      <w:r w:rsidR="00297519">
        <w:rPr>
          <w:rFonts w:cs="David" w:hint="cs"/>
          <w:sz w:val="24"/>
          <w:rtl/>
        </w:rPr>
        <w:t xml:space="preserve"> </w:t>
      </w:r>
      <w:r w:rsidR="00B80DA4">
        <w:rPr>
          <w:rFonts w:cs="David" w:hint="cs"/>
          <w:sz w:val="24"/>
          <w:rtl/>
        </w:rPr>
        <w:t xml:space="preserve">יש צורך בקביעת סכומים גבוהים בהרבה, וכי </w:t>
      </w:r>
      <w:r w:rsidR="00297519">
        <w:rPr>
          <w:rFonts w:cs="David" w:hint="cs"/>
          <w:sz w:val="24"/>
          <w:rtl/>
        </w:rPr>
        <w:t xml:space="preserve">לא די בסייג </w:t>
      </w:r>
      <w:r w:rsidR="00B80DA4">
        <w:rPr>
          <w:rFonts w:cs="David" w:hint="cs"/>
          <w:sz w:val="24"/>
          <w:rtl/>
        </w:rPr>
        <w:t>שבטיוטה הממשלתית</w:t>
      </w:r>
      <w:r w:rsidR="00297519">
        <w:rPr>
          <w:rFonts w:cs="David" w:hint="cs"/>
          <w:sz w:val="24"/>
          <w:rtl/>
        </w:rPr>
        <w:t xml:space="preserve">, </w:t>
      </w:r>
      <w:r w:rsidR="00B80DA4">
        <w:rPr>
          <w:rFonts w:cs="David" w:hint="cs"/>
          <w:sz w:val="24"/>
          <w:rtl/>
        </w:rPr>
        <w:t xml:space="preserve">אלא </w:t>
      </w:r>
      <w:r w:rsidR="000136D3">
        <w:rPr>
          <w:rFonts w:cs="David" w:hint="cs"/>
          <w:sz w:val="24"/>
          <w:rtl/>
        </w:rPr>
        <w:t xml:space="preserve">נדרשת התייחסות לסכום המס השנתי או למספר שנות המס, אחרת </w:t>
      </w:r>
      <w:r w:rsidR="007543D0">
        <w:rPr>
          <w:rFonts w:cs="David" w:hint="cs"/>
          <w:sz w:val="24"/>
          <w:rtl/>
        </w:rPr>
        <w:t xml:space="preserve">יחטיא </w:t>
      </w:r>
      <w:r w:rsidR="000136D3">
        <w:rPr>
          <w:rFonts w:cs="David" w:hint="cs"/>
          <w:sz w:val="24"/>
          <w:rtl/>
        </w:rPr>
        <w:t xml:space="preserve">ההסדר </w:t>
      </w:r>
      <w:r w:rsidR="00FA3B90">
        <w:rPr>
          <w:rFonts w:cs="David" w:hint="cs"/>
          <w:sz w:val="24"/>
          <w:rtl/>
        </w:rPr>
        <w:t>את ה</w:t>
      </w:r>
      <w:r w:rsidR="00297519">
        <w:rPr>
          <w:rFonts w:cs="David" w:hint="cs"/>
          <w:sz w:val="24"/>
          <w:rtl/>
        </w:rPr>
        <w:t>מטרה של הפעלת החוק רק כלפי "כרישי פשע".</w:t>
      </w:r>
    </w:p>
    <w:p w:rsidR="00E34B8B" w:rsidRPr="00F45858" w:rsidRDefault="003745A6" w:rsidP="0092608B">
      <w:pPr>
        <w:spacing w:after="120"/>
        <w:rPr>
          <w:rFonts w:cs="David"/>
          <w:sz w:val="24"/>
          <w:rtl/>
        </w:rPr>
      </w:pPr>
      <w:r w:rsidRPr="00713ADA">
        <w:rPr>
          <w:rFonts w:cs="David" w:hint="cs"/>
          <w:sz w:val="24"/>
          <w:u w:val="single"/>
          <w:rtl/>
        </w:rPr>
        <w:t>לעניין הנסיבות המחמירות</w:t>
      </w:r>
      <w:r w:rsidRPr="00713ADA">
        <w:rPr>
          <w:rFonts w:cs="David" w:hint="cs"/>
          <w:sz w:val="24"/>
          <w:rtl/>
        </w:rPr>
        <w:t xml:space="preserve"> </w:t>
      </w:r>
      <w:r w:rsidRPr="00713ADA">
        <w:rPr>
          <w:rFonts w:cs="David"/>
          <w:sz w:val="24"/>
          <w:rtl/>
        </w:rPr>
        <w:t>–</w:t>
      </w:r>
      <w:r w:rsidRPr="00713ADA">
        <w:rPr>
          <w:rFonts w:cs="David" w:hint="cs"/>
          <w:sz w:val="24"/>
          <w:rtl/>
        </w:rPr>
        <w:t xml:space="preserve"> </w:t>
      </w:r>
      <w:r w:rsidR="00B1783A" w:rsidRPr="00713ADA">
        <w:rPr>
          <w:rFonts w:cs="David" w:hint="cs"/>
          <w:sz w:val="24"/>
          <w:rtl/>
        </w:rPr>
        <w:t xml:space="preserve">נסיבות מחמירות יכולות להיות </w:t>
      </w:r>
      <w:r w:rsidR="00B17D9E" w:rsidRPr="00713ADA">
        <w:rPr>
          <w:rFonts w:cs="David" w:hint="cs"/>
          <w:sz w:val="24"/>
          <w:rtl/>
        </w:rPr>
        <w:t xml:space="preserve">אם עבירת המס </w:t>
      </w:r>
      <w:r w:rsidR="00B1783A" w:rsidRPr="00713ADA">
        <w:rPr>
          <w:rFonts w:cs="David" w:hint="cs"/>
          <w:sz w:val="24"/>
          <w:rtl/>
        </w:rPr>
        <w:t>בוצע</w:t>
      </w:r>
      <w:r w:rsidR="00B17D9E" w:rsidRPr="00713ADA">
        <w:rPr>
          <w:rFonts w:cs="David" w:hint="cs"/>
          <w:sz w:val="24"/>
          <w:rtl/>
        </w:rPr>
        <w:t>ה</w:t>
      </w:r>
      <w:r w:rsidR="00B1783A" w:rsidRPr="00713ADA">
        <w:rPr>
          <w:rFonts w:cs="David" w:hint="cs"/>
          <w:sz w:val="24"/>
          <w:rtl/>
        </w:rPr>
        <w:t xml:space="preserve"> בזיקה לא</w:t>
      </w:r>
      <w:r w:rsidR="001B083E" w:rsidRPr="00713ADA">
        <w:rPr>
          <w:rFonts w:cs="David" w:hint="cs"/>
          <w:sz w:val="24"/>
          <w:rtl/>
        </w:rPr>
        <w:t>ר</w:t>
      </w:r>
      <w:r w:rsidR="00B1783A" w:rsidRPr="00713ADA">
        <w:rPr>
          <w:rFonts w:cs="David" w:hint="cs"/>
          <w:sz w:val="24"/>
          <w:rtl/>
        </w:rPr>
        <w:t>גון פשיעה</w:t>
      </w:r>
      <w:r w:rsidRPr="00713ADA">
        <w:rPr>
          <w:rFonts w:cs="David" w:hint="cs"/>
          <w:sz w:val="24"/>
          <w:rtl/>
        </w:rPr>
        <w:t xml:space="preserve"> או ארגון טרור</w:t>
      </w:r>
      <w:r w:rsidR="00B1783A" w:rsidRPr="00713ADA">
        <w:rPr>
          <w:rFonts w:cs="David" w:hint="cs"/>
          <w:sz w:val="24"/>
          <w:rtl/>
        </w:rPr>
        <w:t xml:space="preserve">, או </w:t>
      </w:r>
      <w:r w:rsidR="00B1783A" w:rsidRPr="00F45858">
        <w:rPr>
          <w:rFonts w:cs="David" w:hint="cs"/>
          <w:sz w:val="24"/>
          <w:rtl/>
        </w:rPr>
        <w:t xml:space="preserve">כאשר עבירת ההלבנה מבוצעת על ידי </w:t>
      </w:r>
      <w:r w:rsidR="003403C5" w:rsidRPr="00F45858">
        <w:rPr>
          <w:rFonts w:cs="David" w:hint="cs"/>
          <w:sz w:val="24"/>
          <w:rtl/>
        </w:rPr>
        <w:t xml:space="preserve">אדם אחר, </w:t>
      </w:r>
      <w:r w:rsidR="00B17D9E" w:rsidRPr="00F45858">
        <w:rPr>
          <w:rFonts w:cs="David" w:hint="cs"/>
          <w:sz w:val="24"/>
          <w:rtl/>
        </w:rPr>
        <w:t>"מלבין מקצועי"</w:t>
      </w:r>
      <w:r w:rsidR="003403C5" w:rsidRPr="00F45858">
        <w:rPr>
          <w:rFonts w:cs="David" w:hint="cs"/>
          <w:sz w:val="24"/>
          <w:rtl/>
        </w:rPr>
        <w:t>,</w:t>
      </w:r>
      <w:r w:rsidR="00B17D9E" w:rsidRPr="00F45858">
        <w:rPr>
          <w:rFonts w:cs="David" w:hint="cs"/>
          <w:sz w:val="24"/>
          <w:rtl/>
        </w:rPr>
        <w:t xml:space="preserve"> </w:t>
      </w:r>
      <w:r w:rsidR="00B1783A" w:rsidRPr="00F45858">
        <w:rPr>
          <w:rFonts w:cs="David" w:hint="cs"/>
          <w:sz w:val="24"/>
          <w:rtl/>
        </w:rPr>
        <w:t xml:space="preserve">שאינו </w:t>
      </w:r>
      <w:r w:rsidR="003403C5" w:rsidRPr="00F45858">
        <w:rPr>
          <w:rFonts w:cs="David" w:hint="cs"/>
          <w:sz w:val="24"/>
          <w:rtl/>
        </w:rPr>
        <w:t xml:space="preserve">האדם שעבר </w:t>
      </w:r>
      <w:r w:rsidR="003403C5" w:rsidRPr="00F45858">
        <w:rPr>
          <w:rFonts w:cs="David" w:hint="cs"/>
          <w:sz w:val="24"/>
          <w:rtl/>
        </w:rPr>
        <w:lastRenderedPageBreak/>
        <w:t>את עבירת המס</w:t>
      </w:r>
      <w:r w:rsidR="003403C5" w:rsidRPr="00F45858">
        <w:rPr>
          <w:rStyle w:val="a3"/>
          <w:rFonts w:cs="David"/>
          <w:sz w:val="24"/>
          <w:rtl/>
        </w:rPr>
        <w:footnoteReference w:id="1"/>
      </w:r>
      <w:r w:rsidR="00BD6DBC" w:rsidRPr="00F45858">
        <w:rPr>
          <w:rFonts w:cs="David" w:hint="cs"/>
          <w:sz w:val="24"/>
          <w:rtl/>
        </w:rPr>
        <w:t xml:space="preserve">. </w:t>
      </w:r>
      <w:r w:rsidR="0092608B" w:rsidRPr="00F45858">
        <w:rPr>
          <w:rFonts w:cs="David" w:hint="cs"/>
          <w:b/>
          <w:bCs/>
          <w:sz w:val="24"/>
          <w:rtl/>
        </w:rPr>
        <w:t>תנאי מצטבר</w:t>
      </w:r>
      <w:r w:rsidR="0092608B" w:rsidRPr="00F45858">
        <w:rPr>
          <w:rFonts w:cs="David" w:hint="cs"/>
          <w:sz w:val="24"/>
          <w:rtl/>
        </w:rPr>
        <w:t xml:space="preserve"> </w:t>
      </w:r>
      <w:r w:rsidR="00BD6DBC" w:rsidRPr="00F45858">
        <w:rPr>
          <w:rFonts w:cs="David" w:hint="cs"/>
          <w:sz w:val="24"/>
          <w:rtl/>
        </w:rPr>
        <w:t>לכל אחת מהנסיבות המחמירות</w:t>
      </w:r>
      <w:r w:rsidR="008067C0">
        <w:rPr>
          <w:rFonts w:cs="David" w:hint="cs"/>
          <w:sz w:val="24"/>
          <w:rtl/>
        </w:rPr>
        <w:t xml:space="preserve"> האמורות</w:t>
      </w:r>
      <w:r w:rsidR="0092608B" w:rsidRPr="00F45858">
        <w:rPr>
          <w:rFonts w:cs="David" w:hint="cs"/>
          <w:sz w:val="24"/>
          <w:rtl/>
        </w:rPr>
        <w:t>, הוא ש</w:t>
      </w:r>
      <w:r w:rsidR="00106268" w:rsidRPr="00F45858">
        <w:rPr>
          <w:rFonts w:cs="David" w:hint="cs"/>
          <w:sz w:val="24"/>
          <w:rtl/>
        </w:rPr>
        <w:t xml:space="preserve">המס שלגביו בוצעה עבירת המס עולה על 250 אלף ₪ </w:t>
      </w:r>
      <w:r w:rsidR="00E34B8B" w:rsidRPr="00F45858">
        <w:rPr>
          <w:rFonts w:cs="David" w:hint="cs"/>
          <w:sz w:val="24"/>
          <w:rtl/>
        </w:rPr>
        <w:t xml:space="preserve">(לגבי פקודת מס הכנסה </w:t>
      </w:r>
      <w:r w:rsidR="00E34B8B" w:rsidRPr="00F45858">
        <w:rPr>
          <w:rFonts w:cs="David"/>
          <w:sz w:val="24"/>
          <w:rtl/>
        </w:rPr>
        <w:t>–</w:t>
      </w:r>
      <w:r w:rsidR="00E34B8B" w:rsidRPr="00F45858">
        <w:rPr>
          <w:rFonts w:cs="David" w:hint="cs"/>
          <w:sz w:val="24"/>
          <w:rtl/>
        </w:rPr>
        <w:t xml:space="preserve"> 625 אלף ₪ הכנסה שהועלמה).</w:t>
      </w:r>
    </w:p>
    <w:p w:rsidR="00E24805" w:rsidRDefault="00E44E28" w:rsidP="000976EA">
      <w:pPr>
        <w:spacing w:after="120"/>
        <w:rPr>
          <w:rFonts w:cs="David"/>
          <w:sz w:val="24"/>
          <w:rtl/>
        </w:rPr>
      </w:pPr>
      <w:r w:rsidRPr="00F45858">
        <w:rPr>
          <w:rFonts w:cs="David" w:hint="cs"/>
          <w:sz w:val="24"/>
          <w:rtl/>
        </w:rPr>
        <w:t xml:space="preserve">=&gt; </w:t>
      </w:r>
      <w:r w:rsidR="000976EA">
        <w:rPr>
          <w:rFonts w:cs="David" w:hint="cs"/>
          <w:sz w:val="24"/>
          <w:rtl/>
        </w:rPr>
        <w:t xml:space="preserve">אנו סבורים כי </w:t>
      </w:r>
      <w:r w:rsidR="007E1D3C">
        <w:rPr>
          <w:rFonts w:cs="David" w:hint="cs"/>
          <w:sz w:val="24"/>
          <w:rtl/>
        </w:rPr>
        <w:t>עדיף להימנע מה</w:t>
      </w:r>
      <w:r w:rsidRPr="008067C0">
        <w:rPr>
          <w:rFonts w:cs="David" w:hint="cs"/>
          <w:sz w:val="24"/>
          <w:rtl/>
        </w:rPr>
        <w:t xml:space="preserve">הצעה שבטיוטה הממשלתית, ולפיה אם עבירת המס או עבירת ההלבנה בוצעו "בתחכום" או "כדפוס פעולה </w:t>
      </w:r>
      <w:r w:rsidR="000976EA">
        <w:rPr>
          <w:rFonts w:cs="David" w:hint="cs"/>
          <w:sz w:val="24"/>
          <w:rtl/>
        </w:rPr>
        <w:t xml:space="preserve">חוזר או </w:t>
      </w:r>
      <w:r w:rsidRPr="008067C0">
        <w:rPr>
          <w:rFonts w:cs="David" w:hint="cs"/>
          <w:sz w:val="24"/>
          <w:rtl/>
        </w:rPr>
        <w:t>מתמשך"</w:t>
      </w:r>
      <w:r w:rsidR="00E974FE" w:rsidRPr="008067C0">
        <w:rPr>
          <w:rFonts w:cs="David" w:hint="cs"/>
          <w:sz w:val="24"/>
          <w:rtl/>
        </w:rPr>
        <w:t>,</w:t>
      </w:r>
      <w:r w:rsidR="00560DD6" w:rsidRPr="008067C0">
        <w:rPr>
          <w:rFonts w:cs="David" w:hint="cs"/>
          <w:sz w:val="24"/>
          <w:rtl/>
        </w:rPr>
        <w:t xml:space="preserve"> </w:t>
      </w:r>
      <w:r w:rsidR="00E974FE" w:rsidRPr="008067C0">
        <w:rPr>
          <w:rFonts w:cs="David" w:hint="cs"/>
          <w:sz w:val="24"/>
          <w:rtl/>
        </w:rPr>
        <w:t>ו</w:t>
      </w:r>
      <w:r w:rsidR="00560DD6" w:rsidRPr="008067C0">
        <w:rPr>
          <w:rFonts w:cs="David" w:hint="cs"/>
          <w:sz w:val="24"/>
          <w:rtl/>
        </w:rPr>
        <w:t>המס שלגביו בוצעה העבירה עולה על רבע מהסכום שנקבע בחלופה הראשונה</w:t>
      </w:r>
      <w:r w:rsidR="00E974FE" w:rsidRPr="008067C0">
        <w:rPr>
          <w:rFonts w:cs="David" w:hint="cs"/>
          <w:sz w:val="24"/>
          <w:rtl/>
        </w:rPr>
        <w:t xml:space="preserve"> </w:t>
      </w:r>
      <w:r w:rsidR="00E974FE" w:rsidRPr="008067C0">
        <w:rPr>
          <w:rFonts w:cs="David"/>
          <w:sz w:val="24"/>
          <w:rtl/>
        </w:rPr>
        <w:t>–</w:t>
      </w:r>
      <w:r w:rsidRPr="008067C0">
        <w:rPr>
          <w:rFonts w:cs="David" w:hint="cs"/>
          <w:sz w:val="24"/>
          <w:rtl/>
        </w:rPr>
        <w:t xml:space="preserve"> הדבר ייחשב ל"נסיבה מחמירה". זאת, הן בשל העובדה שמדובר במינוחים אמורפיים שעלולים להתפרש באופן רחב מאוד, והן בשל העובדה שעבירות מס, על פי טיבן, נעשות בדרך כלל ב"שיטתיות" או ב"תחכום", ועל כן ספק אם יש בכך באמת משום "נסיבות מחמירות". </w:t>
      </w:r>
    </w:p>
    <w:p w:rsidR="00E44E28" w:rsidRPr="00F45858" w:rsidRDefault="00E44E28" w:rsidP="00E24805">
      <w:pPr>
        <w:spacing w:after="120"/>
        <w:rPr>
          <w:rFonts w:cs="David"/>
          <w:sz w:val="24"/>
          <w:rtl/>
        </w:rPr>
      </w:pPr>
      <w:r w:rsidRPr="008067C0">
        <w:rPr>
          <w:rFonts w:cs="David" w:hint="cs"/>
          <w:sz w:val="24"/>
          <w:rtl/>
        </w:rPr>
        <w:t xml:space="preserve">אם בכל זאת תחליט הוועדה לאמץ נסיבה מחמירה מעין זו, מוצע לקבוע כי אמות המידה </w:t>
      </w:r>
      <w:r w:rsidRPr="00B43F7B">
        <w:rPr>
          <w:rFonts w:cs="David" w:hint="cs"/>
          <w:sz w:val="24"/>
          <w:rtl/>
        </w:rPr>
        <w:t xml:space="preserve">שהוצעו בטיוטה הממשלתיות לא תהיינה חלופיות אלא </w:t>
      </w:r>
      <w:r w:rsidRPr="00206AB8">
        <w:rPr>
          <w:rFonts w:cs="David" w:hint="cs"/>
          <w:b/>
          <w:bCs/>
          <w:sz w:val="24"/>
          <w:rtl/>
        </w:rPr>
        <w:t>מצטברות</w:t>
      </w:r>
      <w:r w:rsidRPr="00B43F7B">
        <w:rPr>
          <w:rFonts w:cs="David" w:hint="cs"/>
          <w:sz w:val="24"/>
          <w:rtl/>
        </w:rPr>
        <w:t>, קרי: שהעבירה בוצעה באופן מתוחכם, שיטתי ומתמשך</w:t>
      </w:r>
      <w:r w:rsidR="00560DD6" w:rsidRPr="00B43F7B">
        <w:rPr>
          <w:rFonts w:cs="David" w:hint="cs"/>
          <w:sz w:val="24"/>
          <w:rtl/>
        </w:rPr>
        <w:t xml:space="preserve">, וסכום המס שהועלם עולה על 250 אלף ₪ (לגבי פקודת מס הכנסה </w:t>
      </w:r>
      <w:r w:rsidR="00560DD6" w:rsidRPr="00B43F7B">
        <w:rPr>
          <w:rFonts w:cs="David"/>
          <w:sz w:val="24"/>
          <w:rtl/>
        </w:rPr>
        <w:t>–</w:t>
      </w:r>
      <w:r w:rsidR="00560DD6" w:rsidRPr="00B43F7B">
        <w:rPr>
          <w:rFonts w:cs="David" w:hint="cs"/>
          <w:sz w:val="24"/>
          <w:rtl/>
        </w:rPr>
        <w:t xml:space="preserve"> 625 אלף ₪ הכנסה שהועלמה)</w:t>
      </w:r>
      <w:r w:rsidRPr="00B43F7B">
        <w:rPr>
          <w:rFonts w:cs="David" w:hint="cs"/>
          <w:sz w:val="24"/>
          <w:rtl/>
        </w:rPr>
        <w:t>.</w:t>
      </w:r>
      <w:r w:rsidR="00E974FE" w:rsidRPr="00B43F7B">
        <w:rPr>
          <w:rFonts w:cs="David" w:hint="cs"/>
          <w:sz w:val="24"/>
          <w:rtl/>
        </w:rPr>
        <w:t xml:space="preserve"> במקביל, במסגרת ההנחיות ישנן הבהרות ודוגמאות </w:t>
      </w:r>
      <w:r w:rsidR="00E24805">
        <w:rPr>
          <w:rFonts w:cs="David" w:hint="cs"/>
          <w:sz w:val="24"/>
          <w:rtl/>
        </w:rPr>
        <w:t>שיחדדו ויבהירו את</w:t>
      </w:r>
      <w:r w:rsidR="00E974FE">
        <w:rPr>
          <w:rFonts w:cs="David" w:hint="cs"/>
          <w:sz w:val="24"/>
          <w:rtl/>
        </w:rPr>
        <w:t xml:space="preserve"> משמעות המונח "תחכום"</w:t>
      </w:r>
      <w:r w:rsidR="00E974FE" w:rsidRPr="00E974FE">
        <w:rPr>
          <w:rStyle w:val="a3"/>
          <w:rFonts w:cs="David"/>
          <w:sz w:val="24"/>
          <w:rtl/>
        </w:rPr>
        <w:footnoteReference w:id="2"/>
      </w:r>
      <w:r w:rsidR="00E974FE">
        <w:rPr>
          <w:rFonts w:cs="David" w:hint="cs"/>
          <w:sz w:val="24"/>
          <w:rtl/>
        </w:rPr>
        <w:t>.</w:t>
      </w:r>
    </w:p>
    <w:p w:rsidR="00CD0465" w:rsidRDefault="00CD0465" w:rsidP="00E34B8B">
      <w:pPr>
        <w:spacing w:after="120"/>
        <w:rPr>
          <w:rFonts w:cs="David"/>
          <w:sz w:val="24"/>
          <w:rtl/>
        </w:rPr>
      </w:pPr>
      <w:r w:rsidRPr="00F45858">
        <w:rPr>
          <w:rFonts w:cs="David" w:hint="cs"/>
          <w:sz w:val="24"/>
          <w:rtl/>
        </w:rPr>
        <w:t xml:space="preserve">נוכח העובדה שמדובר בחלק מהותי מהגדרת העבירה, </w:t>
      </w:r>
      <w:r w:rsidRPr="00F45858">
        <w:rPr>
          <w:rFonts w:cs="David" w:hint="cs"/>
          <w:sz w:val="24"/>
          <w:u w:val="single"/>
          <w:rtl/>
        </w:rPr>
        <w:t>התיקון ייערך במסגרת החוק עצמו</w:t>
      </w:r>
      <w:r w:rsidRPr="00F45858">
        <w:rPr>
          <w:rFonts w:cs="David" w:hint="cs"/>
          <w:sz w:val="24"/>
          <w:rtl/>
        </w:rPr>
        <w:t>, ולא בהנחיות.</w:t>
      </w:r>
    </w:p>
    <w:p w:rsidR="003F775D" w:rsidRPr="00D44BE9" w:rsidRDefault="003F775D" w:rsidP="00454466">
      <w:pPr>
        <w:spacing w:after="120"/>
        <w:rPr>
          <w:rFonts w:cs="David"/>
          <w:sz w:val="24"/>
          <w:rtl/>
        </w:rPr>
      </w:pPr>
    </w:p>
    <w:p w:rsidR="00033871" w:rsidRPr="00F45858" w:rsidRDefault="00033871" w:rsidP="00011C5C">
      <w:pPr>
        <w:rPr>
          <w:rFonts w:cs="David"/>
          <w:b/>
          <w:bCs/>
          <w:sz w:val="24"/>
          <w:rtl/>
        </w:rPr>
      </w:pPr>
      <w:r w:rsidRPr="00F45858">
        <w:rPr>
          <w:rFonts w:cs="David" w:hint="cs"/>
          <w:b/>
          <w:bCs/>
          <w:sz w:val="24"/>
          <w:rtl/>
        </w:rPr>
        <w:t>(2) הנחיות להפעלת חוק איסור הלבנת הון</w:t>
      </w:r>
    </w:p>
    <w:p w:rsidR="00033871" w:rsidRPr="00F45858" w:rsidRDefault="00EA3CA4" w:rsidP="00764652">
      <w:pPr>
        <w:rPr>
          <w:rFonts w:cs="David"/>
          <w:sz w:val="24"/>
          <w:rtl/>
        </w:rPr>
      </w:pPr>
      <w:r w:rsidRPr="00F45858">
        <w:rPr>
          <w:rFonts w:cs="David" w:hint="cs"/>
          <w:sz w:val="24"/>
          <w:rtl/>
        </w:rPr>
        <w:t xml:space="preserve">חלק </w:t>
      </w:r>
      <w:r w:rsidR="00ED7F3D" w:rsidRPr="00F45858">
        <w:rPr>
          <w:rFonts w:cs="David" w:hint="cs"/>
          <w:sz w:val="24"/>
          <w:rtl/>
        </w:rPr>
        <w:t xml:space="preserve">מהקשיים המתעוררים </w:t>
      </w:r>
      <w:r w:rsidRPr="00F45858">
        <w:rPr>
          <w:rFonts w:cs="David" w:hint="cs"/>
          <w:sz w:val="24"/>
          <w:rtl/>
        </w:rPr>
        <w:t>כתוצאה מהוספת עבירות מס לרשימת עבירות המקור, הן שיקוף של סוגיות כלליות יותר הנוגעות לאופן שבו מופעל ומתפרש חוק איסור הלבנת הון.</w:t>
      </w:r>
      <w:r w:rsidR="00ED7F3D" w:rsidRPr="00F45858">
        <w:rPr>
          <w:rFonts w:cs="David" w:hint="cs"/>
          <w:sz w:val="24"/>
          <w:rtl/>
        </w:rPr>
        <w:t xml:space="preserve"> לכן, יש מקום לכך ש</w:t>
      </w:r>
      <w:r w:rsidR="00ED7F3D" w:rsidRPr="00F45858">
        <w:rPr>
          <w:rFonts w:cs="David" w:hint="cs"/>
          <w:sz w:val="24"/>
          <w:u w:val="single"/>
          <w:rtl/>
        </w:rPr>
        <w:t xml:space="preserve">היועץ המשפטי לממשלה </w:t>
      </w:r>
      <w:r w:rsidR="00CD59F8" w:rsidRPr="00F45858">
        <w:rPr>
          <w:rFonts w:cs="David" w:hint="cs"/>
          <w:sz w:val="24"/>
          <w:u w:val="single"/>
          <w:rtl/>
        </w:rPr>
        <w:t>/</w:t>
      </w:r>
      <w:r w:rsidR="00033871" w:rsidRPr="00F45858">
        <w:rPr>
          <w:rFonts w:cs="David" w:hint="cs"/>
          <w:sz w:val="24"/>
          <w:u w:val="single"/>
          <w:rtl/>
        </w:rPr>
        <w:t xml:space="preserve"> פרקליט המדינה</w:t>
      </w:r>
      <w:r w:rsidR="00ED7F3D" w:rsidRPr="00F45858">
        <w:rPr>
          <w:rFonts w:cs="David" w:hint="cs"/>
          <w:sz w:val="24"/>
          <w:u w:val="single"/>
          <w:rtl/>
        </w:rPr>
        <w:t xml:space="preserve"> </w:t>
      </w:r>
      <w:r w:rsidR="00033871" w:rsidRPr="00F45858">
        <w:rPr>
          <w:rFonts w:cs="David" w:hint="cs"/>
          <w:sz w:val="24"/>
          <w:u w:val="single"/>
          <w:rtl/>
        </w:rPr>
        <w:t>יוציא הנחי</w:t>
      </w:r>
      <w:r w:rsidR="00CD59F8" w:rsidRPr="00F45858">
        <w:rPr>
          <w:rFonts w:cs="David" w:hint="cs"/>
          <w:sz w:val="24"/>
          <w:u w:val="single"/>
          <w:rtl/>
        </w:rPr>
        <w:t>ות</w:t>
      </w:r>
      <w:r w:rsidR="00BC5A1C" w:rsidRPr="00F45858">
        <w:rPr>
          <w:rFonts w:cs="David" w:hint="cs"/>
          <w:sz w:val="24"/>
          <w:u w:val="single"/>
          <w:rtl/>
        </w:rPr>
        <w:t xml:space="preserve"> שיגבשו את מדיניות התביעה הכללית </w:t>
      </w:r>
      <w:r w:rsidR="001635BA" w:rsidRPr="00F45858">
        <w:rPr>
          <w:rFonts w:cs="David" w:hint="cs"/>
          <w:sz w:val="24"/>
          <w:u w:val="single"/>
          <w:rtl/>
        </w:rPr>
        <w:t>באשר לאופן האכיפה של חוק איסור הלבנת הון</w:t>
      </w:r>
      <w:r w:rsidR="00CD59F8" w:rsidRPr="00F45858">
        <w:rPr>
          <w:rFonts w:cs="David" w:hint="cs"/>
          <w:sz w:val="24"/>
          <w:u w:val="single"/>
          <w:rtl/>
        </w:rPr>
        <w:t>,</w:t>
      </w:r>
      <w:r w:rsidR="00033871" w:rsidRPr="00F45858">
        <w:rPr>
          <w:rFonts w:cs="David" w:hint="cs"/>
          <w:sz w:val="24"/>
          <w:u w:val="single"/>
          <w:rtl/>
        </w:rPr>
        <w:t xml:space="preserve"> </w:t>
      </w:r>
      <w:r w:rsidR="00BC5A1C" w:rsidRPr="00F45858">
        <w:rPr>
          <w:rFonts w:cs="David" w:hint="cs"/>
          <w:sz w:val="24"/>
          <w:u w:val="single"/>
          <w:rtl/>
        </w:rPr>
        <w:t>ו</w:t>
      </w:r>
      <w:r w:rsidR="00CD59F8" w:rsidRPr="00F45858">
        <w:rPr>
          <w:rFonts w:cs="David" w:hint="cs"/>
          <w:sz w:val="24"/>
          <w:u w:val="single"/>
          <w:rtl/>
        </w:rPr>
        <w:t>י</w:t>
      </w:r>
      <w:r w:rsidR="00033871" w:rsidRPr="00F45858">
        <w:rPr>
          <w:rFonts w:cs="David" w:hint="cs"/>
          <w:sz w:val="24"/>
          <w:u w:val="single"/>
          <w:rtl/>
        </w:rPr>
        <w:t>תייחס</w:t>
      </w:r>
      <w:r w:rsidR="00CD59F8" w:rsidRPr="00F45858">
        <w:rPr>
          <w:rFonts w:cs="David" w:hint="cs"/>
          <w:sz w:val="24"/>
          <w:u w:val="single"/>
          <w:rtl/>
        </w:rPr>
        <w:t>ו</w:t>
      </w:r>
      <w:r w:rsidR="00033871" w:rsidRPr="00F45858">
        <w:rPr>
          <w:rFonts w:cs="David" w:hint="cs"/>
          <w:sz w:val="24"/>
          <w:u w:val="single"/>
          <w:rtl/>
        </w:rPr>
        <w:t xml:space="preserve"> בצורה מקיפה ומפורטת</w:t>
      </w:r>
      <w:r w:rsidR="001635BA" w:rsidRPr="00F45858">
        <w:rPr>
          <w:rFonts w:cs="David" w:hint="cs"/>
          <w:sz w:val="24"/>
          <w:u w:val="single"/>
          <w:rtl/>
        </w:rPr>
        <w:t xml:space="preserve"> למכלול </w:t>
      </w:r>
      <w:r w:rsidR="00764652">
        <w:rPr>
          <w:rFonts w:cs="David" w:hint="cs"/>
          <w:sz w:val="24"/>
          <w:u w:val="single"/>
          <w:rtl/>
        </w:rPr>
        <w:t xml:space="preserve">הסוגיות הנדרשות לצורך </w:t>
      </w:r>
      <w:r w:rsidR="001635BA" w:rsidRPr="00F45858">
        <w:rPr>
          <w:rFonts w:cs="David" w:hint="cs"/>
          <w:sz w:val="24"/>
          <w:u w:val="single"/>
          <w:rtl/>
        </w:rPr>
        <w:t>הפעלת החוק</w:t>
      </w:r>
      <w:r w:rsidR="00EB7645" w:rsidRPr="00F45858">
        <w:rPr>
          <w:rFonts w:cs="David" w:hint="cs"/>
          <w:sz w:val="24"/>
          <w:u w:val="single"/>
          <w:rtl/>
        </w:rPr>
        <w:t>, תוך מתן דגש מיוחד להפעלת החוק בהקשר של עבירות המס המוצעות</w:t>
      </w:r>
      <w:r w:rsidRPr="00F45858">
        <w:rPr>
          <w:rFonts w:cs="David" w:hint="cs"/>
          <w:sz w:val="24"/>
          <w:rtl/>
        </w:rPr>
        <w:t xml:space="preserve">. </w:t>
      </w:r>
      <w:r w:rsidR="00ED7F3D" w:rsidRPr="00F45858">
        <w:rPr>
          <w:rFonts w:cs="David" w:hint="cs"/>
          <w:sz w:val="24"/>
          <w:rtl/>
        </w:rPr>
        <w:t xml:space="preserve">בהקשר זה, מוצע כי ההנחיות יכללו התייחסות מפורטת, בין היתר, באשר </w:t>
      </w:r>
      <w:r w:rsidR="00033871" w:rsidRPr="00F45858">
        <w:rPr>
          <w:rFonts w:cs="David" w:hint="cs"/>
          <w:sz w:val="24"/>
          <w:rtl/>
        </w:rPr>
        <w:t>לנקודות הבאות:</w:t>
      </w:r>
    </w:p>
    <w:p w:rsidR="00CD59F8" w:rsidRPr="00F45858" w:rsidRDefault="005A6195" w:rsidP="005A6195">
      <w:pPr>
        <w:pStyle w:val="a6"/>
        <w:numPr>
          <w:ilvl w:val="0"/>
          <w:numId w:val="11"/>
        </w:numPr>
        <w:spacing w:after="120"/>
        <w:rPr>
          <w:rFonts w:cs="David"/>
          <w:sz w:val="24"/>
        </w:rPr>
      </w:pPr>
      <w:r w:rsidRPr="00F45858">
        <w:rPr>
          <w:rFonts w:cs="David" w:hint="cs"/>
          <w:b/>
          <w:bCs/>
          <w:sz w:val="24"/>
          <w:rtl/>
        </w:rPr>
        <w:t>ה</w:t>
      </w:r>
      <w:r w:rsidR="00CD59F8" w:rsidRPr="00F45858">
        <w:rPr>
          <w:rFonts w:cs="David" w:hint="cs"/>
          <w:b/>
          <w:bCs/>
          <w:sz w:val="24"/>
          <w:rtl/>
        </w:rPr>
        <w:t xml:space="preserve">שימוש </w:t>
      </w:r>
      <w:r w:rsidRPr="00F45858">
        <w:rPr>
          <w:rFonts w:cs="David" w:hint="cs"/>
          <w:b/>
          <w:bCs/>
          <w:sz w:val="24"/>
          <w:rtl/>
        </w:rPr>
        <w:t xml:space="preserve">הראוי </w:t>
      </w:r>
      <w:r w:rsidR="00CD59F8" w:rsidRPr="00F45858">
        <w:rPr>
          <w:rFonts w:cs="David" w:hint="cs"/>
          <w:b/>
          <w:bCs/>
          <w:sz w:val="24"/>
          <w:rtl/>
        </w:rPr>
        <w:t>בעביר</w:t>
      </w:r>
      <w:r w:rsidRPr="00F45858">
        <w:rPr>
          <w:rFonts w:cs="David" w:hint="cs"/>
          <w:b/>
          <w:bCs/>
          <w:sz w:val="24"/>
          <w:rtl/>
        </w:rPr>
        <w:t>ות</w:t>
      </w:r>
      <w:r w:rsidR="00CD59F8" w:rsidRPr="00F45858">
        <w:rPr>
          <w:rFonts w:cs="David" w:hint="cs"/>
          <w:b/>
          <w:bCs/>
          <w:sz w:val="24"/>
          <w:rtl/>
        </w:rPr>
        <w:t xml:space="preserve"> של הלבנת הון</w:t>
      </w:r>
      <w:r w:rsidR="00CD59F8" w:rsidRPr="00F45858">
        <w:rPr>
          <w:rFonts w:cs="David" w:hint="cs"/>
          <w:sz w:val="24"/>
          <w:rtl/>
        </w:rPr>
        <w:t xml:space="preserve">: </w:t>
      </w:r>
      <w:r w:rsidR="00033871" w:rsidRPr="00F45858">
        <w:rPr>
          <w:rFonts w:cs="David" w:hint="cs"/>
          <w:sz w:val="24"/>
          <w:rtl/>
        </w:rPr>
        <w:t xml:space="preserve">מתי יש ערך מוגן נוסף שמצדיק להוסיף </w:t>
      </w:r>
      <w:r w:rsidR="005F1D36" w:rsidRPr="00F45858">
        <w:rPr>
          <w:rFonts w:cs="David" w:hint="cs"/>
          <w:sz w:val="24"/>
          <w:rtl/>
        </w:rPr>
        <w:t xml:space="preserve">לחקירה / </w:t>
      </w:r>
      <w:r w:rsidR="00033871" w:rsidRPr="00F45858">
        <w:rPr>
          <w:rFonts w:cs="David" w:hint="cs"/>
          <w:sz w:val="24"/>
          <w:rtl/>
        </w:rPr>
        <w:t>לכתב האישום עביר</w:t>
      </w:r>
      <w:r w:rsidR="00CD59F8" w:rsidRPr="00F45858">
        <w:rPr>
          <w:rFonts w:cs="David" w:hint="cs"/>
          <w:sz w:val="24"/>
          <w:rtl/>
        </w:rPr>
        <w:t>ה</w:t>
      </w:r>
      <w:r w:rsidR="00033871" w:rsidRPr="00F45858">
        <w:rPr>
          <w:rFonts w:cs="David" w:hint="cs"/>
          <w:sz w:val="24"/>
          <w:rtl/>
        </w:rPr>
        <w:t xml:space="preserve"> </w:t>
      </w:r>
      <w:r w:rsidR="00CD59F8" w:rsidRPr="00F45858">
        <w:rPr>
          <w:rFonts w:cs="David" w:hint="cs"/>
          <w:sz w:val="24"/>
          <w:rtl/>
        </w:rPr>
        <w:t xml:space="preserve">של </w:t>
      </w:r>
      <w:r w:rsidR="00033871" w:rsidRPr="00F45858">
        <w:rPr>
          <w:rFonts w:cs="David" w:hint="cs"/>
          <w:sz w:val="24"/>
          <w:rtl/>
        </w:rPr>
        <w:t xml:space="preserve">הלבנת הון </w:t>
      </w:r>
      <w:r w:rsidR="00CD59F8" w:rsidRPr="00F45858">
        <w:rPr>
          <w:rFonts w:cs="David" w:hint="cs"/>
          <w:sz w:val="24"/>
          <w:rtl/>
        </w:rPr>
        <w:t xml:space="preserve">נוסף על </w:t>
      </w:r>
      <w:r w:rsidR="00033871" w:rsidRPr="00F45858">
        <w:rPr>
          <w:rFonts w:cs="David" w:hint="cs"/>
          <w:sz w:val="24"/>
          <w:rtl/>
        </w:rPr>
        <w:t xml:space="preserve">עבירת המקור, ומתי </w:t>
      </w:r>
      <w:r w:rsidR="005F1D36" w:rsidRPr="00F45858">
        <w:rPr>
          <w:rFonts w:cs="David" w:hint="cs"/>
          <w:sz w:val="24"/>
          <w:rtl/>
        </w:rPr>
        <w:t>אין ערך מוגן נוסף ודי באכיפתה של עבירת המקור</w:t>
      </w:r>
      <w:r w:rsidR="00033871" w:rsidRPr="00F45858">
        <w:rPr>
          <w:rFonts w:cs="David" w:hint="cs"/>
          <w:sz w:val="24"/>
          <w:rtl/>
        </w:rPr>
        <w:t xml:space="preserve">. </w:t>
      </w:r>
      <w:r w:rsidR="006A035A" w:rsidRPr="00F45858">
        <w:rPr>
          <w:rFonts w:cs="David" w:hint="cs"/>
          <w:sz w:val="24"/>
          <w:rtl/>
        </w:rPr>
        <w:t xml:space="preserve">בהקשר זה יש מקום </w:t>
      </w:r>
      <w:r w:rsidR="00AE74CE" w:rsidRPr="00F45858">
        <w:rPr>
          <w:rFonts w:cs="David" w:hint="cs"/>
          <w:sz w:val="24"/>
          <w:rtl/>
        </w:rPr>
        <w:t xml:space="preserve">להתייחסות מיוחדת לגבי </w:t>
      </w:r>
      <w:r w:rsidR="00CD59F8" w:rsidRPr="00F45858">
        <w:rPr>
          <w:rFonts w:cs="David" w:hint="cs"/>
          <w:sz w:val="24"/>
          <w:rtl/>
        </w:rPr>
        <w:t>עבירות המס</w:t>
      </w:r>
      <w:r w:rsidR="00AE74CE" w:rsidRPr="00F45858">
        <w:rPr>
          <w:rFonts w:cs="David" w:hint="cs"/>
          <w:sz w:val="24"/>
          <w:rtl/>
        </w:rPr>
        <w:t xml:space="preserve">, בשל </w:t>
      </w:r>
      <w:r w:rsidR="0063196E" w:rsidRPr="00F45858">
        <w:rPr>
          <w:rFonts w:cs="David" w:hint="cs"/>
          <w:sz w:val="24"/>
          <w:rtl/>
        </w:rPr>
        <w:t>העובדה שבמקרים רבים יש קרבה רבה, עד כדי זהות, בין עבירת המס לעבירת ההלבנה, דבר שמטשטש עוד יותר את קיומו או אי קיומו של ערך מוגן נפרד.</w:t>
      </w:r>
    </w:p>
    <w:p w:rsidR="0043396F" w:rsidRPr="00F45858" w:rsidRDefault="008848D6" w:rsidP="00222210">
      <w:pPr>
        <w:pStyle w:val="a6"/>
        <w:numPr>
          <w:ilvl w:val="0"/>
          <w:numId w:val="11"/>
        </w:numPr>
        <w:rPr>
          <w:rFonts w:cs="David"/>
          <w:sz w:val="24"/>
        </w:rPr>
      </w:pPr>
      <w:r w:rsidRPr="00F45858">
        <w:rPr>
          <w:rFonts w:cs="David" w:hint="cs"/>
          <w:b/>
          <w:bCs/>
          <w:sz w:val="24"/>
          <w:rtl/>
        </w:rPr>
        <w:t>השימוש הראוי בסמכויות ה</w:t>
      </w:r>
      <w:r w:rsidR="00033871" w:rsidRPr="00F45858">
        <w:rPr>
          <w:rFonts w:cs="David" w:hint="cs"/>
          <w:b/>
          <w:bCs/>
          <w:sz w:val="24"/>
          <w:rtl/>
        </w:rPr>
        <w:t xml:space="preserve">חילוט </w:t>
      </w:r>
      <w:r w:rsidRPr="00F45858">
        <w:rPr>
          <w:rFonts w:cs="David" w:hint="cs"/>
          <w:b/>
          <w:bCs/>
          <w:sz w:val="24"/>
          <w:rtl/>
        </w:rPr>
        <w:t>לאחר הרשעה</w:t>
      </w:r>
      <w:r w:rsidR="00033871" w:rsidRPr="00F45858">
        <w:rPr>
          <w:rFonts w:cs="David" w:hint="cs"/>
          <w:sz w:val="24"/>
          <w:rtl/>
        </w:rPr>
        <w:t xml:space="preserve">: </w:t>
      </w:r>
      <w:r w:rsidR="0043396F" w:rsidRPr="00F45858">
        <w:rPr>
          <w:rFonts w:cs="David" w:hint="cs"/>
          <w:sz w:val="24"/>
          <w:rtl/>
        </w:rPr>
        <w:t xml:space="preserve">הוראות החילוט שבחוק מאפשרות לחלט לא רק את הרכוש שהושג כשכר עבירה או כתוצאה מביצוע העבירה, אלא גם רכוש שנעברה בו </w:t>
      </w:r>
      <w:r w:rsidR="0043396F" w:rsidRPr="00F45858">
        <w:rPr>
          <w:rFonts w:cs="David" w:hint="cs"/>
          <w:sz w:val="24"/>
          <w:rtl/>
        </w:rPr>
        <w:lastRenderedPageBreak/>
        <w:t>העבירה, רכוש ששימש לביצוע העבירה, שאיפשר את ביצוע העבירה או שיועד לכך, וכן רכוש שעורבב בו רכוש אסור.</w:t>
      </w:r>
      <w:r w:rsidR="000461FB" w:rsidRPr="00F45858">
        <w:rPr>
          <w:rFonts w:cs="David" w:hint="cs"/>
          <w:sz w:val="24"/>
          <w:rtl/>
        </w:rPr>
        <w:t xml:space="preserve"> </w:t>
      </w:r>
      <w:r w:rsidR="00C77939" w:rsidRPr="00F45858">
        <w:rPr>
          <w:rFonts w:cs="David" w:hint="cs"/>
          <w:sz w:val="24"/>
          <w:rtl/>
        </w:rPr>
        <w:t>באשר ל</w:t>
      </w:r>
      <w:r w:rsidR="0043396F" w:rsidRPr="00F45858">
        <w:rPr>
          <w:rFonts w:cs="David" w:hint="cs"/>
          <w:sz w:val="24"/>
          <w:rtl/>
        </w:rPr>
        <w:t>רווחי העבירה</w:t>
      </w:r>
      <w:r w:rsidR="00C77939" w:rsidRPr="00F45858">
        <w:rPr>
          <w:rFonts w:cs="David" w:hint="cs"/>
          <w:sz w:val="24"/>
          <w:rtl/>
        </w:rPr>
        <w:t>,</w:t>
      </w:r>
      <w:r w:rsidR="0043396F" w:rsidRPr="00F45858">
        <w:rPr>
          <w:rFonts w:cs="David" w:hint="cs"/>
          <w:sz w:val="24"/>
          <w:rtl/>
        </w:rPr>
        <w:t xml:space="preserve"> </w:t>
      </w:r>
      <w:r w:rsidR="00DE2988" w:rsidRPr="00F45858">
        <w:rPr>
          <w:rFonts w:cs="David" w:hint="cs"/>
          <w:sz w:val="24"/>
          <w:rtl/>
        </w:rPr>
        <w:t xml:space="preserve">סביר </w:t>
      </w:r>
      <w:r w:rsidR="0043396F" w:rsidRPr="00F45858">
        <w:rPr>
          <w:rFonts w:cs="David" w:hint="cs"/>
          <w:sz w:val="24"/>
          <w:rtl/>
        </w:rPr>
        <w:t>בכל מקרה שנעברה עבירה של הלבנת הון</w:t>
      </w:r>
      <w:r w:rsidR="00C77939" w:rsidRPr="00F45858">
        <w:rPr>
          <w:rFonts w:cs="David" w:hint="cs"/>
          <w:sz w:val="24"/>
          <w:rtl/>
        </w:rPr>
        <w:t xml:space="preserve"> </w:t>
      </w:r>
      <w:r w:rsidR="00C77939" w:rsidRPr="00F45858">
        <w:rPr>
          <w:rFonts w:cs="David"/>
          <w:sz w:val="24"/>
          <w:rtl/>
        </w:rPr>
        <w:t>–</w:t>
      </w:r>
      <w:r w:rsidR="00C77939" w:rsidRPr="00F45858">
        <w:rPr>
          <w:rFonts w:cs="David" w:hint="cs"/>
          <w:sz w:val="24"/>
          <w:rtl/>
        </w:rPr>
        <w:t xml:space="preserve"> אם אין נימוק מיוחד אחרת </w:t>
      </w:r>
      <w:r w:rsidR="00C77939" w:rsidRPr="00F45858">
        <w:rPr>
          <w:rFonts w:cs="David"/>
          <w:sz w:val="24"/>
          <w:rtl/>
        </w:rPr>
        <w:t>–</w:t>
      </w:r>
      <w:r w:rsidR="00C77939" w:rsidRPr="00F45858">
        <w:rPr>
          <w:rFonts w:cs="David" w:hint="cs"/>
          <w:sz w:val="24"/>
          <w:rtl/>
        </w:rPr>
        <w:t xml:space="preserve"> יחולטו הרווחים</w:t>
      </w:r>
      <w:r w:rsidR="0043396F" w:rsidRPr="00F45858">
        <w:rPr>
          <w:rFonts w:cs="David" w:hint="cs"/>
          <w:sz w:val="24"/>
          <w:rtl/>
        </w:rPr>
        <w:t xml:space="preserve"> </w:t>
      </w:r>
      <w:r w:rsidR="00C77939" w:rsidRPr="00F45858">
        <w:rPr>
          <w:rFonts w:cs="David" w:hint="cs"/>
          <w:sz w:val="24"/>
          <w:rtl/>
        </w:rPr>
        <w:t xml:space="preserve">מכוח הרעיון של "להוציא את בלעו של הגזלן מפיו". לעומת זאת, </w:t>
      </w:r>
      <w:r w:rsidR="0043396F" w:rsidRPr="00F45858">
        <w:rPr>
          <w:rFonts w:cs="David" w:hint="cs"/>
          <w:sz w:val="24"/>
          <w:rtl/>
        </w:rPr>
        <w:t xml:space="preserve">לגבי הקונסטרוקציות המרחיבות האחרות, </w:t>
      </w:r>
      <w:r w:rsidR="00C77939" w:rsidRPr="00F45858">
        <w:rPr>
          <w:rFonts w:cs="David" w:hint="cs"/>
          <w:sz w:val="24"/>
          <w:rtl/>
        </w:rPr>
        <w:t xml:space="preserve">שהרעיון של </w:t>
      </w:r>
      <w:r w:rsidR="0043396F" w:rsidRPr="00F45858">
        <w:rPr>
          <w:rFonts w:cs="David" w:hint="cs"/>
          <w:sz w:val="24"/>
          <w:rtl/>
        </w:rPr>
        <w:t>"להוציא את בלעו של הגזלן מפיו"</w:t>
      </w:r>
      <w:r w:rsidR="00C77939" w:rsidRPr="00F45858">
        <w:rPr>
          <w:rFonts w:cs="David" w:hint="cs"/>
          <w:sz w:val="24"/>
          <w:rtl/>
        </w:rPr>
        <w:t xml:space="preserve"> לא תמיד מתקיים בהם</w:t>
      </w:r>
      <w:r w:rsidR="0043396F" w:rsidRPr="00F45858">
        <w:rPr>
          <w:rFonts w:cs="David" w:hint="cs"/>
          <w:sz w:val="24"/>
          <w:rtl/>
        </w:rPr>
        <w:t xml:space="preserve">, יש מקום להגדיר </w:t>
      </w:r>
      <w:r w:rsidR="00C77939" w:rsidRPr="00F45858">
        <w:rPr>
          <w:rFonts w:cs="David" w:hint="cs"/>
          <w:sz w:val="24"/>
          <w:rtl/>
        </w:rPr>
        <w:t xml:space="preserve">בצורה ברורה </w:t>
      </w:r>
      <w:r w:rsidR="00033871" w:rsidRPr="00F45858">
        <w:rPr>
          <w:rFonts w:cs="David" w:hint="cs"/>
          <w:sz w:val="24"/>
          <w:rtl/>
        </w:rPr>
        <w:t xml:space="preserve">מתי </w:t>
      </w:r>
      <w:r w:rsidR="00960B88" w:rsidRPr="00F45858">
        <w:rPr>
          <w:rFonts w:cs="David" w:hint="cs"/>
          <w:sz w:val="24"/>
          <w:rtl/>
        </w:rPr>
        <w:t xml:space="preserve">אופיין של עבירת המקור ועבירת ההלבנה הוא כזו שמצדיק </w:t>
      </w:r>
      <w:r w:rsidR="00C77939" w:rsidRPr="00F45858">
        <w:rPr>
          <w:rFonts w:cs="David" w:hint="cs"/>
          <w:sz w:val="24"/>
          <w:rtl/>
        </w:rPr>
        <w:t xml:space="preserve">עשיית </w:t>
      </w:r>
      <w:r w:rsidR="00033871" w:rsidRPr="00F45858">
        <w:rPr>
          <w:rFonts w:cs="David" w:hint="cs"/>
          <w:sz w:val="24"/>
          <w:rtl/>
        </w:rPr>
        <w:t xml:space="preserve">שימוש בקונסטרוקציות מרחיבות </w:t>
      </w:r>
      <w:r w:rsidR="0043396F" w:rsidRPr="00F45858">
        <w:rPr>
          <w:rFonts w:cs="David" w:hint="cs"/>
          <w:sz w:val="24"/>
          <w:rtl/>
        </w:rPr>
        <w:t>אלה ומתי לא</w:t>
      </w:r>
      <w:r w:rsidR="00DE2988" w:rsidRPr="00F45858">
        <w:rPr>
          <w:rFonts w:cs="David" w:hint="cs"/>
          <w:sz w:val="24"/>
          <w:rtl/>
        </w:rPr>
        <w:t>,</w:t>
      </w:r>
      <w:r w:rsidR="00EE25BE" w:rsidRPr="00F45858">
        <w:rPr>
          <w:rFonts w:cs="David" w:hint="cs"/>
          <w:sz w:val="24"/>
          <w:rtl/>
        </w:rPr>
        <w:t xml:space="preserve"> באלו נסיבות </w:t>
      </w:r>
      <w:r w:rsidR="00DE2988" w:rsidRPr="00F45858">
        <w:rPr>
          <w:rFonts w:cs="David" w:hint="cs"/>
          <w:sz w:val="24"/>
          <w:rtl/>
        </w:rPr>
        <w:t xml:space="preserve">מוצדק </w:t>
      </w:r>
      <w:r w:rsidR="00EE25BE" w:rsidRPr="00F45858">
        <w:rPr>
          <w:rFonts w:cs="David" w:hint="cs"/>
          <w:sz w:val="24"/>
          <w:rtl/>
        </w:rPr>
        <w:t xml:space="preserve">לעשות בהן שימוש ובאלו לא, </w:t>
      </w:r>
      <w:r w:rsidR="00C77939" w:rsidRPr="00F45858">
        <w:rPr>
          <w:rFonts w:cs="David" w:hint="cs"/>
          <w:sz w:val="24"/>
          <w:rtl/>
        </w:rPr>
        <w:t xml:space="preserve">והוראות </w:t>
      </w:r>
      <w:r w:rsidR="00222210" w:rsidRPr="00F45858">
        <w:rPr>
          <w:rFonts w:cs="David" w:hint="cs"/>
          <w:sz w:val="24"/>
          <w:rtl/>
        </w:rPr>
        <w:t xml:space="preserve">נוספות </w:t>
      </w:r>
      <w:r w:rsidR="00DE2988" w:rsidRPr="00F45858">
        <w:rPr>
          <w:rFonts w:cs="David" w:hint="cs"/>
          <w:sz w:val="24"/>
          <w:rtl/>
        </w:rPr>
        <w:t>כיוצא בזה</w:t>
      </w:r>
      <w:r w:rsidR="00EE25BE" w:rsidRPr="00F45858">
        <w:rPr>
          <w:rFonts w:cs="David" w:hint="cs"/>
          <w:sz w:val="24"/>
          <w:rtl/>
        </w:rPr>
        <w:t>.</w:t>
      </w:r>
    </w:p>
    <w:p w:rsidR="003E030F" w:rsidRPr="00F45858" w:rsidRDefault="00EE25BE" w:rsidP="003752CA">
      <w:pPr>
        <w:pStyle w:val="a6"/>
        <w:numPr>
          <w:ilvl w:val="0"/>
          <w:numId w:val="11"/>
        </w:numPr>
        <w:spacing w:after="120"/>
        <w:rPr>
          <w:rFonts w:cs="David"/>
          <w:sz w:val="24"/>
        </w:rPr>
      </w:pPr>
      <w:r w:rsidRPr="00F45858">
        <w:rPr>
          <w:rFonts w:cs="David" w:hint="cs"/>
          <w:b/>
          <w:bCs/>
          <w:sz w:val="24"/>
          <w:rtl/>
        </w:rPr>
        <w:t>השימוש הראוי בסמכויות ה</w:t>
      </w:r>
      <w:r w:rsidR="00033871" w:rsidRPr="00F45858">
        <w:rPr>
          <w:rFonts w:cs="David" w:hint="cs"/>
          <w:b/>
          <w:bCs/>
          <w:sz w:val="24"/>
          <w:rtl/>
        </w:rPr>
        <w:t>חילוט זמנ</w:t>
      </w:r>
      <w:r w:rsidRPr="00F45858">
        <w:rPr>
          <w:rFonts w:cs="David" w:hint="cs"/>
          <w:b/>
          <w:bCs/>
          <w:sz w:val="24"/>
          <w:rtl/>
        </w:rPr>
        <w:t>יות</w:t>
      </w:r>
      <w:r w:rsidR="00033871" w:rsidRPr="00F45858">
        <w:rPr>
          <w:rFonts w:cs="David" w:hint="cs"/>
          <w:sz w:val="24"/>
          <w:rtl/>
        </w:rPr>
        <w:t xml:space="preserve">: </w:t>
      </w:r>
      <w:r w:rsidR="005A7872" w:rsidRPr="00F45858">
        <w:rPr>
          <w:rFonts w:cs="David" w:hint="cs"/>
          <w:sz w:val="24"/>
          <w:rtl/>
        </w:rPr>
        <w:t xml:space="preserve">הוראות החילוט שבחוק מאפשרות לבקש מבית המשפט לחלט באופן זמני היקף נרחב מאוד של רכוש. </w:t>
      </w:r>
      <w:r w:rsidR="00DE50A7" w:rsidRPr="00F45858">
        <w:rPr>
          <w:rFonts w:cs="David" w:hint="cs"/>
          <w:sz w:val="24"/>
          <w:rtl/>
        </w:rPr>
        <w:t xml:space="preserve">יש להוסיף הנחיות מפורטות </w:t>
      </w:r>
      <w:r w:rsidR="00AD5932" w:rsidRPr="00F45858">
        <w:rPr>
          <w:rFonts w:cs="David" w:hint="cs"/>
          <w:sz w:val="24"/>
          <w:rtl/>
        </w:rPr>
        <w:t xml:space="preserve">שיתייחסו לאלמנטים של מידתיות בחילוט הזמני: (א) מניעת מצב שבו החילוט הזמני מפעיל </w:t>
      </w:r>
      <w:r w:rsidR="001E1B3C" w:rsidRPr="00F45858">
        <w:rPr>
          <w:rFonts w:cs="David" w:hint="cs"/>
          <w:sz w:val="24"/>
          <w:rtl/>
        </w:rPr>
        <w:t>לחץ לא מידתי על חשוד / נאשם</w:t>
      </w:r>
      <w:r w:rsidR="00AD5932" w:rsidRPr="00F45858">
        <w:rPr>
          <w:rFonts w:cs="David" w:hint="cs"/>
          <w:sz w:val="24"/>
          <w:rtl/>
        </w:rPr>
        <w:t>; (ב)</w:t>
      </w:r>
      <w:r w:rsidR="001E1B3C" w:rsidRPr="00F45858">
        <w:rPr>
          <w:rFonts w:cs="David" w:hint="cs"/>
          <w:sz w:val="24"/>
          <w:rtl/>
        </w:rPr>
        <w:t xml:space="preserve"> </w:t>
      </w:r>
      <w:r w:rsidR="00AD5932" w:rsidRPr="00F45858">
        <w:rPr>
          <w:rFonts w:cs="David" w:hint="cs"/>
          <w:sz w:val="24"/>
          <w:rtl/>
        </w:rPr>
        <w:t xml:space="preserve">התחשבות </w:t>
      </w:r>
      <w:r w:rsidR="00033871" w:rsidRPr="00F45858">
        <w:rPr>
          <w:rFonts w:cs="David" w:hint="cs"/>
          <w:sz w:val="24"/>
          <w:rtl/>
        </w:rPr>
        <w:t xml:space="preserve">באפשרות של החשוד / הנאשם להמשיך ולנהל את חייו </w:t>
      </w:r>
      <w:r w:rsidR="00E445B3" w:rsidRPr="00F45858">
        <w:rPr>
          <w:rFonts w:cs="David" w:hint="cs"/>
          <w:sz w:val="24"/>
          <w:rtl/>
        </w:rPr>
        <w:t xml:space="preserve">ועסקיו </w:t>
      </w:r>
      <w:r w:rsidR="00033871" w:rsidRPr="00F45858">
        <w:rPr>
          <w:rFonts w:cs="David" w:hint="cs"/>
          <w:sz w:val="24"/>
          <w:rtl/>
        </w:rPr>
        <w:t>באופן תקין</w:t>
      </w:r>
      <w:r w:rsidR="00E445B3" w:rsidRPr="00F45858">
        <w:rPr>
          <w:rFonts w:cs="David" w:hint="cs"/>
          <w:sz w:val="24"/>
          <w:rtl/>
        </w:rPr>
        <w:t>, ככל הניתן</w:t>
      </w:r>
      <w:r w:rsidR="00033871" w:rsidRPr="00F45858">
        <w:rPr>
          <w:rFonts w:cs="David" w:hint="cs"/>
          <w:sz w:val="24"/>
          <w:rtl/>
        </w:rPr>
        <w:t>.</w:t>
      </w:r>
      <w:r w:rsidR="00F33C23" w:rsidRPr="00F45858">
        <w:rPr>
          <w:rFonts w:cs="David" w:hint="cs"/>
          <w:sz w:val="24"/>
          <w:rtl/>
        </w:rPr>
        <w:t xml:space="preserve"> </w:t>
      </w:r>
      <w:r w:rsidR="003E030F" w:rsidRPr="00F45858">
        <w:rPr>
          <w:rFonts w:cs="David" w:hint="cs"/>
          <w:sz w:val="24"/>
          <w:rtl/>
        </w:rPr>
        <w:t>כמו כן, יש להבהיר כי אמות המידה והמגבלות שיחולו בנוגע לחילוט הסופי יקרינו גם על החילוט הזמני.</w:t>
      </w:r>
      <w:r w:rsidR="00DE2988" w:rsidRPr="00F45858">
        <w:rPr>
          <w:rFonts w:cs="David" w:hint="cs"/>
          <w:b/>
          <w:bCs/>
          <w:sz w:val="24"/>
          <w:rtl/>
        </w:rPr>
        <w:t xml:space="preserve"> </w:t>
      </w:r>
      <w:r w:rsidR="003E030F" w:rsidRPr="00F45858">
        <w:rPr>
          <w:rFonts w:cs="David" w:hint="cs"/>
          <w:sz w:val="24"/>
          <w:rtl/>
        </w:rPr>
        <w:t xml:space="preserve">גם כאן, יש מקום למתן דגש מיוחד לגבי עבירות המס, וזאת בשל </w:t>
      </w:r>
      <w:r w:rsidR="00DE2988" w:rsidRPr="00F45858">
        <w:rPr>
          <w:rFonts w:cs="David" w:hint="cs"/>
          <w:sz w:val="24"/>
          <w:rtl/>
        </w:rPr>
        <w:t xml:space="preserve">החשש </w:t>
      </w:r>
      <w:r w:rsidR="00222210" w:rsidRPr="00F45858">
        <w:rPr>
          <w:rFonts w:cs="David" w:hint="cs"/>
          <w:sz w:val="24"/>
          <w:rtl/>
        </w:rPr>
        <w:t xml:space="preserve">המוגבר לפגיעה ביכולת של בעל עסק שחשוד בעבירות מס להמשיך ולנהל באופן שוטף את עסקו, ובעקבות כך להפעלת </w:t>
      </w:r>
      <w:r w:rsidR="00DE2988" w:rsidRPr="00F45858">
        <w:rPr>
          <w:rFonts w:cs="David" w:hint="cs"/>
          <w:sz w:val="24"/>
          <w:rtl/>
        </w:rPr>
        <w:t xml:space="preserve">לחץ לא מידתי על </w:t>
      </w:r>
      <w:r w:rsidR="00222210" w:rsidRPr="00F45858">
        <w:rPr>
          <w:rFonts w:cs="David" w:hint="cs"/>
          <w:sz w:val="24"/>
          <w:rtl/>
        </w:rPr>
        <w:t xml:space="preserve">אותו </w:t>
      </w:r>
      <w:r w:rsidR="00DE2988" w:rsidRPr="00F45858">
        <w:rPr>
          <w:rFonts w:cs="David" w:hint="cs"/>
          <w:sz w:val="24"/>
          <w:rtl/>
        </w:rPr>
        <w:t>בעל עסק</w:t>
      </w:r>
      <w:r w:rsidR="00222210" w:rsidRPr="00F45858">
        <w:rPr>
          <w:rFonts w:cs="David" w:hint="cs"/>
          <w:sz w:val="24"/>
          <w:rtl/>
        </w:rPr>
        <w:t>.</w:t>
      </w:r>
    </w:p>
    <w:p w:rsidR="00033871" w:rsidRPr="00F45858" w:rsidRDefault="003114C7" w:rsidP="00E73A31">
      <w:pPr>
        <w:spacing w:after="120"/>
        <w:rPr>
          <w:rFonts w:cs="David"/>
          <w:sz w:val="24"/>
        </w:rPr>
      </w:pPr>
      <w:r w:rsidRPr="00F45858">
        <w:rPr>
          <w:rFonts w:cs="David" w:hint="cs"/>
          <w:sz w:val="24"/>
          <w:rtl/>
        </w:rPr>
        <w:t xml:space="preserve">מכיוון </w:t>
      </w:r>
      <w:r w:rsidR="003752CA" w:rsidRPr="00F45858">
        <w:rPr>
          <w:rFonts w:cs="David" w:hint="cs"/>
          <w:sz w:val="24"/>
          <w:rtl/>
        </w:rPr>
        <w:t>שוועדת החוקה אינה מאשרת את הנחיות היועץ המשפטי לממשלה / פרקליט המדינה, הרי ש</w:t>
      </w:r>
      <w:r w:rsidR="00033871" w:rsidRPr="00F45858">
        <w:rPr>
          <w:rFonts w:cs="David" w:hint="cs"/>
          <w:sz w:val="24"/>
          <w:u w:val="single"/>
          <w:rtl/>
        </w:rPr>
        <w:t xml:space="preserve">טיוטת מתווה של ההנחיות </w:t>
      </w:r>
      <w:r w:rsidR="003752CA" w:rsidRPr="00F45858">
        <w:rPr>
          <w:rFonts w:cs="David" w:hint="cs"/>
          <w:sz w:val="24"/>
          <w:u w:val="single"/>
          <w:rtl/>
        </w:rPr>
        <w:t xml:space="preserve">צריכה להיות מונחת </w:t>
      </w:r>
      <w:r w:rsidR="00460152" w:rsidRPr="00F45858">
        <w:rPr>
          <w:rFonts w:cs="David" w:hint="cs"/>
          <w:sz w:val="24"/>
          <w:u w:val="single"/>
          <w:rtl/>
        </w:rPr>
        <w:t xml:space="preserve">על שולחן </w:t>
      </w:r>
      <w:r w:rsidR="00033871" w:rsidRPr="00F45858">
        <w:rPr>
          <w:rFonts w:cs="David" w:hint="cs"/>
          <w:sz w:val="24"/>
          <w:u w:val="single"/>
          <w:rtl/>
        </w:rPr>
        <w:t>הוועדה בטרם הוועדה תאשר את הצעת החוק</w:t>
      </w:r>
      <w:r w:rsidR="003752CA" w:rsidRPr="00F45858">
        <w:rPr>
          <w:rFonts w:cs="David" w:hint="cs"/>
          <w:sz w:val="24"/>
          <w:rtl/>
        </w:rPr>
        <w:t xml:space="preserve">, כדי שיהיה ברור </w:t>
      </w:r>
      <w:r w:rsidR="00E73A31" w:rsidRPr="00F45858">
        <w:rPr>
          <w:rFonts w:cs="David" w:hint="cs"/>
          <w:sz w:val="24"/>
          <w:rtl/>
        </w:rPr>
        <w:t xml:space="preserve">לוועדה כיצד חוק איסור הלבנת הון </w:t>
      </w:r>
      <w:r w:rsidR="003752CA" w:rsidRPr="00F45858">
        <w:rPr>
          <w:rFonts w:cs="David" w:hint="cs"/>
          <w:sz w:val="24"/>
          <w:rtl/>
        </w:rPr>
        <w:t>הולך להיות מופעל</w:t>
      </w:r>
      <w:r w:rsidR="00E73A31" w:rsidRPr="00F45858">
        <w:rPr>
          <w:rFonts w:cs="David" w:hint="cs"/>
          <w:sz w:val="24"/>
          <w:rtl/>
        </w:rPr>
        <w:t xml:space="preserve"> (בדגש על עבירות המס המוצעות)</w:t>
      </w:r>
      <w:r w:rsidR="00033871" w:rsidRPr="00F45858">
        <w:rPr>
          <w:rFonts w:cs="David" w:hint="cs"/>
          <w:sz w:val="24"/>
          <w:rtl/>
        </w:rPr>
        <w:t>.</w:t>
      </w:r>
    </w:p>
    <w:p w:rsidR="00217EEB" w:rsidRPr="00F45858" w:rsidRDefault="003752CA" w:rsidP="00C44329">
      <w:pPr>
        <w:spacing w:after="120"/>
        <w:rPr>
          <w:rFonts w:cs="David"/>
          <w:sz w:val="24"/>
          <w:rtl/>
        </w:rPr>
      </w:pPr>
      <w:r w:rsidRPr="00F45858">
        <w:rPr>
          <w:rFonts w:cs="David" w:hint="cs"/>
          <w:sz w:val="24"/>
          <w:rtl/>
        </w:rPr>
        <w:t xml:space="preserve">=&gt; </w:t>
      </w:r>
      <w:r w:rsidR="00217EEB" w:rsidRPr="00F45858">
        <w:rPr>
          <w:rFonts w:cs="David" w:hint="cs"/>
          <w:sz w:val="24"/>
          <w:rtl/>
        </w:rPr>
        <w:t xml:space="preserve">לכל הנקודות הללו יש התייחסות חלקית בלבד בטיוטה הממשלתית. </w:t>
      </w:r>
      <w:r w:rsidR="00EA27B4" w:rsidRPr="00F45858">
        <w:rPr>
          <w:rFonts w:cs="David" w:hint="cs"/>
          <w:sz w:val="24"/>
          <w:rtl/>
        </w:rPr>
        <w:t>כדי לתת מענה למכלול הסוגיות הדורשות הנחיה, הנחנו על שולחן הוועדה טיוטה אחרת</w:t>
      </w:r>
      <w:r w:rsidR="00C44329">
        <w:rPr>
          <w:rFonts w:cs="David" w:hint="cs"/>
          <w:sz w:val="24"/>
          <w:rtl/>
        </w:rPr>
        <w:t xml:space="preserve"> </w:t>
      </w:r>
      <w:r w:rsidR="00C44329">
        <w:rPr>
          <w:rFonts w:cs="David"/>
          <w:sz w:val="24"/>
          <w:rtl/>
        </w:rPr>
        <w:t>–</w:t>
      </w:r>
      <w:r w:rsidR="00EA27B4" w:rsidRPr="00F45858">
        <w:rPr>
          <w:rFonts w:cs="David" w:hint="cs"/>
          <w:sz w:val="24"/>
          <w:rtl/>
        </w:rPr>
        <w:t xml:space="preserve"> רחבה יותר</w:t>
      </w:r>
      <w:r w:rsidR="00C44329">
        <w:rPr>
          <w:rFonts w:cs="David" w:hint="cs"/>
          <w:sz w:val="24"/>
          <w:rtl/>
        </w:rPr>
        <w:t xml:space="preserve"> </w:t>
      </w:r>
      <w:r w:rsidR="00C44329">
        <w:rPr>
          <w:rFonts w:cs="David"/>
          <w:sz w:val="24"/>
          <w:rtl/>
        </w:rPr>
        <w:t>–</w:t>
      </w:r>
      <w:r w:rsidR="00EA27B4" w:rsidRPr="00F45858">
        <w:rPr>
          <w:rFonts w:cs="David" w:hint="cs"/>
          <w:sz w:val="24"/>
          <w:rtl/>
        </w:rPr>
        <w:t xml:space="preserve"> של הנחיות</w:t>
      </w:r>
      <w:r w:rsidR="00C44329">
        <w:rPr>
          <w:rFonts w:cs="David" w:hint="cs"/>
          <w:sz w:val="24"/>
          <w:rtl/>
        </w:rPr>
        <w:t>,</w:t>
      </w:r>
      <w:r w:rsidR="00F45858" w:rsidRPr="00F45858">
        <w:rPr>
          <w:rFonts w:cs="David" w:hint="cs"/>
          <w:sz w:val="24"/>
          <w:rtl/>
        </w:rPr>
        <w:t xml:space="preserve"> שכוללות התייחסות לכל הנקודות האמורות</w:t>
      </w:r>
      <w:r w:rsidR="00EA27B4" w:rsidRPr="00F45858">
        <w:rPr>
          <w:rFonts w:cs="David" w:hint="cs"/>
          <w:sz w:val="24"/>
          <w:rtl/>
        </w:rPr>
        <w:t>.</w:t>
      </w:r>
    </w:p>
    <w:p w:rsidR="00217EEB" w:rsidRPr="00EA2C38" w:rsidRDefault="00217EEB" w:rsidP="00217EEB">
      <w:pPr>
        <w:spacing w:after="120"/>
        <w:rPr>
          <w:rFonts w:cs="David"/>
          <w:sz w:val="24"/>
          <w:rtl/>
        </w:rPr>
      </w:pPr>
    </w:p>
    <w:p w:rsidR="009B07D7" w:rsidRPr="00EA2C38" w:rsidRDefault="00172B7D" w:rsidP="00316F1F">
      <w:pPr>
        <w:rPr>
          <w:rFonts w:cs="David"/>
          <w:b/>
          <w:bCs/>
          <w:sz w:val="24"/>
          <w:rtl/>
        </w:rPr>
      </w:pPr>
      <w:r w:rsidRPr="00EA2C38">
        <w:rPr>
          <w:rFonts w:cs="David" w:hint="cs"/>
          <w:b/>
          <w:bCs/>
          <w:sz w:val="24"/>
          <w:rtl/>
        </w:rPr>
        <w:t xml:space="preserve">(3) </w:t>
      </w:r>
      <w:r w:rsidR="009B07D7" w:rsidRPr="00EA2C38">
        <w:rPr>
          <w:rFonts w:cs="David" w:hint="cs"/>
          <w:b/>
          <w:bCs/>
          <w:sz w:val="24"/>
          <w:rtl/>
        </w:rPr>
        <w:t>סייגים לגבי החזקה פסיבית ופעולה שמטרתה צריכה של הרכוש האסור</w:t>
      </w:r>
    </w:p>
    <w:p w:rsidR="00547297" w:rsidRPr="00EA2C38" w:rsidRDefault="003A3477" w:rsidP="00382995">
      <w:pPr>
        <w:rPr>
          <w:rFonts w:cs="David"/>
          <w:sz w:val="24"/>
          <w:rtl/>
        </w:rPr>
      </w:pPr>
      <w:r w:rsidRPr="00EA2C38">
        <w:rPr>
          <w:rFonts w:cs="David" w:hint="cs"/>
          <w:sz w:val="24"/>
          <w:rtl/>
        </w:rPr>
        <w:t xml:space="preserve">הוספת </w:t>
      </w:r>
      <w:r w:rsidR="00D87EEC" w:rsidRPr="00EA2C38">
        <w:rPr>
          <w:rFonts w:cs="David" w:hint="cs"/>
          <w:sz w:val="24"/>
          <w:rtl/>
        </w:rPr>
        <w:t xml:space="preserve">עבירות מס </w:t>
      </w:r>
      <w:r w:rsidRPr="00EA2C38">
        <w:rPr>
          <w:rFonts w:cs="David" w:hint="cs"/>
          <w:sz w:val="24"/>
          <w:rtl/>
        </w:rPr>
        <w:t xml:space="preserve">לרשימת </w:t>
      </w:r>
      <w:r w:rsidR="00D87EEC" w:rsidRPr="00EA2C38">
        <w:rPr>
          <w:rFonts w:cs="David" w:hint="cs"/>
          <w:sz w:val="24"/>
          <w:rtl/>
        </w:rPr>
        <w:t xml:space="preserve">עבירות </w:t>
      </w:r>
      <w:r w:rsidRPr="00EA2C38">
        <w:rPr>
          <w:rFonts w:cs="David" w:hint="cs"/>
          <w:sz w:val="24"/>
          <w:rtl/>
        </w:rPr>
        <w:t>ה</w:t>
      </w:r>
      <w:r w:rsidR="00D87EEC" w:rsidRPr="00EA2C38">
        <w:rPr>
          <w:rFonts w:cs="David" w:hint="cs"/>
          <w:sz w:val="24"/>
          <w:rtl/>
        </w:rPr>
        <w:t>מקור</w:t>
      </w:r>
      <w:r w:rsidR="000C2237" w:rsidRPr="00EA2C38">
        <w:rPr>
          <w:rFonts w:cs="David" w:hint="cs"/>
          <w:sz w:val="24"/>
          <w:rtl/>
        </w:rPr>
        <w:t>,</w:t>
      </w:r>
      <w:r w:rsidR="00D87EEC" w:rsidRPr="00EA2C38">
        <w:rPr>
          <w:rFonts w:cs="David" w:hint="cs"/>
          <w:sz w:val="24"/>
          <w:rtl/>
        </w:rPr>
        <w:t xml:space="preserve"> </w:t>
      </w:r>
      <w:r w:rsidR="005C2476" w:rsidRPr="00EA2C38">
        <w:rPr>
          <w:rFonts w:cs="David" w:hint="cs"/>
          <w:sz w:val="24"/>
          <w:rtl/>
        </w:rPr>
        <w:t>מציפ</w:t>
      </w:r>
      <w:r w:rsidRPr="00EA2C38">
        <w:rPr>
          <w:rFonts w:cs="David" w:hint="cs"/>
          <w:sz w:val="24"/>
          <w:rtl/>
        </w:rPr>
        <w:t>ה</w:t>
      </w:r>
      <w:r w:rsidR="005C2476" w:rsidRPr="00EA2C38">
        <w:rPr>
          <w:rFonts w:cs="David" w:hint="cs"/>
          <w:sz w:val="24"/>
          <w:rtl/>
        </w:rPr>
        <w:t xml:space="preserve"> </w:t>
      </w:r>
      <w:r w:rsidR="002E4470" w:rsidRPr="00EA2C38">
        <w:rPr>
          <w:rFonts w:cs="David" w:hint="cs"/>
          <w:sz w:val="24"/>
          <w:rtl/>
        </w:rPr>
        <w:t xml:space="preserve">שתי </w:t>
      </w:r>
      <w:r w:rsidR="005C2476" w:rsidRPr="00EA2C38">
        <w:rPr>
          <w:rFonts w:cs="David" w:hint="cs"/>
          <w:sz w:val="24"/>
          <w:rtl/>
        </w:rPr>
        <w:t>בעי</w:t>
      </w:r>
      <w:r w:rsidR="00F675EF" w:rsidRPr="00EA2C38">
        <w:rPr>
          <w:rFonts w:cs="David" w:hint="cs"/>
          <w:sz w:val="24"/>
          <w:rtl/>
        </w:rPr>
        <w:t>ות</w:t>
      </w:r>
      <w:r w:rsidR="005C2476" w:rsidRPr="00EA2C38">
        <w:rPr>
          <w:rFonts w:cs="David" w:hint="cs"/>
          <w:sz w:val="24"/>
          <w:rtl/>
        </w:rPr>
        <w:t xml:space="preserve"> כללי</w:t>
      </w:r>
      <w:r w:rsidR="00F675EF" w:rsidRPr="00EA2C38">
        <w:rPr>
          <w:rFonts w:cs="David" w:hint="cs"/>
          <w:sz w:val="24"/>
          <w:rtl/>
        </w:rPr>
        <w:t>ו</w:t>
      </w:r>
      <w:r w:rsidR="005C2476" w:rsidRPr="00EA2C38">
        <w:rPr>
          <w:rFonts w:cs="David" w:hint="cs"/>
          <w:sz w:val="24"/>
          <w:rtl/>
        </w:rPr>
        <w:t xml:space="preserve">ת </w:t>
      </w:r>
      <w:r w:rsidR="000C2237" w:rsidRPr="00EA2C38">
        <w:rPr>
          <w:rFonts w:cs="David" w:hint="cs"/>
          <w:sz w:val="24"/>
          <w:rtl/>
        </w:rPr>
        <w:t>הנוגעות ל</w:t>
      </w:r>
      <w:r w:rsidR="005C2476" w:rsidRPr="00EA2C38">
        <w:rPr>
          <w:rFonts w:cs="David" w:hint="cs"/>
          <w:sz w:val="24"/>
          <w:rtl/>
        </w:rPr>
        <w:t>יחס שבין עבירת הלבנת הון לעבירות המקור</w:t>
      </w:r>
      <w:r w:rsidRPr="00EA2C38">
        <w:rPr>
          <w:rFonts w:cs="David" w:hint="cs"/>
          <w:sz w:val="24"/>
          <w:rtl/>
        </w:rPr>
        <w:t>:</w:t>
      </w:r>
      <w:r w:rsidR="005C2476" w:rsidRPr="00EA2C38">
        <w:rPr>
          <w:rFonts w:cs="David" w:hint="cs"/>
          <w:sz w:val="24"/>
          <w:rtl/>
        </w:rPr>
        <w:t xml:space="preserve"> </w:t>
      </w:r>
      <w:r w:rsidR="009C67EB" w:rsidRPr="00EA2C38">
        <w:rPr>
          <w:rFonts w:cs="David" w:hint="cs"/>
          <w:sz w:val="24"/>
          <w:rtl/>
        </w:rPr>
        <w:t xml:space="preserve">(א) </w:t>
      </w:r>
      <w:r w:rsidR="001503DE" w:rsidRPr="00EA2C38">
        <w:rPr>
          <w:rFonts w:cs="David" w:hint="cs"/>
          <w:sz w:val="24"/>
          <w:u w:val="single"/>
          <w:rtl/>
        </w:rPr>
        <w:t>החזקה פ</w:t>
      </w:r>
      <w:r w:rsidR="009C67EB" w:rsidRPr="00EA2C38">
        <w:rPr>
          <w:rFonts w:cs="David" w:hint="cs"/>
          <w:sz w:val="24"/>
          <w:u w:val="single"/>
          <w:rtl/>
        </w:rPr>
        <w:t>סיבית</w:t>
      </w:r>
      <w:r w:rsidR="009C67EB" w:rsidRPr="00EA2C38">
        <w:rPr>
          <w:rFonts w:cs="David" w:hint="cs"/>
          <w:sz w:val="24"/>
          <w:rtl/>
        </w:rPr>
        <w:t xml:space="preserve"> </w:t>
      </w:r>
      <w:r w:rsidR="009C67EB" w:rsidRPr="00EA2C38">
        <w:rPr>
          <w:rFonts w:cs="David"/>
          <w:sz w:val="24"/>
          <w:rtl/>
        </w:rPr>
        <w:t>–</w:t>
      </w:r>
      <w:r w:rsidR="00024BA0" w:rsidRPr="00EA2C38">
        <w:rPr>
          <w:rFonts w:cs="David" w:hint="cs"/>
          <w:sz w:val="24"/>
          <w:rtl/>
        </w:rPr>
        <w:t xml:space="preserve"> </w:t>
      </w:r>
      <w:r w:rsidR="009C67EB" w:rsidRPr="00EA2C38">
        <w:rPr>
          <w:rFonts w:cs="David" w:hint="cs"/>
          <w:sz w:val="24"/>
          <w:rtl/>
        </w:rPr>
        <w:t xml:space="preserve">בשל ההגדרות הרחבות שבחוק, גם מי </w:t>
      </w:r>
      <w:r w:rsidR="00FE423F" w:rsidRPr="00EA2C38">
        <w:rPr>
          <w:rFonts w:cs="David" w:hint="cs"/>
          <w:sz w:val="24"/>
          <w:rtl/>
        </w:rPr>
        <w:t xml:space="preserve">שלא ביצע </w:t>
      </w:r>
      <w:r w:rsidR="009C67EB" w:rsidRPr="00EA2C38">
        <w:rPr>
          <w:rFonts w:cs="David" w:hint="cs"/>
          <w:sz w:val="24"/>
          <w:rtl/>
        </w:rPr>
        <w:t xml:space="preserve">פעולה אקטיבית נוספת </w:t>
      </w:r>
      <w:r w:rsidR="00FE423F" w:rsidRPr="00EA2C38">
        <w:rPr>
          <w:rFonts w:cs="David" w:hint="cs"/>
          <w:sz w:val="24"/>
          <w:rtl/>
        </w:rPr>
        <w:t>מעבר ל</w:t>
      </w:r>
      <w:r w:rsidR="009C67EB" w:rsidRPr="00EA2C38">
        <w:rPr>
          <w:rFonts w:cs="David" w:hint="cs"/>
          <w:sz w:val="24"/>
          <w:rtl/>
        </w:rPr>
        <w:t>ביצוע עבירת המקור</w:t>
      </w:r>
      <w:r w:rsidR="0091526B" w:rsidRPr="00EA2C38">
        <w:rPr>
          <w:rFonts w:cs="David" w:hint="cs"/>
          <w:sz w:val="24"/>
          <w:rtl/>
        </w:rPr>
        <w:t>, אלא רק "</w:t>
      </w:r>
      <w:r w:rsidR="00B750F3" w:rsidRPr="00EA2C38">
        <w:rPr>
          <w:rFonts w:cs="David" w:hint="cs"/>
          <w:sz w:val="24"/>
          <w:rtl/>
        </w:rPr>
        <w:t>ה</w:t>
      </w:r>
      <w:r w:rsidR="0091526B" w:rsidRPr="00EA2C38">
        <w:rPr>
          <w:rFonts w:cs="David" w:hint="cs"/>
          <w:sz w:val="24"/>
          <w:rtl/>
        </w:rPr>
        <w:t>חזיק" ברווחי העבירה</w:t>
      </w:r>
      <w:r w:rsidR="009C67EB" w:rsidRPr="00EA2C38">
        <w:rPr>
          <w:rFonts w:cs="David" w:hint="cs"/>
          <w:sz w:val="24"/>
          <w:rtl/>
        </w:rPr>
        <w:t xml:space="preserve"> יכול להיחשב כ</w:t>
      </w:r>
      <w:r w:rsidR="00E677C6" w:rsidRPr="00EA2C38">
        <w:rPr>
          <w:rFonts w:cs="David" w:hint="cs"/>
          <w:sz w:val="24"/>
          <w:rtl/>
        </w:rPr>
        <w:t>"</w:t>
      </w:r>
      <w:r w:rsidR="009C67EB" w:rsidRPr="00EA2C38">
        <w:rPr>
          <w:rFonts w:cs="David" w:hint="cs"/>
          <w:sz w:val="24"/>
          <w:rtl/>
        </w:rPr>
        <w:t>מלבין הון</w:t>
      </w:r>
      <w:r w:rsidR="00A028C8" w:rsidRPr="00EA2C38">
        <w:rPr>
          <w:rFonts w:cs="David" w:hint="cs"/>
          <w:sz w:val="24"/>
          <w:rtl/>
        </w:rPr>
        <w:t>", למרות שלא התקיים בו הערך המוגן הנוסף של "הסתרה</w:t>
      </w:r>
      <w:r w:rsidR="00E677C6" w:rsidRPr="00EA2C38">
        <w:rPr>
          <w:rFonts w:cs="David" w:hint="cs"/>
          <w:sz w:val="24"/>
          <w:rtl/>
        </w:rPr>
        <w:t>"</w:t>
      </w:r>
      <w:r w:rsidR="008C211F" w:rsidRPr="00EA2C38">
        <w:rPr>
          <w:rFonts w:cs="David" w:hint="cs"/>
          <w:sz w:val="24"/>
          <w:rtl/>
        </w:rPr>
        <w:t>;</w:t>
      </w:r>
      <w:r w:rsidR="00541599" w:rsidRPr="00EA2C38">
        <w:rPr>
          <w:rFonts w:cs="David" w:hint="cs"/>
          <w:sz w:val="24"/>
          <w:rtl/>
        </w:rPr>
        <w:t xml:space="preserve"> </w:t>
      </w:r>
      <w:r w:rsidR="009C67EB" w:rsidRPr="00EA2C38">
        <w:rPr>
          <w:rFonts w:cs="David" w:hint="cs"/>
          <w:sz w:val="24"/>
          <w:rtl/>
        </w:rPr>
        <w:t xml:space="preserve">(ב) </w:t>
      </w:r>
      <w:r w:rsidR="009C67EB" w:rsidRPr="00EA2C38">
        <w:rPr>
          <w:rFonts w:cs="David" w:hint="cs"/>
          <w:sz w:val="24"/>
          <w:u w:val="single"/>
          <w:rtl/>
        </w:rPr>
        <w:t>התמזגות</w:t>
      </w:r>
      <w:r w:rsidR="009C67EB" w:rsidRPr="00EA2C38">
        <w:rPr>
          <w:rFonts w:cs="David" w:hint="cs"/>
          <w:sz w:val="24"/>
          <w:rtl/>
        </w:rPr>
        <w:t xml:space="preserve"> </w:t>
      </w:r>
      <w:r w:rsidR="009C67EB" w:rsidRPr="00EA2C38">
        <w:rPr>
          <w:rFonts w:cs="David"/>
          <w:sz w:val="24"/>
          <w:rtl/>
        </w:rPr>
        <w:t>–</w:t>
      </w:r>
      <w:r w:rsidR="009C67EB" w:rsidRPr="00EA2C38">
        <w:rPr>
          <w:rFonts w:cs="David" w:hint="cs"/>
          <w:sz w:val="24"/>
          <w:rtl/>
        </w:rPr>
        <w:t xml:space="preserve"> </w:t>
      </w:r>
      <w:r w:rsidR="00C13290" w:rsidRPr="00EA2C38">
        <w:rPr>
          <w:rFonts w:cs="David" w:hint="cs"/>
          <w:sz w:val="24"/>
          <w:rtl/>
        </w:rPr>
        <w:t xml:space="preserve">כפי שהוסבר בהרחבה בחוות הדעת שהפצנו לפני הדיון </w:t>
      </w:r>
      <w:r w:rsidR="00382995">
        <w:rPr>
          <w:rFonts w:cs="David" w:hint="cs"/>
          <w:sz w:val="24"/>
          <w:rtl/>
        </w:rPr>
        <w:t>הראשון</w:t>
      </w:r>
      <w:r w:rsidR="00C13290" w:rsidRPr="00EA2C38">
        <w:rPr>
          <w:rFonts w:cs="David" w:hint="cs"/>
          <w:sz w:val="24"/>
          <w:rtl/>
        </w:rPr>
        <w:t xml:space="preserve">, על פי פרשנות בית המשפט העליון עבירת הלבנת הון יכול "להתמזג" ב"עבירת המקור", כך שאותה פעולה יכולה </w:t>
      </w:r>
      <w:r w:rsidR="00876A77" w:rsidRPr="00EA2C38">
        <w:rPr>
          <w:rFonts w:cs="David" w:hint="cs"/>
          <w:sz w:val="24"/>
          <w:rtl/>
        </w:rPr>
        <w:t xml:space="preserve">להיחשב </w:t>
      </w:r>
      <w:r w:rsidR="00C13290" w:rsidRPr="00EA2C38">
        <w:rPr>
          <w:rFonts w:cs="David" w:hint="cs"/>
          <w:sz w:val="24"/>
          <w:rtl/>
        </w:rPr>
        <w:t xml:space="preserve">הן </w:t>
      </w:r>
      <w:r w:rsidR="00876A77" w:rsidRPr="00EA2C38">
        <w:rPr>
          <w:rFonts w:cs="David" w:hint="cs"/>
          <w:sz w:val="24"/>
          <w:rtl/>
        </w:rPr>
        <w:t>כ"</w:t>
      </w:r>
      <w:r w:rsidR="00C13290" w:rsidRPr="00EA2C38">
        <w:rPr>
          <w:rFonts w:cs="David" w:hint="cs"/>
          <w:sz w:val="24"/>
          <w:rtl/>
        </w:rPr>
        <w:t>עבירת מקור</w:t>
      </w:r>
      <w:r w:rsidR="00876A77" w:rsidRPr="00EA2C38">
        <w:rPr>
          <w:rFonts w:cs="David" w:hint="cs"/>
          <w:sz w:val="24"/>
          <w:rtl/>
        </w:rPr>
        <w:t>"</w:t>
      </w:r>
      <w:r w:rsidR="00C13290" w:rsidRPr="00EA2C38">
        <w:rPr>
          <w:rFonts w:cs="David" w:hint="cs"/>
          <w:sz w:val="24"/>
          <w:rtl/>
        </w:rPr>
        <w:t xml:space="preserve"> והן </w:t>
      </w:r>
      <w:r w:rsidR="00876A77" w:rsidRPr="00EA2C38">
        <w:rPr>
          <w:rFonts w:cs="David" w:hint="cs"/>
          <w:sz w:val="24"/>
          <w:rtl/>
        </w:rPr>
        <w:t>כ"</w:t>
      </w:r>
      <w:r w:rsidR="00C13290" w:rsidRPr="00EA2C38">
        <w:rPr>
          <w:rFonts w:cs="David" w:hint="cs"/>
          <w:sz w:val="24"/>
          <w:rtl/>
        </w:rPr>
        <w:t>עבירת הלבנה</w:t>
      </w:r>
      <w:r w:rsidR="00876A77" w:rsidRPr="00EA2C38">
        <w:rPr>
          <w:rFonts w:cs="David" w:hint="cs"/>
          <w:sz w:val="24"/>
          <w:rtl/>
        </w:rPr>
        <w:t>"</w:t>
      </w:r>
      <w:r w:rsidR="00683972" w:rsidRPr="00EA2C38">
        <w:rPr>
          <w:rStyle w:val="a3"/>
          <w:rFonts w:cs="David"/>
          <w:sz w:val="24"/>
          <w:rtl/>
        </w:rPr>
        <w:footnoteReference w:id="3"/>
      </w:r>
      <w:r w:rsidR="00C13290" w:rsidRPr="00EA2C38">
        <w:rPr>
          <w:rFonts w:cs="David" w:hint="cs"/>
          <w:sz w:val="24"/>
          <w:rtl/>
        </w:rPr>
        <w:t xml:space="preserve">. </w:t>
      </w:r>
      <w:r w:rsidR="00BF24BC" w:rsidRPr="00EA2C38">
        <w:rPr>
          <w:rFonts w:cs="David" w:hint="cs"/>
          <w:sz w:val="24"/>
          <w:rtl/>
        </w:rPr>
        <w:t xml:space="preserve">שתי הסוגיות האמורות </w:t>
      </w:r>
      <w:r w:rsidR="00E73A31" w:rsidRPr="00EA2C38">
        <w:rPr>
          <w:rFonts w:cs="David" w:hint="cs"/>
          <w:sz w:val="24"/>
          <w:rtl/>
        </w:rPr>
        <w:t>מקבל</w:t>
      </w:r>
      <w:r w:rsidR="00BF24BC" w:rsidRPr="00EA2C38">
        <w:rPr>
          <w:rFonts w:cs="David" w:hint="cs"/>
          <w:sz w:val="24"/>
          <w:rtl/>
        </w:rPr>
        <w:t>ו</w:t>
      </w:r>
      <w:r w:rsidR="00E73A31" w:rsidRPr="00EA2C38">
        <w:rPr>
          <w:rFonts w:cs="David" w:hint="cs"/>
          <w:sz w:val="24"/>
          <w:rtl/>
        </w:rPr>
        <w:t xml:space="preserve">ת משנה תוקף לגבי עבירות מס, </w:t>
      </w:r>
      <w:r w:rsidR="00BF24BC" w:rsidRPr="00EA2C38">
        <w:rPr>
          <w:rFonts w:cs="David" w:hint="cs"/>
          <w:sz w:val="24"/>
          <w:rtl/>
        </w:rPr>
        <w:t xml:space="preserve">שכן </w:t>
      </w:r>
      <w:r w:rsidR="00BF24BC" w:rsidRPr="00EA2C38">
        <w:rPr>
          <w:rFonts w:cs="David" w:hint="cs"/>
          <w:sz w:val="24"/>
          <w:u w:val="single"/>
          <w:rtl/>
        </w:rPr>
        <w:t>כל אחת מהן מובילה לכך שכל מי שעבר עבירת מס ייחשב, מיניה וביה, כ"מלבין הון" גם אם לא עשה כל פעולה נוספת</w:t>
      </w:r>
      <w:r w:rsidR="00E26F20" w:rsidRPr="00EA2C38">
        <w:rPr>
          <w:rFonts w:cs="David" w:hint="cs"/>
          <w:sz w:val="24"/>
          <w:u w:val="single"/>
          <w:rtl/>
        </w:rPr>
        <w:t xml:space="preserve"> מעבר לעבירת המס</w:t>
      </w:r>
      <w:r w:rsidR="00BF24BC" w:rsidRPr="00EA2C38">
        <w:rPr>
          <w:rFonts w:cs="David" w:hint="cs"/>
          <w:sz w:val="24"/>
          <w:rtl/>
        </w:rPr>
        <w:t xml:space="preserve">. הדבר מדגיש את </w:t>
      </w:r>
      <w:r w:rsidR="00BF24BC" w:rsidRPr="00EA2C38">
        <w:rPr>
          <w:rFonts w:cs="David" w:hint="cs"/>
          <w:sz w:val="24"/>
          <w:u w:val="single"/>
          <w:rtl/>
        </w:rPr>
        <w:t xml:space="preserve">הצורך </w:t>
      </w:r>
      <w:r w:rsidR="001A22AF" w:rsidRPr="00EA2C38">
        <w:rPr>
          <w:rFonts w:cs="David" w:hint="cs"/>
          <w:sz w:val="24"/>
          <w:u w:val="single"/>
          <w:rtl/>
        </w:rPr>
        <w:t xml:space="preserve">לחדד, במסגרת סעיפי העבירות, </w:t>
      </w:r>
      <w:r w:rsidR="002E64E7" w:rsidRPr="00EA2C38">
        <w:rPr>
          <w:rFonts w:cs="David" w:hint="cs"/>
          <w:sz w:val="24"/>
          <w:u w:val="single"/>
          <w:rtl/>
        </w:rPr>
        <w:t xml:space="preserve">את </w:t>
      </w:r>
      <w:r w:rsidR="0077173C" w:rsidRPr="00EA2C38">
        <w:rPr>
          <w:rFonts w:cs="David" w:hint="cs"/>
          <w:sz w:val="24"/>
          <w:u w:val="single"/>
          <w:rtl/>
        </w:rPr>
        <w:t xml:space="preserve">הדרישה לקיומו של </w:t>
      </w:r>
      <w:r w:rsidR="002E64E7" w:rsidRPr="00EA2C38">
        <w:rPr>
          <w:rFonts w:cs="David" w:hint="cs"/>
          <w:sz w:val="24"/>
          <w:u w:val="single"/>
          <w:rtl/>
        </w:rPr>
        <w:t>ערך מוגן נפרד</w:t>
      </w:r>
      <w:r w:rsidR="005A2E47" w:rsidRPr="00EA2C38">
        <w:rPr>
          <w:rFonts w:cs="David" w:hint="cs"/>
          <w:sz w:val="24"/>
          <w:u w:val="single"/>
          <w:rtl/>
        </w:rPr>
        <w:t xml:space="preserve"> לצורך גיבושה של עבירת הלבנת הון</w:t>
      </w:r>
      <w:r w:rsidR="009C67EB" w:rsidRPr="00EA2C38">
        <w:rPr>
          <w:rFonts w:cs="David" w:hint="cs"/>
          <w:sz w:val="24"/>
          <w:rtl/>
        </w:rPr>
        <w:t>.</w:t>
      </w:r>
      <w:r w:rsidR="0007442A" w:rsidRPr="00EA2C38">
        <w:rPr>
          <w:rFonts w:cs="David" w:hint="cs"/>
          <w:sz w:val="24"/>
          <w:rtl/>
        </w:rPr>
        <w:t xml:space="preserve"> </w:t>
      </w:r>
      <w:r w:rsidR="005C2476" w:rsidRPr="00EA2C38">
        <w:rPr>
          <w:rFonts w:cs="David" w:hint="cs"/>
          <w:sz w:val="24"/>
          <w:rtl/>
        </w:rPr>
        <w:t xml:space="preserve">כדי </w:t>
      </w:r>
      <w:r w:rsidR="001A22AF" w:rsidRPr="00EA2C38">
        <w:rPr>
          <w:rFonts w:cs="David" w:hint="cs"/>
          <w:sz w:val="24"/>
          <w:rtl/>
        </w:rPr>
        <w:t xml:space="preserve">לתת </w:t>
      </w:r>
      <w:r w:rsidR="00E713AA" w:rsidRPr="00EA2C38">
        <w:rPr>
          <w:rFonts w:cs="David" w:hint="cs"/>
          <w:sz w:val="24"/>
          <w:rtl/>
        </w:rPr>
        <w:t xml:space="preserve">לכך </w:t>
      </w:r>
      <w:r w:rsidR="001A22AF" w:rsidRPr="00EA2C38">
        <w:rPr>
          <w:rFonts w:cs="David" w:hint="cs"/>
          <w:sz w:val="24"/>
          <w:rtl/>
        </w:rPr>
        <w:t xml:space="preserve">מענה, מוצע </w:t>
      </w:r>
      <w:r w:rsidR="005C2476" w:rsidRPr="00EA2C38">
        <w:rPr>
          <w:rFonts w:cs="David" w:hint="cs"/>
          <w:sz w:val="24"/>
          <w:rtl/>
        </w:rPr>
        <w:t>לערוך</w:t>
      </w:r>
      <w:r w:rsidR="00547297" w:rsidRPr="00EA2C38">
        <w:rPr>
          <w:rFonts w:cs="David" w:hint="cs"/>
          <w:sz w:val="24"/>
          <w:rtl/>
        </w:rPr>
        <w:t xml:space="preserve"> </w:t>
      </w:r>
      <w:r w:rsidR="001A22AF" w:rsidRPr="00EA2C38">
        <w:rPr>
          <w:rFonts w:cs="David" w:hint="cs"/>
          <w:sz w:val="24"/>
          <w:rtl/>
        </w:rPr>
        <w:t xml:space="preserve">את </w:t>
      </w:r>
      <w:r w:rsidR="00547297" w:rsidRPr="00EA2C38">
        <w:rPr>
          <w:rFonts w:cs="David" w:hint="cs"/>
          <w:sz w:val="24"/>
          <w:rtl/>
        </w:rPr>
        <w:t>ש</w:t>
      </w:r>
      <w:r w:rsidR="001A22AF" w:rsidRPr="00EA2C38">
        <w:rPr>
          <w:rFonts w:cs="David" w:hint="cs"/>
          <w:sz w:val="24"/>
          <w:rtl/>
        </w:rPr>
        <w:t>נ</w:t>
      </w:r>
      <w:r w:rsidR="00547297" w:rsidRPr="00EA2C38">
        <w:rPr>
          <w:rFonts w:cs="David" w:hint="cs"/>
          <w:sz w:val="24"/>
          <w:rtl/>
        </w:rPr>
        <w:t xml:space="preserve">י </w:t>
      </w:r>
      <w:r w:rsidR="001A22AF" w:rsidRPr="00EA2C38">
        <w:rPr>
          <w:rFonts w:cs="David" w:hint="cs"/>
          <w:sz w:val="24"/>
          <w:rtl/>
        </w:rPr>
        <w:t>ה</w:t>
      </w:r>
      <w:r w:rsidR="00547297" w:rsidRPr="00EA2C38">
        <w:rPr>
          <w:rFonts w:cs="David" w:hint="cs"/>
          <w:sz w:val="24"/>
          <w:rtl/>
        </w:rPr>
        <w:t xml:space="preserve">תיקונים </w:t>
      </w:r>
      <w:r w:rsidR="001A22AF" w:rsidRPr="00EA2C38">
        <w:rPr>
          <w:rFonts w:cs="David" w:hint="cs"/>
          <w:sz w:val="24"/>
          <w:rtl/>
        </w:rPr>
        <w:t>הבאים</w:t>
      </w:r>
      <w:r w:rsidR="00547297" w:rsidRPr="00EA2C38">
        <w:rPr>
          <w:rFonts w:cs="David" w:hint="cs"/>
          <w:sz w:val="24"/>
          <w:rtl/>
        </w:rPr>
        <w:t>:</w:t>
      </w:r>
    </w:p>
    <w:p w:rsidR="008A4205" w:rsidRPr="00EA2C38" w:rsidRDefault="008A4205" w:rsidP="004A1269">
      <w:pPr>
        <w:pStyle w:val="a6"/>
        <w:numPr>
          <w:ilvl w:val="0"/>
          <w:numId w:val="12"/>
        </w:numPr>
        <w:spacing w:after="120"/>
        <w:rPr>
          <w:rFonts w:cs="David"/>
          <w:sz w:val="24"/>
        </w:rPr>
      </w:pPr>
      <w:r w:rsidRPr="00EA2C38">
        <w:rPr>
          <w:rFonts w:cs="David" w:hint="cs"/>
          <w:sz w:val="24"/>
          <w:u w:val="single"/>
          <w:rtl/>
        </w:rPr>
        <w:t>התיקון הראשון</w:t>
      </w:r>
      <w:r w:rsidRPr="00EA2C38">
        <w:rPr>
          <w:rFonts w:cs="David" w:hint="cs"/>
          <w:sz w:val="24"/>
          <w:rtl/>
        </w:rPr>
        <w:t xml:space="preserve"> </w:t>
      </w:r>
      <w:r w:rsidRPr="00EA2C38">
        <w:rPr>
          <w:rFonts w:cs="David"/>
          <w:sz w:val="24"/>
          <w:rtl/>
        </w:rPr>
        <w:t>–</w:t>
      </w:r>
      <w:r w:rsidRPr="00EA2C38">
        <w:rPr>
          <w:rFonts w:cs="David" w:hint="cs"/>
          <w:sz w:val="24"/>
          <w:rtl/>
        </w:rPr>
        <w:t xml:space="preserve"> </w:t>
      </w:r>
      <w:r w:rsidR="00AA2315" w:rsidRPr="00EA2C38">
        <w:rPr>
          <w:rFonts w:cs="David" w:hint="cs"/>
          <w:sz w:val="24"/>
          <w:rtl/>
        </w:rPr>
        <w:t xml:space="preserve">יבהיר כי </w:t>
      </w:r>
      <w:r w:rsidR="007E1EC5" w:rsidRPr="00EA2C38">
        <w:rPr>
          <w:rFonts w:cs="David" w:hint="cs"/>
          <w:b/>
          <w:bCs/>
          <w:sz w:val="24"/>
          <w:rtl/>
        </w:rPr>
        <w:t xml:space="preserve">עבריין שעבר עבירת מקור </w:t>
      </w:r>
      <w:r w:rsidR="00382995">
        <w:rPr>
          <w:rFonts w:cs="David" w:hint="cs"/>
          <w:b/>
          <w:bCs/>
          <w:sz w:val="24"/>
          <w:rtl/>
        </w:rPr>
        <w:t>וכל פעילותו התמצתה בהחזקה של ה</w:t>
      </w:r>
      <w:r w:rsidR="007E1EC5" w:rsidRPr="00EA2C38">
        <w:rPr>
          <w:rFonts w:cs="David" w:hint="cs"/>
          <w:b/>
          <w:bCs/>
          <w:sz w:val="24"/>
          <w:rtl/>
        </w:rPr>
        <w:t xml:space="preserve">כסף שהפיק מהעבירה, </w:t>
      </w:r>
      <w:r w:rsidR="00AC1975" w:rsidRPr="00EA2C38">
        <w:rPr>
          <w:rFonts w:cs="David" w:hint="cs"/>
          <w:b/>
          <w:bCs/>
          <w:sz w:val="24"/>
          <w:rtl/>
        </w:rPr>
        <w:t xml:space="preserve">ללא ביצוע של כל פעולה נוספת, </w:t>
      </w:r>
      <w:r w:rsidR="007E1EC5" w:rsidRPr="00EA2C38">
        <w:rPr>
          <w:rFonts w:cs="David" w:hint="cs"/>
          <w:b/>
          <w:bCs/>
          <w:sz w:val="24"/>
          <w:rtl/>
        </w:rPr>
        <w:t>לא ייחשב כמי שעבר עבירה של הלבנת הון לפי סעיף 3 או 4 לחוק</w:t>
      </w:r>
      <w:r w:rsidR="007E1EC5" w:rsidRPr="00EA2C38">
        <w:rPr>
          <w:rStyle w:val="a3"/>
          <w:rFonts w:cs="David"/>
          <w:sz w:val="24"/>
          <w:rtl/>
        </w:rPr>
        <w:footnoteReference w:id="4"/>
      </w:r>
      <w:r w:rsidR="00212268">
        <w:rPr>
          <w:rFonts w:cs="David" w:hint="cs"/>
          <w:sz w:val="24"/>
          <w:rtl/>
        </w:rPr>
        <w:t xml:space="preserve"> (להלן </w:t>
      </w:r>
      <w:r w:rsidR="00212268">
        <w:rPr>
          <w:rFonts w:cs="David"/>
          <w:sz w:val="24"/>
          <w:rtl/>
        </w:rPr>
        <w:t>–</w:t>
      </w:r>
      <w:r w:rsidR="00212268">
        <w:rPr>
          <w:rFonts w:cs="David" w:hint="cs"/>
          <w:sz w:val="24"/>
          <w:rtl/>
        </w:rPr>
        <w:t xml:space="preserve"> אלמנט ההחזקה)</w:t>
      </w:r>
      <w:r w:rsidR="007E1EC5" w:rsidRPr="00EA2C38">
        <w:rPr>
          <w:rFonts w:cs="David" w:hint="cs"/>
          <w:sz w:val="24"/>
          <w:rtl/>
        </w:rPr>
        <w:t>.</w:t>
      </w:r>
      <w:r w:rsidR="00683972" w:rsidRPr="00EA2C38">
        <w:rPr>
          <w:rFonts w:cs="David" w:hint="cs"/>
          <w:sz w:val="24"/>
          <w:rtl/>
        </w:rPr>
        <w:t xml:space="preserve"> כך, למשל, לפי התיקון המוצע, אדם </w:t>
      </w:r>
      <w:r w:rsidR="004A1269">
        <w:rPr>
          <w:rFonts w:cs="David" w:hint="cs"/>
          <w:sz w:val="24"/>
          <w:rtl/>
        </w:rPr>
        <w:t>שגנב כספים</w:t>
      </w:r>
      <w:r w:rsidR="008C211F" w:rsidRPr="00EA2C38">
        <w:rPr>
          <w:rFonts w:cs="David" w:hint="cs"/>
          <w:sz w:val="24"/>
          <w:rtl/>
        </w:rPr>
        <w:t>,</w:t>
      </w:r>
      <w:r w:rsidR="00683972" w:rsidRPr="00EA2C38">
        <w:rPr>
          <w:rFonts w:cs="David" w:hint="cs"/>
          <w:sz w:val="24"/>
          <w:rtl/>
        </w:rPr>
        <w:t xml:space="preserve"> </w:t>
      </w:r>
      <w:r w:rsidR="00683972" w:rsidRPr="00EA2C38">
        <w:rPr>
          <w:rFonts w:cs="David" w:hint="cs"/>
          <w:sz w:val="24"/>
          <w:rtl/>
        </w:rPr>
        <w:lastRenderedPageBreak/>
        <w:t>הרוויח כתוצאה מעסקת סמים</w:t>
      </w:r>
      <w:r w:rsidR="008C211F" w:rsidRPr="00EA2C38">
        <w:rPr>
          <w:rFonts w:cs="David" w:hint="cs"/>
          <w:sz w:val="24"/>
          <w:rtl/>
        </w:rPr>
        <w:t xml:space="preserve"> או העלים מס</w:t>
      </w:r>
      <w:r w:rsidR="00683972" w:rsidRPr="00EA2C38">
        <w:rPr>
          <w:rFonts w:cs="David" w:hint="cs"/>
          <w:sz w:val="24"/>
          <w:rtl/>
        </w:rPr>
        <w:t xml:space="preserve">, ולא עשה דבר מלבד להחזיק את </w:t>
      </w:r>
      <w:r w:rsidR="008C211F" w:rsidRPr="00EA2C38">
        <w:rPr>
          <w:rFonts w:cs="David" w:hint="cs"/>
          <w:sz w:val="24"/>
          <w:rtl/>
        </w:rPr>
        <w:t>הכסף שהפיק מהעבירה</w:t>
      </w:r>
      <w:r w:rsidR="00683972" w:rsidRPr="00EA2C38">
        <w:rPr>
          <w:rFonts w:cs="David" w:hint="cs"/>
          <w:sz w:val="24"/>
          <w:rtl/>
        </w:rPr>
        <w:t>, לא ייחשב ל"מלבין הון".</w:t>
      </w:r>
    </w:p>
    <w:p w:rsidR="00683972" w:rsidRPr="00EA2C38" w:rsidRDefault="008A4205" w:rsidP="004A1269">
      <w:pPr>
        <w:pStyle w:val="a6"/>
        <w:numPr>
          <w:ilvl w:val="0"/>
          <w:numId w:val="12"/>
        </w:numPr>
        <w:spacing w:after="120"/>
        <w:rPr>
          <w:rFonts w:cs="David"/>
          <w:sz w:val="24"/>
          <w:rtl/>
        </w:rPr>
      </w:pPr>
      <w:r w:rsidRPr="00EA2C38">
        <w:rPr>
          <w:rFonts w:cs="David" w:hint="cs"/>
          <w:sz w:val="24"/>
          <w:u w:val="single"/>
          <w:rtl/>
        </w:rPr>
        <w:t>התיקון השני</w:t>
      </w:r>
      <w:r w:rsidRPr="00EA2C38">
        <w:rPr>
          <w:rFonts w:cs="David" w:hint="cs"/>
          <w:sz w:val="24"/>
          <w:rtl/>
        </w:rPr>
        <w:t xml:space="preserve"> </w:t>
      </w:r>
      <w:r w:rsidRPr="00EA2C38">
        <w:rPr>
          <w:rFonts w:cs="David"/>
          <w:sz w:val="24"/>
          <w:rtl/>
        </w:rPr>
        <w:t>–</w:t>
      </w:r>
      <w:r w:rsidRPr="00EA2C38">
        <w:rPr>
          <w:rFonts w:cs="David" w:hint="cs"/>
          <w:sz w:val="24"/>
          <w:rtl/>
        </w:rPr>
        <w:t xml:space="preserve"> </w:t>
      </w:r>
      <w:r w:rsidR="005C2476" w:rsidRPr="00EA2C38">
        <w:rPr>
          <w:rFonts w:cs="David" w:hint="cs"/>
          <w:sz w:val="24"/>
          <w:rtl/>
        </w:rPr>
        <w:t xml:space="preserve">יבהיר </w:t>
      </w:r>
      <w:r w:rsidR="00AA2315" w:rsidRPr="00EA2C38">
        <w:rPr>
          <w:rFonts w:cs="David" w:hint="cs"/>
          <w:sz w:val="24"/>
          <w:rtl/>
        </w:rPr>
        <w:t xml:space="preserve">כי </w:t>
      </w:r>
      <w:r w:rsidR="00AC1975" w:rsidRPr="00EA2C38">
        <w:rPr>
          <w:rFonts w:cs="David" w:hint="cs"/>
          <w:b/>
          <w:bCs/>
          <w:sz w:val="24"/>
          <w:rtl/>
        </w:rPr>
        <w:t xml:space="preserve">עבריין שביצע פעולה אקטיבית </w:t>
      </w:r>
      <w:r w:rsidR="00AD7B8D" w:rsidRPr="00EA2C38">
        <w:rPr>
          <w:rFonts w:cs="David" w:hint="cs"/>
          <w:b/>
          <w:bCs/>
          <w:sz w:val="24"/>
          <w:rtl/>
        </w:rPr>
        <w:t xml:space="preserve">שמטרתה העיקרית היא </w:t>
      </w:r>
      <w:r w:rsidR="005C2476" w:rsidRPr="00EA2C38">
        <w:rPr>
          <w:rFonts w:cs="David" w:hint="cs"/>
          <w:b/>
          <w:bCs/>
          <w:sz w:val="24"/>
          <w:rtl/>
        </w:rPr>
        <w:t xml:space="preserve">צריכה </w:t>
      </w:r>
      <w:r w:rsidR="0007442A" w:rsidRPr="00EA2C38">
        <w:rPr>
          <w:rFonts w:cs="David" w:hint="cs"/>
          <w:b/>
          <w:bCs/>
          <w:sz w:val="24"/>
          <w:rtl/>
        </w:rPr>
        <w:t xml:space="preserve">של ההון </w:t>
      </w:r>
      <w:r w:rsidR="008C5A14" w:rsidRPr="00EA2C38">
        <w:rPr>
          <w:rFonts w:cs="David" w:hint="cs"/>
          <w:b/>
          <w:bCs/>
          <w:sz w:val="24"/>
          <w:rtl/>
        </w:rPr>
        <w:t>השחור</w:t>
      </w:r>
      <w:r w:rsidR="00CA6ACD" w:rsidRPr="00EA2C38">
        <w:rPr>
          <w:rFonts w:cs="David" w:hint="cs"/>
          <w:b/>
          <w:bCs/>
          <w:sz w:val="24"/>
          <w:rtl/>
        </w:rPr>
        <w:t xml:space="preserve"> </w:t>
      </w:r>
      <w:r w:rsidR="00AC1975" w:rsidRPr="00EA2C38">
        <w:rPr>
          <w:rFonts w:cs="David" w:hint="cs"/>
          <w:b/>
          <w:bCs/>
          <w:sz w:val="24"/>
          <w:rtl/>
        </w:rPr>
        <w:t>ולא הסתרה שלו</w:t>
      </w:r>
      <w:r w:rsidR="005C2476" w:rsidRPr="00EA2C38">
        <w:rPr>
          <w:rFonts w:cs="David" w:hint="cs"/>
          <w:b/>
          <w:bCs/>
          <w:sz w:val="24"/>
          <w:rtl/>
        </w:rPr>
        <w:t xml:space="preserve">, </w:t>
      </w:r>
      <w:r w:rsidR="00AC1975" w:rsidRPr="00EA2C38">
        <w:rPr>
          <w:rFonts w:cs="David" w:hint="cs"/>
          <w:b/>
          <w:bCs/>
          <w:sz w:val="24"/>
          <w:rtl/>
        </w:rPr>
        <w:t xml:space="preserve">לא ייחשב כמי שעבר </w:t>
      </w:r>
      <w:r w:rsidR="00AD7B8D" w:rsidRPr="00EA2C38">
        <w:rPr>
          <w:rFonts w:cs="David" w:hint="cs"/>
          <w:b/>
          <w:bCs/>
          <w:sz w:val="24"/>
          <w:rtl/>
        </w:rPr>
        <w:t>עבירה</w:t>
      </w:r>
      <w:r w:rsidR="0021741E" w:rsidRPr="00EA2C38">
        <w:rPr>
          <w:rFonts w:cs="David" w:hint="cs"/>
          <w:b/>
          <w:bCs/>
          <w:sz w:val="24"/>
          <w:rtl/>
        </w:rPr>
        <w:t xml:space="preserve"> של הלבנת הון לפי </w:t>
      </w:r>
      <w:r w:rsidR="007E033D" w:rsidRPr="00EA2C38">
        <w:rPr>
          <w:rFonts w:cs="David" w:hint="cs"/>
          <w:b/>
          <w:bCs/>
          <w:sz w:val="24"/>
          <w:rtl/>
        </w:rPr>
        <w:t>סעיפים 3 ו-4 ל</w:t>
      </w:r>
      <w:r w:rsidR="00A26B9A" w:rsidRPr="00EA2C38">
        <w:rPr>
          <w:rFonts w:cs="David" w:hint="cs"/>
          <w:b/>
          <w:bCs/>
          <w:sz w:val="24"/>
          <w:rtl/>
        </w:rPr>
        <w:t>חוק</w:t>
      </w:r>
      <w:r w:rsidR="00212268">
        <w:rPr>
          <w:rFonts w:cs="David" w:hint="cs"/>
          <w:sz w:val="24"/>
          <w:rtl/>
        </w:rPr>
        <w:t xml:space="preserve"> (להלן </w:t>
      </w:r>
      <w:r w:rsidR="00212268">
        <w:rPr>
          <w:rFonts w:cs="David"/>
          <w:sz w:val="24"/>
          <w:rtl/>
        </w:rPr>
        <w:t>–</w:t>
      </w:r>
      <w:r w:rsidR="00212268">
        <w:rPr>
          <w:rFonts w:cs="David" w:hint="cs"/>
          <w:sz w:val="24"/>
          <w:rtl/>
        </w:rPr>
        <w:t xml:space="preserve"> אלמנט הצריכה)</w:t>
      </w:r>
      <w:r w:rsidR="005C2476" w:rsidRPr="00EA2C38">
        <w:rPr>
          <w:rFonts w:cs="David" w:hint="cs"/>
          <w:sz w:val="24"/>
          <w:rtl/>
        </w:rPr>
        <w:t>.</w:t>
      </w:r>
      <w:r w:rsidR="003A3477" w:rsidRPr="00EA2C38">
        <w:rPr>
          <w:rFonts w:cs="David" w:hint="cs"/>
          <w:sz w:val="24"/>
          <w:rtl/>
        </w:rPr>
        <w:t xml:space="preserve"> </w:t>
      </w:r>
      <w:r w:rsidR="001B3BA7" w:rsidRPr="00EA2C38">
        <w:rPr>
          <w:rFonts w:cs="David" w:hint="cs"/>
          <w:sz w:val="24"/>
          <w:rtl/>
        </w:rPr>
        <w:t>כך, למשל, לפי התיקון המוצע, אדם ש</w:t>
      </w:r>
      <w:r w:rsidR="004A1269">
        <w:rPr>
          <w:rFonts w:cs="David" w:hint="cs"/>
          <w:sz w:val="24"/>
          <w:rtl/>
        </w:rPr>
        <w:t>גנב כספים</w:t>
      </w:r>
      <w:r w:rsidR="001B3BA7" w:rsidRPr="00EA2C38">
        <w:rPr>
          <w:rFonts w:cs="David" w:hint="cs"/>
          <w:sz w:val="24"/>
          <w:rtl/>
        </w:rPr>
        <w:t xml:space="preserve">, הרוויח כתוצאה מעסקת סמים או העלים מס, ורכש עם הכסף פלאפון במטרה ליהנות מהכסף, לא ייחשב ל"מלבין הון". </w:t>
      </w:r>
      <w:r w:rsidR="005B42AD" w:rsidRPr="00EA2C38">
        <w:rPr>
          <w:rFonts w:cs="David" w:hint="cs"/>
          <w:sz w:val="24"/>
          <w:rtl/>
        </w:rPr>
        <w:t xml:space="preserve">זאת, מתוך הבנה שכאשר </w:t>
      </w:r>
      <w:r w:rsidR="001B3BA7" w:rsidRPr="00EA2C38">
        <w:rPr>
          <w:rFonts w:cs="David" w:hint="cs"/>
          <w:sz w:val="24"/>
          <w:rtl/>
        </w:rPr>
        <w:t>ה</w:t>
      </w:r>
      <w:r w:rsidR="00AD7B8D" w:rsidRPr="00EA2C38">
        <w:rPr>
          <w:rFonts w:cs="David" w:hint="cs"/>
          <w:sz w:val="24"/>
          <w:rtl/>
        </w:rPr>
        <w:t>מטר</w:t>
      </w:r>
      <w:r w:rsidR="001B3BA7" w:rsidRPr="00EA2C38">
        <w:rPr>
          <w:rFonts w:cs="David" w:hint="cs"/>
          <w:sz w:val="24"/>
          <w:rtl/>
        </w:rPr>
        <w:t>ה</w:t>
      </w:r>
      <w:r w:rsidR="00AD7B8D" w:rsidRPr="00EA2C38">
        <w:rPr>
          <w:rFonts w:cs="David" w:hint="cs"/>
          <w:sz w:val="24"/>
          <w:rtl/>
        </w:rPr>
        <w:t xml:space="preserve"> העיקרית </w:t>
      </w:r>
      <w:r w:rsidR="001B3BA7" w:rsidRPr="00EA2C38">
        <w:rPr>
          <w:rFonts w:cs="David" w:hint="cs"/>
          <w:sz w:val="24"/>
          <w:rtl/>
        </w:rPr>
        <w:t xml:space="preserve">של הפעולה </w:t>
      </w:r>
      <w:r w:rsidR="00AD7B8D" w:rsidRPr="00EA2C38">
        <w:rPr>
          <w:rFonts w:cs="David" w:hint="cs"/>
          <w:sz w:val="24"/>
          <w:rtl/>
        </w:rPr>
        <w:t xml:space="preserve">היא </w:t>
      </w:r>
      <w:r w:rsidR="003A3477" w:rsidRPr="00EA2C38">
        <w:rPr>
          <w:rFonts w:cs="David" w:hint="cs"/>
          <w:sz w:val="24"/>
          <w:rtl/>
        </w:rPr>
        <w:t xml:space="preserve">צריכה </w:t>
      </w:r>
      <w:r w:rsidR="009E073B" w:rsidRPr="00EA2C38">
        <w:rPr>
          <w:rFonts w:cs="David" w:hint="cs"/>
          <w:sz w:val="24"/>
          <w:rtl/>
        </w:rPr>
        <w:t>של ההון השחור</w:t>
      </w:r>
      <w:r w:rsidR="00E3721B" w:rsidRPr="00EA2C38">
        <w:rPr>
          <w:rFonts w:cs="David" w:hint="cs"/>
          <w:sz w:val="24"/>
          <w:rtl/>
        </w:rPr>
        <w:t>,</w:t>
      </w:r>
      <w:r w:rsidR="008C5A14" w:rsidRPr="00EA2C38">
        <w:rPr>
          <w:rFonts w:cs="David" w:hint="cs"/>
          <w:sz w:val="24"/>
          <w:rtl/>
        </w:rPr>
        <w:t xml:space="preserve"> </w:t>
      </w:r>
      <w:r w:rsidR="004B7AD3" w:rsidRPr="00EA2C38">
        <w:rPr>
          <w:rFonts w:cs="David" w:hint="cs"/>
          <w:sz w:val="24"/>
          <w:rtl/>
        </w:rPr>
        <w:t xml:space="preserve">אין </w:t>
      </w:r>
      <w:r w:rsidR="00AD7B8D" w:rsidRPr="00EA2C38">
        <w:rPr>
          <w:rFonts w:cs="David" w:hint="cs"/>
          <w:sz w:val="24"/>
          <w:rtl/>
        </w:rPr>
        <w:t xml:space="preserve">אלמנט </w:t>
      </w:r>
      <w:r w:rsidR="003A3477" w:rsidRPr="00EA2C38">
        <w:rPr>
          <w:rFonts w:cs="David" w:hint="cs"/>
          <w:sz w:val="24"/>
          <w:rtl/>
        </w:rPr>
        <w:t xml:space="preserve">אמיתי של הסתרה, שמעמיד ערך מוגן נוסף שמצדיק את תחולת חוק איסור הלבנת הון. </w:t>
      </w:r>
    </w:p>
    <w:p w:rsidR="00AA2315" w:rsidRPr="00EA27B4" w:rsidRDefault="00AA2315" w:rsidP="004A1269">
      <w:pPr>
        <w:spacing w:after="120"/>
        <w:rPr>
          <w:rFonts w:cs="David"/>
          <w:sz w:val="24"/>
          <w:rtl/>
        </w:rPr>
      </w:pPr>
      <w:r w:rsidRPr="00EA2C38">
        <w:rPr>
          <w:rFonts w:cs="David" w:hint="cs"/>
          <w:sz w:val="24"/>
          <w:rtl/>
        </w:rPr>
        <w:t xml:space="preserve">צירוף התיקונים </w:t>
      </w:r>
      <w:r w:rsidR="006D2B40">
        <w:rPr>
          <w:rFonts w:cs="David" w:hint="cs"/>
          <w:sz w:val="24"/>
          <w:rtl/>
        </w:rPr>
        <w:t xml:space="preserve">המוצעים, יש בו כדי למנוע </w:t>
      </w:r>
      <w:r w:rsidR="001C0EAC" w:rsidRPr="00EA2C38">
        <w:rPr>
          <w:rFonts w:cs="David" w:hint="cs"/>
          <w:sz w:val="24"/>
          <w:rtl/>
        </w:rPr>
        <w:t xml:space="preserve">את החשש שהוצג בדיון שכל עבירת מס תיחשב, מיניה וביה, גם עבירה </w:t>
      </w:r>
      <w:r w:rsidR="001C0EAC" w:rsidRPr="00EA27B4">
        <w:rPr>
          <w:rFonts w:cs="David" w:hint="cs"/>
          <w:sz w:val="24"/>
          <w:rtl/>
        </w:rPr>
        <w:t>של הלבנת הון.</w:t>
      </w:r>
    </w:p>
    <w:p w:rsidR="00541F77" w:rsidRPr="00EA27B4" w:rsidRDefault="001B3BA7" w:rsidP="00541F77">
      <w:pPr>
        <w:spacing w:after="120"/>
        <w:rPr>
          <w:rFonts w:cs="David"/>
          <w:sz w:val="24"/>
          <w:rtl/>
        </w:rPr>
      </w:pPr>
      <w:r w:rsidRPr="00EA27B4">
        <w:rPr>
          <w:rFonts w:cs="David" w:hint="cs"/>
          <w:sz w:val="24"/>
          <w:rtl/>
        </w:rPr>
        <w:t>=&gt; לשתי הנקודות הללו יש התייחסות חלקית בלבד בטיוטה הממשלתית</w:t>
      </w:r>
      <w:r w:rsidR="00541F77" w:rsidRPr="00EA27B4">
        <w:rPr>
          <w:rFonts w:cs="David" w:hint="cs"/>
          <w:sz w:val="24"/>
          <w:rtl/>
        </w:rPr>
        <w:t>:</w:t>
      </w:r>
      <w:r w:rsidR="000269BB" w:rsidRPr="00EA27B4">
        <w:rPr>
          <w:rFonts w:cs="David" w:hint="cs"/>
          <w:sz w:val="24"/>
          <w:rtl/>
        </w:rPr>
        <w:t xml:space="preserve"> </w:t>
      </w:r>
    </w:p>
    <w:p w:rsidR="00541F77" w:rsidRPr="00EA27B4" w:rsidRDefault="005A4D92" w:rsidP="003674CF">
      <w:pPr>
        <w:spacing w:after="120"/>
        <w:rPr>
          <w:rFonts w:cs="David"/>
          <w:sz w:val="24"/>
          <w:rtl/>
        </w:rPr>
      </w:pPr>
      <w:r w:rsidRPr="00EA27B4">
        <w:rPr>
          <w:rFonts w:cs="David" w:hint="cs"/>
          <w:sz w:val="24"/>
          <w:rtl/>
        </w:rPr>
        <w:t>א</w:t>
      </w:r>
      <w:r w:rsidR="009737E3" w:rsidRPr="00EA27B4">
        <w:rPr>
          <w:rFonts w:cs="David" w:hint="cs"/>
          <w:sz w:val="24"/>
          <w:rtl/>
        </w:rPr>
        <w:t>)</w:t>
      </w:r>
      <w:r w:rsidRPr="00EA27B4">
        <w:rPr>
          <w:rFonts w:cs="David" w:hint="cs"/>
          <w:sz w:val="24"/>
          <w:rtl/>
        </w:rPr>
        <w:t xml:space="preserve"> </w:t>
      </w:r>
      <w:r w:rsidR="001B3BA7" w:rsidRPr="00EA27B4">
        <w:rPr>
          <w:rFonts w:cs="David" w:hint="cs"/>
          <w:sz w:val="24"/>
          <w:rtl/>
        </w:rPr>
        <w:t>ההתייחסות בטיוטה הממשלתית</w:t>
      </w:r>
      <w:r w:rsidR="00541F77" w:rsidRPr="00EA27B4">
        <w:rPr>
          <w:rFonts w:cs="David" w:hint="cs"/>
          <w:sz w:val="24"/>
          <w:rtl/>
        </w:rPr>
        <w:t>,</w:t>
      </w:r>
      <w:r w:rsidR="001B3BA7" w:rsidRPr="00EA27B4">
        <w:rPr>
          <w:rFonts w:cs="David" w:hint="cs"/>
          <w:sz w:val="24"/>
          <w:rtl/>
        </w:rPr>
        <w:t xml:space="preserve"> </w:t>
      </w:r>
      <w:r w:rsidR="002C36A4" w:rsidRPr="00EA27B4">
        <w:rPr>
          <w:rFonts w:cs="David" w:hint="cs"/>
          <w:sz w:val="24"/>
          <w:rtl/>
        </w:rPr>
        <w:t>הן לגבי אלמנט ההחזקה והן לגבי אלמנט הצריכה</w:t>
      </w:r>
      <w:r w:rsidR="00541F77" w:rsidRPr="00EA27B4">
        <w:rPr>
          <w:rFonts w:cs="David" w:hint="cs"/>
          <w:sz w:val="24"/>
          <w:rtl/>
        </w:rPr>
        <w:t xml:space="preserve">, </w:t>
      </w:r>
      <w:r w:rsidR="001B3BA7" w:rsidRPr="00EA27B4">
        <w:rPr>
          <w:rFonts w:cs="David" w:hint="cs"/>
          <w:sz w:val="24"/>
          <w:rtl/>
        </w:rPr>
        <w:t>היא רק במסגרת הנחיות</w:t>
      </w:r>
      <w:r w:rsidR="003E6A78" w:rsidRPr="00EA27B4">
        <w:rPr>
          <w:rFonts w:cs="David" w:hint="cs"/>
          <w:sz w:val="24"/>
          <w:rtl/>
        </w:rPr>
        <w:t xml:space="preserve"> היועץ המשפטי לממשלה / פרקליט המדינה</w:t>
      </w:r>
      <w:r w:rsidR="002C36A4" w:rsidRPr="00EA27B4">
        <w:rPr>
          <w:rFonts w:cs="David" w:hint="cs"/>
          <w:sz w:val="24"/>
          <w:rtl/>
        </w:rPr>
        <w:t>. אנו סבורים</w:t>
      </w:r>
      <w:r w:rsidRPr="00EA27B4">
        <w:rPr>
          <w:rFonts w:cs="David" w:hint="cs"/>
          <w:sz w:val="24"/>
          <w:rtl/>
        </w:rPr>
        <w:t>,</w:t>
      </w:r>
      <w:r w:rsidR="002C36A4" w:rsidRPr="00EA27B4">
        <w:rPr>
          <w:rFonts w:cs="David" w:hint="cs"/>
          <w:sz w:val="24"/>
          <w:rtl/>
        </w:rPr>
        <w:t xml:space="preserve"> כי </w:t>
      </w:r>
      <w:r w:rsidR="00541F77" w:rsidRPr="00EA27B4">
        <w:rPr>
          <w:rFonts w:cs="David" w:hint="cs"/>
          <w:sz w:val="24"/>
          <w:u w:val="single"/>
          <w:rtl/>
        </w:rPr>
        <w:t xml:space="preserve">בעוד </w:t>
      </w:r>
      <w:r w:rsidR="00212268" w:rsidRPr="00EA27B4">
        <w:rPr>
          <w:rFonts w:cs="David" w:hint="cs"/>
          <w:sz w:val="24"/>
          <w:u w:val="single"/>
          <w:rtl/>
        </w:rPr>
        <w:t>שהתיקון שנוגע לאלמנט הצריכה</w:t>
      </w:r>
      <w:r w:rsidR="003674CF" w:rsidRPr="00EA27B4">
        <w:rPr>
          <w:rFonts w:cs="David" w:hint="cs"/>
          <w:sz w:val="24"/>
          <w:u w:val="single"/>
          <w:rtl/>
        </w:rPr>
        <w:t xml:space="preserve"> </w:t>
      </w:r>
      <w:r w:rsidR="003674CF" w:rsidRPr="00EA27B4">
        <w:rPr>
          <w:rFonts w:cs="David"/>
          <w:sz w:val="24"/>
          <w:u w:val="single"/>
          <w:rtl/>
        </w:rPr>
        <w:t>–</w:t>
      </w:r>
      <w:r w:rsidR="00212268" w:rsidRPr="00EA27B4">
        <w:rPr>
          <w:rFonts w:cs="David" w:hint="cs"/>
          <w:sz w:val="24"/>
          <w:u w:val="single"/>
          <w:rtl/>
        </w:rPr>
        <w:t xml:space="preserve"> בשל ההשלכות הרחבות שיש לו</w:t>
      </w:r>
      <w:r w:rsidR="003674CF" w:rsidRPr="00EA27B4">
        <w:rPr>
          <w:rFonts w:cs="David" w:hint="cs"/>
          <w:sz w:val="24"/>
          <w:u w:val="single"/>
          <w:rtl/>
        </w:rPr>
        <w:t xml:space="preserve"> </w:t>
      </w:r>
      <w:r w:rsidR="003674CF" w:rsidRPr="00EA27B4">
        <w:rPr>
          <w:rFonts w:cs="David"/>
          <w:sz w:val="24"/>
          <w:u w:val="single"/>
          <w:rtl/>
        </w:rPr>
        <w:t>–</w:t>
      </w:r>
      <w:r w:rsidR="00212268" w:rsidRPr="00EA27B4">
        <w:rPr>
          <w:rFonts w:cs="David" w:hint="cs"/>
          <w:sz w:val="24"/>
          <w:u w:val="single"/>
          <w:rtl/>
        </w:rPr>
        <w:t xml:space="preserve"> אכן יכול לקבל ביטוי מדויק וגמיש יותר במסגרת ההנחיות, הרי </w:t>
      </w:r>
      <w:r w:rsidR="00541F77" w:rsidRPr="00EA27B4">
        <w:rPr>
          <w:rFonts w:cs="David" w:hint="cs"/>
          <w:sz w:val="24"/>
          <w:u w:val="single"/>
          <w:rtl/>
        </w:rPr>
        <w:t xml:space="preserve">שהתיקון שנוגע לאלמנט ההחזקה </w:t>
      </w:r>
      <w:r w:rsidR="003E6A78" w:rsidRPr="00EA27B4">
        <w:rPr>
          <w:rFonts w:cs="David" w:hint="cs"/>
          <w:sz w:val="24"/>
          <w:u w:val="single"/>
          <w:rtl/>
        </w:rPr>
        <w:t xml:space="preserve">צריך להיעשות </w:t>
      </w:r>
      <w:r w:rsidR="001B3BA7" w:rsidRPr="00EA27B4">
        <w:rPr>
          <w:rFonts w:cs="David" w:hint="cs"/>
          <w:sz w:val="24"/>
          <w:u w:val="single"/>
          <w:rtl/>
        </w:rPr>
        <w:t>במסגרת החוק עצמו</w:t>
      </w:r>
      <w:r w:rsidR="001B3BA7" w:rsidRPr="00EA27B4">
        <w:rPr>
          <w:rFonts w:cs="David" w:hint="cs"/>
          <w:sz w:val="24"/>
          <w:rtl/>
        </w:rPr>
        <w:t xml:space="preserve">. </w:t>
      </w:r>
    </w:p>
    <w:p w:rsidR="001B3BA7" w:rsidRPr="00EA27B4" w:rsidRDefault="005A4D92" w:rsidP="00A82284">
      <w:pPr>
        <w:spacing w:after="120"/>
        <w:rPr>
          <w:rFonts w:cs="David"/>
          <w:sz w:val="24"/>
          <w:rtl/>
        </w:rPr>
      </w:pPr>
      <w:r w:rsidRPr="00EA27B4">
        <w:rPr>
          <w:rFonts w:cs="David" w:hint="cs"/>
          <w:sz w:val="24"/>
          <w:rtl/>
        </w:rPr>
        <w:t>ב</w:t>
      </w:r>
      <w:r w:rsidR="009737E3" w:rsidRPr="00EA27B4">
        <w:rPr>
          <w:rFonts w:cs="David" w:hint="cs"/>
          <w:sz w:val="24"/>
          <w:rtl/>
        </w:rPr>
        <w:t>)</w:t>
      </w:r>
      <w:r w:rsidRPr="00EA27B4">
        <w:rPr>
          <w:rFonts w:cs="David" w:hint="cs"/>
          <w:sz w:val="24"/>
          <w:rtl/>
        </w:rPr>
        <w:t xml:space="preserve"> </w:t>
      </w:r>
      <w:r w:rsidR="001B3BA7" w:rsidRPr="00EA27B4">
        <w:rPr>
          <w:rFonts w:cs="David" w:hint="cs"/>
          <w:sz w:val="24"/>
          <w:rtl/>
        </w:rPr>
        <w:t>ההתייחסות בטיוטה הממשלתית</w:t>
      </w:r>
      <w:r w:rsidR="00541F77" w:rsidRPr="00EA27B4">
        <w:rPr>
          <w:rFonts w:cs="David" w:hint="cs"/>
          <w:sz w:val="24"/>
          <w:rtl/>
        </w:rPr>
        <w:t xml:space="preserve">, הן לגבי אלמנט ההחזקה והן לגבי אלמנט הצריכה, </w:t>
      </w:r>
      <w:r w:rsidR="001B3BA7" w:rsidRPr="00EA27B4">
        <w:rPr>
          <w:rFonts w:cs="David" w:hint="cs"/>
          <w:sz w:val="24"/>
          <w:rtl/>
        </w:rPr>
        <w:t xml:space="preserve">היא </w:t>
      </w:r>
      <w:r w:rsidR="00541F77" w:rsidRPr="00EA27B4">
        <w:rPr>
          <w:rFonts w:cs="David" w:hint="cs"/>
          <w:sz w:val="24"/>
          <w:rtl/>
        </w:rPr>
        <w:t xml:space="preserve">ביחס </w:t>
      </w:r>
      <w:r w:rsidR="001B3BA7" w:rsidRPr="00EA27B4">
        <w:rPr>
          <w:rFonts w:cs="David" w:hint="cs"/>
          <w:sz w:val="24"/>
          <w:rtl/>
        </w:rPr>
        <w:t>לעבירה לפי סעיף 4 (עבירת הלבנת הון עם יסוד נפשי של מחשבה פלילית רגילה)</w:t>
      </w:r>
      <w:r w:rsidR="00A82284" w:rsidRPr="00EA27B4">
        <w:rPr>
          <w:rFonts w:cs="David" w:hint="cs"/>
          <w:sz w:val="24"/>
          <w:rtl/>
        </w:rPr>
        <w:t>.</w:t>
      </w:r>
      <w:r w:rsidR="001B3BA7" w:rsidRPr="00EA27B4">
        <w:rPr>
          <w:rFonts w:cs="David" w:hint="cs"/>
          <w:sz w:val="24"/>
          <w:rtl/>
        </w:rPr>
        <w:t xml:space="preserve"> אנו סבורים ש</w:t>
      </w:r>
      <w:r w:rsidR="001B3BA7" w:rsidRPr="00EA27B4">
        <w:rPr>
          <w:rFonts w:cs="David" w:hint="cs"/>
          <w:sz w:val="24"/>
          <w:u w:val="single"/>
          <w:rtl/>
        </w:rPr>
        <w:t xml:space="preserve">חייבת להיות התייחסות </w:t>
      </w:r>
      <w:r w:rsidR="00382272" w:rsidRPr="00EA27B4">
        <w:rPr>
          <w:rFonts w:cs="David" w:hint="cs"/>
          <w:sz w:val="24"/>
          <w:u w:val="single"/>
          <w:rtl/>
        </w:rPr>
        <w:t xml:space="preserve">מפורשת </w:t>
      </w:r>
      <w:r w:rsidR="001B3BA7" w:rsidRPr="00EA27B4">
        <w:rPr>
          <w:rFonts w:cs="David" w:hint="cs"/>
          <w:sz w:val="24"/>
          <w:u w:val="single"/>
          <w:rtl/>
        </w:rPr>
        <w:t>גם לעבירה לפי סעיף 3 (עבירת הלבנת הון עם יסוד נפשי של מטרה להסתיר)</w:t>
      </w:r>
      <w:r w:rsidR="004867A7" w:rsidRPr="00EA27B4">
        <w:rPr>
          <w:rStyle w:val="a3"/>
          <w:rFonts w:cs="David"/>
          <w:sz w:val="24"/>
          <w:u w:val="single"/>
          <w:rtl/>
        </w:rPr>
        <w:footnoteReference w:id="5"/>
      </w:r>
      <w:r w:rsidR="00594F0F" w:rsidRPr="00EA27B4">
        <w:rPr>
          <w:rFonts w:cs="David" w:hint="cs"/>
          <w:sz w:val="24"/>
          <w:u w:val="single"/>
          <w:rtl/>
        </w:rPr>
        <w:t xml:space="preserve">: לגבי אלמנט ההחזקה </w:t>
      </w:r>
      <w:r w:rsidR="00594F0F" w:rsidRPr="00EA27B4">
        <w:rPr>
          <w:rFonts w:cs="David"/>
          <w:sz w:val="24"/>
          <w:u w:val="single"/>
          <w:rtl/>
        </w:rPr>
        <w:t>–</w:t>
      </w:r>
      <w:r w:rsidR="00594F0F" w:rsidRPr="00EA27B4">
        <w:rPr>
          <w:rFonts w:cs="David" w:hint="cs"/>
          <w:sz w:val="24"/>
          <w:u w:val="single"/>
          <w:rtl/>
        </w:rPr>
        <w:t xml:space="preserve"> התייחסות מפורשת בחקיקה, ולגבי אלמנט הצריכה </w:t>
      </w:r>
      <w:r w:rsidR="00594F0F" w:rsidRPr="00EA27B4">
        <w:rPr>
          <w:rFonts w:cs="David"/>
          <w:sz w:val="24"/>
          <w:u w:val="single"/>
          <w:rtl/>
        </w:rPr>
        <w:t>–</w:t>
      </w:r>
      <w:r w:rsidR="00594F0F" w:rsidRPr="00EA27B4">
        <w:rPr>
          <w:rFonts w:cs="David" w:hint="cs"/>
          <w:sz w:val="24"/>
          <w:u w:val="single"/>
          <w:rtl/>
        </w:rPr>
        <w:t xml:space="preserve"> התייחסות מפורשת בהנחיות</w:t>
      </w:r>
      <w:r w:rsidR="001B3BA7" w:rsidRPr="00EA27B4">
        <w:rPr>
          <w:rFonts w:cs="David" w:hint="cs"/>
          <w:sz w:val="24"/>
          <w:rtl/>
        </w:rPr>
        <w:t>.</w:t>
      </w:r>
    </w:p>
    <w:p w:rsidR="005B273F" w:rsidRPr="00EA27B4" w:rsidRDefault="005A4D92" w:rsidP="004A1269">
      <w:pPr>
        <w:spacing w:after="120"/>
        <w:rPr>
          <w:rFonts w:cs="David"/>
          <w:sz w:val="24"/>
          <w:rtl/>
        </w:rPr>
      </w:pPr>
      <w:r w:rsidRPr="00EA27B4">
        <w:rPr>
          <w:rFonts w:cs="David" w:hint="cs"/>
          <w:sz w:val="24"/>
          <w:rtl/>
        </w:rPr>
        <w:t>ג</w:t>
      </w:r>
      <w:r w:rsidR="009737E3" w:rsidRPr="00EA27B4">
        <w:rPr>
          <w:rFonts w:cs="David" w:hint="cs"/>
          <w:sz w:val="24"/>
          <w:rtl/>
        </w:rPr>
        <w:t>)</w:t>
      </w:r>
      <w:r w:rsidRPr="00EA27B4">
        <w:rPr>
          <w:rFonts w:cs="David" w:hint="cs"/>
          <w:sz w:val="24"/>
          <w:rtl/>
        </w:rPr>
        <w:t xml:space="preserve"> ההנחיה </w:t>
      </w:r>
      <w:r w:rsidR="00A82284" w:rsidRPr="00EA27B4">
        <w:rPr>
          <w:rFonts w:cs="David" w:hint="cs"/>
          <w:sz w:val="24"/>
          <w:rtl/>
        </w:rPr>
        <w:t>ש</w:t>
      </w:r>
      <w:r w:rsidRPr="00EA27B4">
        <w:rPr>
          <w:rFonts w:cs="David" w:hint="cs"/>
          <w:sz w:val="24"/>
          <w:rtl/>
        </w:rPr>
        <w:t>בטיוטה הממשלתית</w:t>
      </w:r>
      <w:r w:rsidR="00A82284" w:rsidRPr="00EA27B4">
        <w:rPr>
          <w:rFonts w:cs="David" w:hint="cs"/>
          <w:sz w:val="24"/>
          <w:rtl/>
        </w:rPr>
        <w:t>,</w:t>
      </w:r>
      <w:r w:rsidRPr="00EA27B4">
        <w:rPr>
          <w:rFonts w:cs="David" w:hint="cs"/>
          <w:sz w:val="24"/>
          <w:rtl/>
        </w:rPr>
        <w:t xml:space="preserve"> ולפיה ככלל אין מקום להגיש כתב אישום בעבירת הלבנת הון</w:t>
      </w:r>
      <w:r w:rsidR="00A82284" w:rsidRPr="00EA27B4">
        <w:rPr>
          <w:rStyle w:val="a3"/>
          <w:rFonts w:cs="David"/>
          <w:sz w:val="24"/>
          <w:rtl/>
        </w:rPr>
        <w:footnoteReference w:id="6"/>
      </w:r>
      <w:r w:rsidR="00A82284" w:rsidRPr="00EA27B4">
        <w:rPr>
          <w:rFonts w:cs="David" w:hint="cs"/>
          <w:sz w:val="24"/>
          <w:rtl/>
        </w:rPr>
        <w:t xml:space="preserve"> </w:t>
      </w:r>
      <w:r w:rsidRPr="00EA27B4">
        <w:rPr>
          <w:rFonts w:cs="David" w:hint="cs"/>
          <w:sz w:val="24"/>
          <w:rtl/>
        </w:rPr>
        <w:t xml:space="preserve">בגין עצם ההחזקה ברכוש, סויגה בהרבה מאוד סייגים. אנו סבורים כי </w:t>
      </w:r>
      <w:r w:rsidRPr="00EA27B4">
        <w:rPr>
          <w:rFonts w:cs="David" w:hint="cs"/>
          <w:sz w:val="24"/>
          <w:u w:val="single"/>
          <w:rtl/>
        </w:rPr>
        <w:t xml:space="preserve">מבחינה קונספטואלית אין מקום להסתייגויות </w:t>
      </w:r>
      <w:r w:rsidR="008F6F57" w:rsidRPr="00EA27B4">
        <w:rPr>
          <w:rFonts w:cs="David" w:hint="cs"/>
          <w:sz w:val="24"/>
          <w:u w:val="single"/>
          <w:rtl/>
        </w:rPr>
        <w:t>המוצעות</w:t>
      </w:r>
      <w:r w:rsidRPr="00EA27B4">
        <w:rPr>
          <w:rFonts w:cs="David" w:hint="cs"/>
          <w:sz w:val="24"/>
          <w:u w:val="single"/>
          <w:rtl/>
        </w:rPr>
        <w:t>, שבמידה רבה מעקרות את עצם ההנחיה</w:t>
      </w:r>
      <w:r w:rsidR="003075F9" w:rsidRPr="00EA27B4">
        <w:rPr>
          <w:rFonts w:cs="David" w:hint="cs"/>
          <w:sz w:val="24"/>
          <w:u w:val="single"/>
          <w:rtl/>
        </w:rPr>
        <w:t>, וכי</w:t>
      </w:r>
      <w:r w:rsidR="008F6F57" w:rsidRPr="00EA27B4">
        <w:rPr>
          <w:rFonts w:cs="David" w:hint="cs"/>
          <w:sz w:val="24"/>
          <w:u w:val="single"/>
          <w:rtl/>
        </w:rPr>
        <w:t xml:space="preserve"> </w:t>
      </w:r>
      <w:r w:rsidR="0022068C" w:rsidRPr="00EA27B4">
        <w:rPr>
          <w:rFonts w:cs="David" w:hint="cs"/>
          <w:sz w:val="24"/>
          <w:u w:val="single"/>
          <w:rtl/>
        </w:rPr>
        <w:t>הקביעה שהחזקה בלבד אינה מגבשת עבירה לפי סעיפים 3 ו-4 לחוק צריכה להיות בחקיקה</w:t>
      </w:r>
      <w:r w:rsidR="004A1269">
        <w:rPr>
          <w:rFonts w:cs="David" w:hint="cs"/>
          <w:sz w:val="24"/>
          <w:u w:val="single"/>
          <w:rtl/>
        </w:rPr>
        <w:t>,</w:t>
      </w:r>
      <w:r w:rsidR="0022068C" w:rsidRPr="00EA27B4">
        <w:rPr>
          <w:rFonts w:cs="David" w:hint="cs"/>
          <w:sz w:val="24"/>
          <w:u w:val="single"/>
          <w:rtl/>
        </w:rPr>
        <w:t xml:space="preserve"> בצורה ברורה </w:t>
      </w:r>
      <w:r w:rsidR="004A1269">
        <w:rPr>
          <w:rFonts w:cs="David" w:hint="cs"/>
          <w:sz w:val="24"/>
          <w:u w:val="single"/>
          <w:rtl/>
        </w:rPr>
        <w:t>וללא סייגים</w:t>
      </w:r>
      <w:r w:rsidR="0022068C" w:rsidRPr="00EA27B4">
        <w:rPr>
          <w:rFonts w:cs="David" w:hint="cs"/>
          <w:sz w:val="24"/>
          <w:u w:val="single"/>
          <w:rtl/>
        </w:rPr>
        <w:t>.</w:t>
      </w:r>
    </w:p>
    <w:p w:rsidR="001B3BA7" w:rsidRPr="00EA27B4" w:rsidRDefault="001B3BA7" w:rsidP="001F2D35">
      <w:pPr>
        <w:spacing w:after="120"/>
        <w:rPr>
          <w:rFonts w:cs="David"/>
          <w:sz w:val="24"/>
          <w:rtl/>
        </w:rPr>
      </w:pPr>
    </w:p>
    <w:p w:rsidR="00E016AE" w:rsidRPr="00A7180E" w:rsidRDefault="00172B7D" w:rsidP="00011C5C">
      <w:pPr>
        <w:rPr>
          <w:rFonts w:cs="David"/>
          <w:b/>
          <w:bCs/>
          <w:sz w:val="24"/>
          <w:rtl/>
        </w:rPr>
      </w:pPr>
      <w:r w:rsidRPr="00A7180E">
        <w:rPr>
          <w:rFonts w:cs="David" w:hint="cs"/>
          <w:b/>
          <w:bCs/>
          <w:sz w:val="24"/>
          <w:rtl/>
        </w:rPr>
        <w:t>(</w:t>
      </w:r>
      <w:r w:rsidR="00460152">
        <w:rPr>
          <w:rFonts w:cs="David" w:hint="cs"/>
          <w:b/>
          <w:bCs/>
          <w:sz w:val="24"/>
          <w:rtl/>
        </w:rPr>
        <w:t>4</w:t>
      </w:r>
      <w:r w:rsidRPr="00A7180E">
        <w:rPr>
          <w:rFonts w:cs="David" w:hint="cs"/>
          <w:b/>
          <w:bCs/>
          <w:sz w:val="24"/>
          <w:rtl/>
        </w:rPr>
        <w:t xml:space="preserve">) </w:t>
      </w:r>
      <w:r w:rsidR="00460152">
        <w:rPr>
          <w:rFonts w:cs="David" w:hint="cs"/>
          <w:b/>
          <w:bCs/>
          <w:sz w:val="24"/>
          <w:rtl/>
        </w:rPr>
        <w:t xml:space="preserve">דחיית תחילת החוק וקביעת </w:t>
      </w:r>
      <w:r w:rsidR="00E016AE" w:rsidRPr="00A7180E">
        <w:rPr>
          <w:rFonts w:cs="David" w:hint="cs"/>
          <w:b/>
          <w:bCs/>
          <w:sz w:val="24"/>
          <w:rtl/>
        </w:rPr>
        <w:t xml:space="preserve">הוראת שעה של </w:t>
      </w:r>
      <w:r w:rsidR="00460152">
        <w:rPr>
          <w:rFonts w:cs="David" w:hint="cs"/>
          <w:b/>
          <w:bCs/>
          <w:sz w:val="24"/>
          <w:rtl/>
        </w:rPr>
        <w:t>"</w:t>
      </w:r>
      <w:r w:rsidR="00E016AE" w:rsidRPr="00A7180E">
        <w:rPr>
          <w:rFonts w:cs="David" w:hint="cs"/>
          <w:b/>
          <w:bCs/>
          <w:sz w:val="24"/>
          <w:rtl/>
        </w:rPr>
        <w:t>גילוי מרצון</w:t>
      </w:r>
      <w:r w:rsidR="00460152">
        <w:rPr>
          <w:rFonts w:cs="David" w:hint="cs"/>
          <w:b/>
          <w:bCs/>
          <w:sz w:val="24"/>
          <w:rtl/>
        </w:rPr>
        <w:t>"</w:t>
      </w:r>
    </w:p>
    <w:p w:rsidR="00E73A31" w:rsidRDefault="00BB4D20" w:rsidP="00E73A31">
      <w:pPr>
        <w:spacing w:after="120"/>
        <w:rPr>
          <w:rFonts w:cs="David"/>
          <w:sz w:val="24"/>
          <w:rtl/>
        </w:rPr>
      </w:pPr>
      <w:r>
        <w:rPr>
          <w:rFonts w:cs="David" w:hint="cs"/>
          <w:sz w:val="24"/>
          <w:rtl/>
        </w:rPr>
        <w:t xml:space="preserve">נוכח "שינוי כללי המשחק" בתחום אכיפת עבירות המס החמורות, עם הפיכתן ל"עבירות מקור", </w:t>
      </w:r>
      <w:r w:rsidR="00460152">
        <w:rPr>
          <w:rFonts w:cs="David" w:hint="cs"/>
          <w:sz w:val="24"/>
          <w:rtl/>
        </w:rPr>
        <w:t xml:space="preserve">יש מקום לשקול את הרעיון של </w:t>
      </w:r>
      <w:r w:rsidR="00D86D4C" w:rsidRPr="00A7180E">
        <w:rPr>
          <w:rFonts w:cs="David" w:hint="cs"/>
          <w:sz w:val="24"/>
          <w:rtl/>
        </w:rPr>
        <w:t>דחיית תחילת החוק</w:t>
      </w:r>
      <w:r w:rsidR="00460152">
        <w:rPr>
          <w:rFonts w:cs="David" w:hint="cs"/>
          <w:sz w:val="24"/>
          <w:rtl/>
        </w:rPr>
        <w:t xml:space="preserve"> לתקופה מוגדרת</w:t>
      </w:r>
      <w:r w:rsidR="003400AF">
        <w:rPr>
          <w:rFonts w:cs="David" w:hint="cs"/>
          <w:sz w:val="24"/>
          <w:rtl/>
        </w:rPr>
        <w:t xml:space="preserve"> של שנה-שנתיים</w:t>
      </w:r>
      <w:r w:rsidR="00081565">
        <w:rPr>
          <w:rFonts w:cs="David" w:hint="cs"/>
          <w:sz w:val="24"/>
          <w:rtl/>
        </w:rPr>
        <w:t>,</w:t>
      </w:r>
      <w:r w:rsidR="00D86D4C" w:rsidRPr="00A7180E">
        <w:rPr>
          <w:rFonts w:cs="David" w:hint="cs"/>
          <w:sz w:val="24"/>
          <w:rtl/>
        </w:rPr>
        <w:t xml:space="preserve"> </w:t>
      </w:r>
      <w:r w:rsidR="00460152">
        <w:rPr>
          <w:rFonts w:cs="David" w:hint="cs"/>
          <w:sz w:val="24"/>
          <w:rtl/>
        </w:rPr>
        <w:t xml:space="preserve">שבמהלכה </w:t>
      </w:r>
      <w:r w:rsidR="00D86D4C" w:rsidRPr="00A7180E">
        <w:rPr>
          <w:rFonts w:cs="David" w:hint="cs"/>
          <w:sz w:val="24"/>
          <w:rtl/>
        </w:rPr>
        <w:t>יינתן זמן ל"גילוי מרצון"</w:t>
      </w:r>
      <w:r w:rsidR="00995852" w:rsidRPr="00A7180E">
        <w:rPr>
          <w:rFonts w:cs="David" w:hint="cs"/>
          <w:sz w:val="24"/>
          <w:rtl/>
        </w:rPr>
        <w:t xml:space="preserve">, בתנאים </w:t>
      </w:r>
      <w:r w:rsidR="00A7180E" w:rsidRPr="00A7180E">
        <w:rPr>
          <w:rFonts w:cs="David" w:hint="cs"/>
          <w:sz w:val="24"/>
          <w:rtl/>
        </w:rPr>
        <w:t xml:space="preserve">מסוימים </w:t>
      </w:r>
      <w:r w:rsidR="00995852" w:rsidRPr="00A7180E">
        <w:rPr>
          <w:rFonts w:cs="David" w:hint="cs"/>
          <w:sz w:val="24"/>
          <w:rtl/>
        </w:rPr>
        <w:t>ובנסיבו</w:t>
      </w:r>
      <w:r w:rsidR="00A7180E" w:rsidRPr="00A7180E">
        <w:rPr>
          <w:rFonts w:cs="David" w:hint="cs"/>
          <w:sz w:val="24"/>
          <w:rtl/>
        </w:rPr>
        <w:t>ת מתאימות</w:t>
      </w:r>
      <w:r w:rsidR="00460152">
        <w:rPr>
          <w:rFonts w:cs="David" w:hint="cs"/>
          <w:sz w:val="24"/>
          <w:rtl/>
        </w:rPr>
        <w:t>. במסגרת ה"גילוי מרצון", עברייני מס שיבקשו "לפתוח דף חדש"</w:t>
      </w:r>
      <w:r w:rsidR="003540A4">
        <w:rPr>
          <w:rFonts w:cs="David" w:hint="cs"/>
          <w:sz w:val="24"/>
          <w:rtl/>
        </w:rPr>
        <w:t xml:space="preserve"> עם רשויות המס</w:t>
      </w:r>
      <w:r w:rsidR="00460152">
        <w:rPr>
          <w:rFonts w:cs="David" w:hint="cs"/>
          <w:sz w:val="24"/>
          <w:rtl/>
        </w:rPr>
        <w:t xml:space="preserve">, יוכלו להתוודות על עבירות המס שביצעו ולשלם את המס הנדרש, </w:t>
      </w:r>
      <w:r>
        <w:rPr>
          <w:rFonts w:cs="David" w:hint="cs"/>
          <w:sz w:val="24"/>
          <w:rtl/>
        </w:rPr>
        <w:t xml:space="preserve">בתנאים שייקבעו בנוהל, </w:t>
      </w:r>
      <w:r w:rsidR="00460152">
        <w:rPr>
          <w:rFonts w:cs="David" w:hint="cs"/>
          <w:sz w:val="24"/>
          <w:rtl/>
        </w:rPr>
        <w:t>מבלי שיופעלו כנגדם הסנקציות והכלים שבחוק איסור הלבנת הון</w:t>
      </w:r>
      <w:r w:rsidR="00A7180E" w:rsidRPr="00A7180E">
        <w:rPr>
          <w:rFonts w:cs="David" w:hint="cs"/>
          <w:sz w:val="24"/>
          <w:rtl/>
        </w:rPr>
        <w:t xml:space="preserve">. </w:t>
      </w:r>
    </w:p>
    <w:p w:rsidR="004A01E1" w:rsidRPr="00081565" w:rsidRDefault="00E73A31" w:rsidP="00E73A31">
      <w:pPr>
        <w:spacing w:after="120"/>
        <w:rPr>
          <w:rStyle w:val="default"/>
          <w:rFonts w:cs="David"/>
          <w:sz w:val="24"/>
          <w:szCs w:val="24"/>
          <w:rtl/>
        </w:rPr>
      </w:pPr>
      <w:r>
        <w:rPr>
          <w:rFonts w:cs="David" w:hint="cs"/>
          <w:sz w:val="24"/>
          <w:rtl/>
        </w:rPr>
        <w:lastRenderedPageBreak/>
        <w:t>גם כאן, מכיוון שוועדת החוקה אינה מאשרת את נהלי הגילוי מרצון של רשות המסים, הרי ש</w:t>
      </w:r>
      <w:r w:rsidR="00460152" w:rsidRPr="00460152">
        <w:rPr>
          <w:rFonts w:cs="David" w:hint="cs"/>
          <w:sz w:val="24"/>
          <w:u w:val="single"/>
          <w:rtl/>
        </w:rPr>
        <w:t xml:space="preserve">טיוטה של </w:t>
      </w:r>
      <w:r w:rsidR="00C0674C" w:rsidRPr="00460152">
        <w:rPr>
          <w:rFonts w:cs="David" w:hint="cs"/>
          <w:sz w:val="24"/>
          <w:u w:val="single"/>
          <w:rtl/>
        </w:rPr>
        <w:t xml:space="preserve">נוהל הגילוי מרצון </w:t>
      </w:r>
      <w:r>
        <w:rPr>
          <w:rFonts w:cs="David" w:hint="cs"/>
          <w:sz w:val="24"/>
          <w:u w:val="single"/>
          <w:rtl/>
        </w:rPr>
        <w:t xml:space="preserve">צריכה להיות מונחת </w:t>
      </w:r>
      <w:r w:rsidR="00A7180E" w:rsidRPr="00460152">
        <w:rPr>
          <w:rFonts w:cs="David" w:hint="cs"/>
          <w:sz w:val="24"/>
          <w:u w:val="single"/>
          <w:rtl/>
        </w:rPr>
        <w:t>על שולחן הוועדה בטרם הוועדה תאשר את הצעת החוק</w:t>
      </w:r>
      <w:r>
        <w:rPr>
          <w:rFonts w:cs="David" w:hint="cs"/>
          <w:sz w:val="24"/>
          <w:rtl/>
        </w:rPr>
        <w:t>.</w:t>
      </w:r>
    </w:p>
    <w:p w:rsidR="00A7180E" w:rsidRDefault="00E73A31" w:rsidP="001F2D35">
      <w:pPr>
        <w:spacing w:after="120"/>
        <w:rPr>
          <w:rFonts w:cs="David"/>
          <w:sz w:val="24"/>
          <w:rtl/>
        </w:rPr>
      </w:pPr>
      <w:r>
        <w:rPr>
          <w:rFonts w:cs="David" w:hint="cs"/>
          <w:sz w:val="24"/>
          <w:rtl/>
        </w:rPr>
        <w:t>=&gt; לנקודה זו אין כל התייחסות בטיוטה הממשלתית.</w:t>
      </w:r>
    </w:p>
    <w:p w:rsidR="00E73A31" w:rsidRPr="00A7180E" w:rsidRDefault="00E73A31" w:rsidP="001F2D35">
      <w:pPr>
        <w:spacing w:after="120"/>
        <w:rPr>
          <w:rFonts w:cs="David"/>
          <w:sz w:val="24"/>
          <w:rtl/>
        </w:rPr>
      </w:pPr>
    </w:p>
    <w:p w:rsidR="00C87676" w:rsidRPr="00172B7D" w:rsidRDefault="00172B7D" w:rsidP="00011C5C">
      <w:pPr>
        <w:rPr>
          <w:rFonts w:cs="David"/>
          <w:b/>
          <w:bCs/>
          <w:sz w:val="24"/>
          <w:rtl/>
        </w:rPr>
      </w:pPr>
      <w:r w:rsidRPr="00A7180E">
        <w:rPr>
          <w:rFonts w:cs="David" w:hint="cs"/>
          <w:b/>
          <w:bCs/>
          <w:sz w:val="24"/>
          <w:rtl/>
        </w:rPr>
        <w:t>(</w:t>
      </w:r>
      <w:r w:rsidR="00460152">
        <w:rPr>
          <w:rFonts w:cs="David" w:hint="cs"/>
          <w:b/>
          <w:bCs/>
          <w:sz w:val="24"/>
          <w:rtl/>
        </w:rPr>
        <w:t>5</w:t>
      </w:r>
      <w:r w:rsidRPr="00A7180E">
        <w:rPr>
          <w:rFonts w:cs="David" w:hint="cs"/>
          <w:b/>
          <w:bCs/>
          <w:sz w:val="24"/>
          <w:rtl/>
        </w:rPr>
        <w:t xml:space="preserve">) </w:t>
      </w:r>
      <w:r w:rsidR="00C87676" w:rsidRPr="00A7180E">
        <w:rPr>
          <w:rFonts w:cs="David" w:hint="cs"/>
          <w:b/>
          <w:bCs/>
          <w:sz w:val="24"/>
          <w:rtl/>
        </w:rPr>
        <w:t>דיווחים לוועדה על הפעלת ההסדר החדש</w:t>
      </w:r>
    </w:p>
    <w:p w:rsidR="00460152" w:rsidRDefault="00E73A31" w:rsidP="00E73A31">
      <w:pPr>
        <w:spacing w:after="120"/>
        <w:rPr>
          <w:rFonts w:cs="David"/>
          <w:sz w:val="24"/>
          <w:rtl/>
        </w:rPr>
      </w:pPr>
      <w:r>
        <w:rPr>
          <w:rFonts w:cs="David" w:hint="cs"/>
          <w:sz w:val="24"/>
          <w:rtl/>
        </w:rPr>
        <w:t xml:space="preserve">מוצע לקבוע </w:t>
      </w:r>
      <w:r w:rsidR="00460152">
        <w:rPr>
          <w:rFonts w:cs="David" w:hint="cs"/>
          <w:sz w:val="24"/>
          <w:rtl/>
        </w:rPr>
        <w:t>חובות דיווח, שבמסגרתם הרשות לאיסור הלבנת הון, רשות המסים ופרקליט המדינה ידווחו לוועדה, מידי שנה</w:t>
      </w:r>
      <w:r w:rsidR="00BB4D20">
        <w:rPr>
          <w:rFonts w:cs="David" w:hint="cs"/>
          <w:sz w:val="24"/>
          <w:rtl/>
        </w:rPr>
        <w:t>,</w:t>
      </w:r>
      <w:r w:rsidR="00460152">
        <w:rPr>
          <w:rFonts w:cs="David" w:hint="cs"/>
          <w:sz w:val="24"/>
          <w:rtl/>
        </w:rPr>
        <w:t xml:space="preserve"> על הפרטים הבאים:</w:t>
      </w:r>
    </w:p>
    <w:p w:rsidR="00995852" w:rsidRDefault="00081565" w:rsidP="00011C5C">
      <w:pPr>
        <w:spacing w:after="120"/>
        <w:rPr>
          <w:rFonts w:cs="David"/>
          <w:sz w:val="24"/>
        </w:rPr>
      </w:pPr>
      <w:r w:rsidRPr="00081565">
        <w:rPr>
          <w:rFonts w:cs="David" w:hint="cs"/>
          <w:sz w:val="24"/>
          <w:rtl/>
        </w:rPr>
        <w:t xml:space="preserve">לגבי </w:t>
      </w:r>
      <w:r w:rsidRPr="00081565">
        <w:rPr>
          <w:rFonts w:cs="David" w:hint="cs"/>
          <w:sz w:val="24"/>
          <w:u w:val="single"/>
          <w:rtl/>
        </w:rPr>
        <w:t>העברות המידע</w:t>
      </w:r>
      <w:r w:rsidR="00460152">
        <w:rPr>
          <w:rFonts w:cs="David" w:hint="cs"/>
          <w:sz w:val="24"/>
          <w:rtl/>
        </w:rPr>
        <w:t xml:space="preserve"> </w:t>
      </w:r>
      <w:r w:rsidR="00460152">
        <w:rPr>
          <w:rFonts w:cs="David"/>
          <w:sz w:val="24"/>
          <w:rtl/>
        </w:rPr>
        <w:t>–</w:t>
      </w:r>
      <w:r w:rsidR="00460152">
        <w:rPr>
          <w:rFonts w:cs="David" w:hint="cs"/>
          <w:sz w:val="24"/>
          <w:rtl/>
        </w:rPr>
        <w:t xml:space="preserve"> </w:t>
      </w:r>
      <w:r w:rsidR="00094BC7" w:rsidRPr="00094BC7">
        <w:rPr>
          <w:rFonts w:cs="David" w:hint="cs"/>
          <w:sz w:val="24"/>
          <w:rtl/>
        </w:rPr>
        <w:t xml:space="preserve">מספר העברות המידע שהיו </w:t>
      </w:r>
      <w:r w:rsidR="00460152">
        <w:rPr>
          <w:rFonts w:cs="David" w:hint="cs"/>
          <w:sz w:val="24"/>
          <w:rtl/>
        </w:rPr>
        <w:t xml:space="preserve">מהרשות לאיסור הלבנת הון </w:t>
      </w:r>
      <w:r w:rsidR="00094BC7" w:rsidRPr="00094BC7">
        <w:rPr>
          <w:rFonts w:cs="David" w:hint="cs"/>
          <w:sz w:val="24"/>
          <w:rtl/>
        </w:rPr>
        <w:t>לרשות המסים</w:t>
      </w:r>
      <w:r w:rsidR="00094BC7">
        <w:rPr>
          <w:rFonts w:cs="David" w:hint="cs"/>
          <w:sz w:val="24"/>
          <w:rtl/>
        </w:rPr>
        <w:t xml:space="preserve"> (</w:t>
      </w:r>
      <w:r w:rsidR="00460152">
        <w:rPr>
          <w:rFonts w:cs="David" w:hint="cs"/>
          <w:sz w:val="24"/>
          <w:rtl/>
        </w:rPr>
        <w:t>כמה מתוכם ב</w:t>
      </w:r>
      <w:r w:rsidR="00094BC7">
        <w:rPr>
          <w:rFonts w:cs="David" w:hint="cs"/>
          <w:sz w:val="24"/>
          <w:rtl/>
        </w:rPr>
        <w:t>העברה יזומה</w:t>
      </w:r>
      <w:r w:rsidR="00460152">
        <w:rPr>
          <w:rFonts w:cs="David" w:hint="cs"/>
          <w:sz w:val="24"/>
          <w:rtl/>
        </w:rPr>
        <w:t xml:space="preserve">, וכמה מתוכם </w:t>
      </w:r>
      <w:r w:rsidR="00094BC7">
        <w:rPr>
          <w:rFonts w:cs="David" w:hint="cs"/>
          <w:sz w:val="24"/>
          <w:rtl/>
        </w:rPr>
        <w:t>בעקבות בקשה של רשות המסים)</w:t>
      </w:r>
      <w:r w:rsidR="00995852">
        <w:rPr>
          <w:rFonts w:cs="David" w:hint="cs"/>
          <w:sz w:val="24"/>
          <w:rtl/>
        </w:rPr>
        <w:t>;</w:t>
      </w:r>
      <w:r w:rsidR="00460152">
        <w:rPr>
          <w:rFonts w:cs="David" w:hint="cs"/>
          <w:sz w:val="24"/>
          <w:rtl/>
        </w:rPr>
        <w:t xml:space="preserve"> </w:t>
      </w:r>
      <w:r w:rsidR="00094BC7">
        <w:rPr>
          <w:rFonts w:cs="David" w:hint="cs"/>
          <w:sz w:val="24"/>
          <w:rtl/>
        </w:rPr>
        <w:t xml:space="preserve">מספר התיקים שבהם נעשה שימוש </w:t>
      </w:r>
      <w:r w:rsidR="006A7CBF">
        <w:rPr>
          <w:rFonts w:cs="David" w:hint="cs"/>
          <w:sz w:val="24"/>
          <w:rtl/>
        </w:rPr>
        <w:t>בפועל ב</w:t>
      </w:r>
      <w:r w:rsidR="00094BC7">
        <w:rPr>
          <w:rFonts w:cs="David" w:hint="cs"/>
          <w:sz w:val="24"/>
          <w:rtl/>
        </w:rPr>
        <w:t>מידע</w:t>
      </w:r>
      <w:r w:rsidR="006A7CBF">
        <w:rPr>
          <w:rFonts w:cs="David" w:hint="cs"/>
          <w:sz w:val="24"/>
          <w:rtl/>
        </w:rPr>
        <w:t xml:space="preserve"> שהועבר</w:t>
      </w:r>
      <w:r w:rsidR="00995852">
        <w:rPr>
          <w:rFonts w:cs="David" w:hint="cs"/>
          <w:sz w:val="24"/>
          <w:rtl/>
        </w:rPr>
        <w:t>;</w:t>
      </w:r>
      <w:r w:rsidR="00460152">
        <w:rPr>
          <w:rFonts w:cs="David" w:hint="cs"/>
          <w:sz w:val="24"/>
          <w:rtl/>
        </w:rPr>
        <w:t xml:space="preserve"> </w:t>
      </w:r>
      <w:r w:rsidR="00094BC7">
        <w:rPr>
          <w:rFonts w:cs="David" w:hint="cs"/>
          <w:sz w:val="24"/>
          <w:rtl/>
        </w:rPr>
        <w:t xml:space="preserve">באותם התיקים שבהם נעשה שימוש </w:t>
      </w:r>
      <w:r w:rsidR="006A7CBF">
        <w:rPr>
          <w:rFonts w:cs="David" w:hint="cs"/>
          <w:sz w:val="24"/>
          <w:rtl/>
        </w:rPr>
        <w:t xml:space="preserve">בפועל </w:t>
      </w:r>
      <w:r w:rsidR="00094BC7">
        <w:rPr>
          <w:rFonts w:cs="David" w:hint="cs"/>
          <w:sz w:val="24"/>
          <w:rtl/>
        </w:rPr>
        <w:t>במידע</w:t>
      </w:r>
      <w:r w:rsidR="006A7CBF">
        <w:rPr>
          <w:rFonts w:cs="David" w:hint="cs"/>
          <w:sz w:val="24"/>
          <w:rtl/>
        </w:rPr>
        <w:t xml:space="preserve"> שהועבר</w:t>
      </w:r>
      <w:r w:rsidR="00085B05">
        <w:rPr>
          <w:rFonts w:cs="David" w:hint="cs"/>
          <w:sz w:val="24"/>
          <w:rtl/>
        </w:rPr>
        <w:t>:</w:t>
      </w:r>
      <w:r w:rsidR="00460152">
        <w:rPr>
          <w:rFonts w:cs="David" w:hint="cs"/>
          <w:sz w:val="24"/>
          <w:rtl/>
        </w:rPr>
        <w:t xml:space="preserve"> </w:t>
      </w:r>
      <w:r w:rsidR="00995852">
        <w:rPr>
          <w:rFonts w:cs="David" w:hint="cs"/>
          <w:sz w:val="24"/>
          <w:rtl/>
        </w:rPr>
        <w:t>בכמה תיקים הוגש כתב אישום ובכמה לא;</w:t>
      </w:r>
      <w:r w:rsidR="00460152">
        <w:rPr>
          <w:rFonts w:cs="David" w:hint="cs"/>
          <w:sz w:val="24"/>
          <w:rtl/>
        </w:rPr>
        <w:t xml:space="preserve"> </w:t>
      </w:r>
      <w:r w:rsidR="00995852">
        <w:rPr>
          <w:rFonts w:cs="David" w:hint="cs"/>
          <w:sz w:val="24"/>
          <w:rtl/>
        </w:rPr>
        <w:t xml:space="preserve">בתיקים שהוגש כתב אישום </w:t>
      </w:r>
      <w:r w:rsidR="00995852">
        <w:rPr>
          <w:rFonts w:cs="David"/>
          <w:sz w:val="24"/>
          <w:rtl/>
        </w:rPr>
        <w:t>–</w:t>
      </w:r>
      <w:r w:rsidR="00995852">
        <w:rPr>
          <w:rFonts w:cs="David" w:hint="cs"/>
          <w:sz w:val="24"/>
          <w:rtl/>
        </w:rPr>
        <w:t xml:space="preserve"> בכמה מהם היתה הרשעה ובכמה לא;</w:t>
      </w:r>
      <w:r w:rsidR="00460152">
        <w:rPr>
          <w:rFonts w:cs="David" w:hint="cs"/>
          <w:sz w:val="24"/>
          <w:rtl/>
        </w:rPr>
        <w:t xml:space="preserve"> </w:t>
      </w:r>
      <w:r w:rsidR="00995852">
        <w:rPr>
          <w:rFonts w:cs="David" w:hint="cs"/>
          <w:sz w:val="24"/>
          <w:rtl/>
        </w:rPr>
        <w:t>מה מידת התרומה של המידע שהועבר לחקירה</w:t>
      </w:r>
      <w:r w:rsidR="006A7CBF">
        <w:rPr>
          <w:rFonts w:cs="David" w:hint="cs"/>
          <w:sz w:val="24"/>
          <w:rtl/>
        </w:rPr>
        <w:t xml:space="preserve"> (גבוהה, בינונית, נמוכה, לא קיימת)</w:t>
      </w:r>
      <w:r w:rsidR="00995852">
        <w:rPr>
          <w:rFonts w:cs="David" w:hint="cs"/>
          <w:sz w:val="24"/>
          <w:rtl/>
        </w:rPr>
        <w:t>;</w:t>
      </w:r>
    </w:p>
    <w:p w:rsidR="00A83E10" w:rsidRPr="00995852" w:rsidRDefault="00081565" w:rsidP="004350EF">
      <w:pPr>
        <w:spacing w:after="120"/>
        <w:rPr>
          <w:rFonts w:cs="David"/>
          <w:sz w:val="24"/>
          <w:rtl/>
        </w:rPr>
      </w:pPr>
      <w:r>
        <w:rPr>
          <w:rFonts w:cs="David" w:hint="cs"/>
          <w:sz w:val="24"/>
          <w:rtl/>
        </w:rPr>
        <w:t xml:space="preserve">לגבי </w:t>
      </w:r>
      <w:r w:rsidR="001012D8">
        <w:rPr>
          <w:rFonts w:cs="David" w:hint="cs"/>
          <w:sz w:val="24"/>
          <w:u w:val="single"/>
          <w:rtl/>
        </w:rPr>
        <w:t>העבירות הפליליות</w:t>
      </w:r>
      <w:r w:rsidR="00460152">
        <w:rPr>
          <w:rFonts w:cs="David" w:hint="cs"/>
          <w:sz w:val="24"/>
          <w:rtl/>
        </w:rPr>
        <w:t xml:space="preserve"> </w:t>
      </w:r>
      <w:r w:rsidR="00460152">
        <w:rPr>
          <w:rFonts w:cs="David"/>
          <w:sz w:val="24"/>
          <w:rtl/>
        </w:rPr>
        <w:t>–</w:t>
      </w:r>
      <w:r w:rsidR="00460152">
        <w:rPr>
          <w:rFonts w:cs="David" w:hint="cs"/>
          <w:sz w:val="24"/>
          <w:rtl/>
        </w:rPr>
        <w:t xml:space="preserve"> </w:t>
      </w:r>
      <w:r w:rsidR="00B0372F">
        <w:rPr>
          <w:rFonts w:cs="David" w:hint="cs"/>
          <w:sz w:val="24"/>
          <w:rtl/>
        </w:rPr>
        <w:t xml:space="preserve">כמה תיקים </w:t>
      </w:r>
      <w:r w:rsidR="00DE2EAF">
        <w:rPr>
          <w:rFonts w:cs="David" w:hint="cs"/>
          <w:sz w:val="24"/>
          <w:rtl/>
        </w:rPr>
        <w:t xml:space="preserve">פליליים נפתחו בגין עבירות </w:t>
      </w:r>
      <w:r w:rsidR="00460152">
        <w:rPr>
          <w:rFonts w:cs="David" w:hint="cs"/>
          <w:sz w:val="24"/>
          <w:rtl/>
        </w:rPr>
        <w:t xml:space="preserve">שנעברו </w:t>
      </w:r>
      <w:r w:rsidR="00DE2EAF">
        <w:rPr>
          <w:rFonts w:cs="David" w:hint="cs"/>
          <w:sz w:val="24"/>
          <w:rtl/>
        </w:rPr>
        <w:t xml:space="preserve">לפי סעיף 3 או 4 </w:t>
      </w:r>
      <w:r w:rsidR="00222CBF">
        <w:rPr>
          <w:rFonts w:cs="David" w:hint="cs"/>
          <w:sz w:val="24"/>
          <w:rtl/>
        </w:rPr>
        <w:t xml:space="preserve">לחוק </w:t>
      </w:r>
      <w:r w:rsidR="004350EF">
        <w:rPr>
          <w:rFonts w:cs="David" w:hint="cs"/>
          <w:sz w:val="24"/>
          <w:rtl/>
        </w:rPr>
        <w:t>שמקורן ב</w:t>
      </w:r>
      <w:r w:rsidR="00DE2EAF">
        <w:rPr>
          <w:rFonts w:cs="David" w:hint="cs"/>
          <w:sz w:val="24"/>
          <w:rtl/>
        </w:rPr>
        <w:t>עבירות המס המוצעות</w:t>
      </w:r>
      <w:r w:rsidR="00460152">
        <w:rPr>
          <w:rFonts w:cs="David" w:hint="cs"/>
          <w:sz w:val="24"/>
          <w:rtl/>
        </w:rPr>
        <w:t xml:space="preserve">; </w:t>
      </w:r>
      <w:r w:rsidR="00DE2EAF">
        <w:rPr>
          <w:rFonts w:cs="David" w:hint="cs"/>
          <w:sz w:val="24"/>
          <w:rtl/>
        </w:rPr>
        <w:t>באותם התיקים שנפתחו:</w:t>
      </w:r>
      <w:r w:rsidR="00460152">
        <w:rPr>
          <w:rFonts w:cs="David" w:hint="cs"/>
          <w:sz w:val="24"/>
          <w:rtl/>
        </w:rPr>
        <w:t xml:space="preserve"> </w:t>
      </w:r>
      <w:r w:rsidR="00DE2EAF">
        <w:rPr>
          <w:rFonts w:cs="David" w:hint="cs"/>
          <w:sz w:val="24"/>
          <w:rtl/>
        </w:rPr>
        <w:t>בכמה מהם הוגש כתב אישום ובכמה לא;</w:t>
      </w:r>
      <w:r w:rsidR="00460152">
        <w:rPr>
          <w:rFonts w:cs="David" w:hint="cs"/>
          <w:sz w:val="24"/>
          <w:rtl/>
        </w:rPr>
        <w:t xml:space="preserve"> </w:t>
      </w:r>
      <w:r w:rsidR="00DE2EAF">
        <w:rPr>
          <w:rFonts w:cs="David" w:hint="cs"/>
          <w:sz w:val="24"/>
          <w:rtl/>
        </w:rPr>
        <w:t xml:space="preserve">בתיקים שהוגש כתב אישום </w:t>
      </w:r>
      <w:r w:rsidR="00DE2EAF">
        <w:rPr>
          <w:rFonts w:cs="David"/>
          <w:sz w:val="24"/>
          <w:rtl/>
        </w:rPr>
        <w:t>–</w:t>
      </w:r>
      <w:r w:rsidR="00DE2EAF">
        <w:rPr>
          <w:rFonts w:cs="David" w:hint="cs"/>
          <w:sz w:val="24"/>
          <w:rtl/>
        </w:rPr>
        <w:t xml:space="preserve"> בכמה מהם היתה הרשעה ובכמה לא;</w:t>
      </w:r>
      <w:r w:rsidR="00460152">
        <w:rPr>
          <w:rFonts w:cs="David" w:hint="cs"/>
          <w:sz w:val="24"/>
          <w:rtl/>
        </w:rPr>
        <w:t xml:space="preserve"> </w:t>
      </w:r>
      <w:r w:rsidR="00A83E10" w:rsidRPr="00995852">
        <w:rPr>
          <w:rFonts w:cs="David" w:hint="cs"/>
          <w:sz w:val="24"/>
          <w:rtl/>
        </w:rPr>
        <w:t xml:space="preserve">מה היקף הרכוש שחולט </w:t>
      </w:r>
      <w:r w:rsidR="00A83E10">
        <w:rPr>
          <w:rFonts w:cs="David" w:hint="cs"/>
          <w:sz w:val="24"/>
          <w:rtl/>
        </w:rPr>
        <w:t>באופן זמני באותם הליכים;</w:t>
      </w:r>
      <w:r w:rsidR="00460152">
        <w:rPr>
          <w:rFonts w:cs="David" w:hint="cs"/>
          <w:sz w:val="24"/>
          <w:rtl/>
        </w:rPr>
        <w:t xml:space="preserve"> </w:t>
      </w:r>
      <w:r w:rsidR="00A83E10" w:rsidRPr="00995852">
        <w:rPr>
          <w:rFonts w:cs="David" w:hint="cs"/>
          <w:sz w:val="24"/>
          <w:rtl/>
        </w:rPr>
        <w:t xml:space="preserve">מה היקף הרכוש שחולט באופן </w:t>
      </w:r>
      <w:r w:rsidR="00A83E10">
        <w:rPr>
          <w:rFonts w:cs="David" w:hint="cs"/>
          <w:sz w:val="24"/>
          <w:rtl/>
        </w:rPr>
        <w:t>סופי באותם הליכים.</w:t>
      </w:r>
      <w:r w:rsidR="00A83E10" w:rsidRPr="00995852">
        <w:rPr>
          <w:rFonts w:cs="David" w:hint="cs"/>
          <w:sz w:val="24"/>
          <w:rtl/>
        </w:rPr>
        <w:t xml:space="preserve"> </w:t>
      </w:r>
    </w:p>
    <w:p w:rsidR="00E73A31" w:rsidRDefault="00E73A31" w:rsidP="00E73A31">
      <w:pPr>
        <w:rPr>
          <w:rFonts w:cs="David"/>
          <w:sz w:val="24"/>
          <w:rtl/>
        </w:rPr>
      </w:pPr>
      <w:r>
        <w:rPr>
          <w:rFonts w:cs="David" w:hint="cs"/>
          <w:sz w:val="24"/>
          <w:rtl/>
        </w:rPr>
        <w:t>=&gt; לנקודה זו אין כל התייחסות בטיוטה הממשלתית.</w:t>
      </w:r>
    </w:p>
    <w:p w:rsidR="00A30353" w:rsidRDefault="00A30353" w:rsidP="00011C5C">
      <w:pPr>
        <w:rPr>
          <w:rFonts w:cs="David"/>
          <w:sz w:val="24"/>
          <w:rtl/>
        </w:rPr>
      </w:pPr>
    </w:p>
    <w:p w:rsidR="00B55ABB" w:rsidRDefault="00B55ABB" w:rsidP="00011C5C">
      <w:pPr>
        <w:rPr>
          <w:rFonts w:cs="David"/>
          <w:sz w:val="24"/>
          <w:rtl/>
        </w:rPr>
      </w:pPr>
    </w:p>
    <w:p w:rsidR="00B55ABB" w:rsidRDefault="00B55ABB" w:rsidP="00011C5C">
      <w:pPr>
        <w:rPr>
          <w:rFonts w:cs="David"/>
          <w:sz w:val="24"/>
          <w:rtl/>
        </w:rPr>
      </w:pPr>
    </w:p>
    <w:sectPr w:rsidR="00B55ABB" w:rsidSect="009F5DEE">
      <w:footerReference w:type="default" r:id="rId7"/>
      <w:pgSz w:w="11906" w:h="16838"/>
      <w:pgMar w:top="1134" w:right="1418" w:bottom="1134" w:left="141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C22" w:rsidRDefault="00C97C22" w:rsidP="00C97C22">
      <w:pPr>
        <w:spacing w:line="240" w:lineRule="auto"/>
      </w:pPr>
      <w:r>
        <w:separator/>
      </w:r>
    </w:p>
  </w:endnote>
  <w:endnote w:type="continuationSeparator" w:id="0">
    <w:p w:rsidR="00C97C22" w:rsidRDefault="00C97C22" w:rsidP="00C97C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45203906"/>
      <w:docPartObj>
        <w:docPartGallery w:val="Page Numbers (Bottom of Page)"/>
        <w:docPartUnique/>
      </w:docPartObj>
    </w:sdtPr>
    <w:sdtEndPr>
      <w:rPr>
        <w:cs/>
      </w:rPr>
    </w:sdtEndPr>
    <w:sdtContent>
      <w:p w:rsidR="00DB5411" w:rsidRDefault="00DB5411">
        <w:pPr>
          <w:pStyle w:val="aa"/>
          <w:jc w:val="center"/>
          <w:rPr>
            <w:rtl/>
            <w:cs/>
          </w:rPr>
        </w:pPr>
        <w:r w:rsidRPr="00DB5411">
          <w:rPr>
            <w:sz w:val="16"/>
            <w:szCs w:val="16"/>
          </w:rPr>
          <w:fldChar w:fldCharType="begin"/>
        </w:r>
        <w:r w:rsidRPr="00DB5411">
          <w:rPr>
            <w:sz w:val="16"/>
            <w:szCs w:val="16"/>
            <w:rtl/>
            <w:cs/>
          </w:rPr>
          <w:instrText>PAGE   \* MERGEFORMAT</w:instrText>
        </w:r>
        <w:r w:rsidRPr="00DB5411">
          <w:rPr>
            <w:sz w:val="16"/>
            <w:szCs w:val="16"/>
          </w:rPr>
          <w:fldChar w:fldCharType="separate"/>
        </w:r>
        <w:r w:rsidR="00FD5BB0" w:rsidRPr="00FD5BB0">
          <w:rPr>
            <w:noProof/>
            <w:sz w:val="16"/>
            <w:szCs w:val="16"/>
            <w:rtl/>
            <w:lang w:val="he-IL"/>
          </w:rPr>
          <w:t>1</w:t>
        </w:r>
        <w:r w:rsidRPr="00DB5411">
          <w:rPr>
            <w:sz w:val="16"/>
            <w:szCs w:val="16"/>
          </w:rPr>
          <w:fldChar w:fldCharType="end"/>
        </w:r>
      </w:p>
    </w:sdtContent>
  </w:sdt>
  <w:p w:rsidR="00DB5411" w:rsidRDefault="00DB5411">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C22" w:rsidRDefault="00C97C22" w:rsidP="00C97C22">
      <w:pPr>
        <w:spacing w:line="240" w:lineRule="auto"/>
      </w:pPr>
      <w:r>
        <w:separator/>
      </w:r>
    </w:p>
  </w:footnote>
  <w:footnote w:type="continuationSeparator" w:id="0">
    <w:p w:rsidR="00C97C22" w:rsidRDefault="00C97C22" w:rsidP="00C97C22">
      <w:pPr>
        <w:spacing w:line="240" w:lineRule="auto"/>
      </w:pPr>
      <w:r>
        <w:continuationSeparator/>
      </w:r>
    </w:p>
  </w:footnote>
  <w:footnote w:id="1">
    <w:p w:rsidR="003403C5" w:rsidRDefault="003403C5" w:rsidP="00E974FE">
      <w:pPr>
        <w:spacing w:line="240" w:lineRule="auto"/>
        <w:rPr>
          <w:rtl/>
        </w:rPr>
      </w:pPr>
      <w:r w:rsidRPr="004F7E19">
        <w:rPr>
          <w:rStyle w:val="a3"/>
          <w:rFonts w:cs="David"/>
          <w:sz w:val="20"/>
          <w:szCs w:val="22"/>
        </w:rPr>
        <w:footnoteRef/>
      </w:r>
      <w:r w:rsidRPr="004F7E19">
        <w:rPr>
          <w:rFonts w:cs="David"/>
          <w:sz w:val="20"/>
          <w:szCs w:val="22"/>
          <w:rtl/>
        </w:rPr>
        <w:t xml:space="preserve"> </w:t>
      </w:r>
      <w:r w:rsidRPr="004F7E19">
        <w:rPr>
          <w:rFonts w:cs="David" w:hint="cs"/>
          <w:sz w:val="20"/>
          <w:szCs w:val="20"/>
          <w:rtl/>
        </w:rPr>
        <w:t>לגבי נסיבה מחמירה זו</w:t>
      </w:r>
      <w:r w:rsidR="002A2D9B" w:rsidRPr="004F7E19">
        <w:rPr>
          <w:rFonts w:cs="David" w:hint="cs"/>
          <w:sz w:val="20"/>
          <w:szCs w:val="20"/>
          <w:rtl/>
        </w:rPr>
        <w:t>,</w:t>
      </w:r>
      <w:r w:rsidRPr="004F7E19">
        <w:rPr>
          <w:rFonts w:cs="David" w:hint="cs"/>
          <w:sz w:val="20"/>
          <w:szCs w:val="20"/>
          <w:rtl/>
        </w:rPr>
        <w:t xml:space="preserve"> </w:t>
      </w:r>
      <w:r w:rsidR="002A2D9B" w:rsidRPr="004F7E19">
        <w:rPr>
          <w:rFonts w:cs="David" w:hint="cs"/>
          <w:sz w:val="20"/>
          <w:szCs w:val="20"/>
          <w:rtl/>
        </w:rPr>
        <w:t xml:space="preserve">טיוטת </w:t>
      </w:r>
      <w:r w:rsidRPr="004F7E19">
        <w:rPr>
          <w:rFonts w:cs="David" w:hint="cs"/>
          <w:sz w:val="20"/>
          <w:szCs w:val="20"/>
          <w:rtl/>
        </w:rPr>
        <w:t>ההנחיות</w:t>
      </w:r>
      <w:r w:rsidR="002A2D9B" w:rsidRPr="004F7E19">
        <w:rPr>
          <w:rFonts w:cs="David" w:hint="cs"/>
          <w:sz w:val="20"/>
          <w:szCs w:val="20"/>
          <w:rtl/>
        </w:rPr>
        <w:t xml:space="preserve"> שהונחו על שולחן הוועדה מטעם הייעוץ המשפטי לוועדה</w:t>
      </w:r>
      <w:r w:rsidRPr="004F7E19">
        <w:rPr>
          <w:rFonts w:cs="David" w:hint="cs"/>
          <w:sz w:val="20"/>
          <w:szCs w:val="20"/>
          <w:rtl/>
        </w:rPr>
        <w:t xml:space="preserve">, </w:t>
      </w:r>
      <w:r w:rsidR="002A2D9B" w:rsidRPr="004F7E19">
        <w:rPr>
          <w:rFonts w:cs="David" w:hint="cs"/>
          <w:sz w:val="20"/>
          <w:szCs w:val="20"/>
          <w:rtl/>
        </w:rPr>
        <w:t xml:space="preserve">מבהירה </w:t>
      </w:r>
      <w:r w:rsidRPr="004F7E19">
        <w:rPr>
          <w:rFonts w:cs="David" w:hint="cs"/>
          <w:sz w:val="20"/>
          <w:szCs w:val="20"/>
          <w:rtl/>
        </w:rPr>
        <w:t xml:space="preserve">כי </w:t>
      </w:r>
      <w:r w:rsidR="004F7E19" w:rsidRPr="004F7E19">
        <w:rPr>
          <w:rFonts w:cs="David" w:hint="cs"/>
          <w:sz w:val="20"/>
          <w:szCs w:val="20"/>
          <w:rtl/>
        </w:rPr>
        <w:t xml:space="preserve">תנאי זה מכוון בעיקרו למצבים בהם הצד השלישי הוא בעל מקצוע  או נותן שירותי פיננסיים שמבצע את עבירת הלבנת ההון עבור עבריין המס, כדוגמת עורך דין, רואה חשבון, נותן שירותי מטבע וכיוצא באלה. יובהר כי בתנאי זה יכללו מצבים בהם </w:t>
      </w:r>
      <w:r w:rsidR="004F7E19" w:rsidRPr="004F7E19">
        <w:rPr>
          <w:rFonts w:cs="David" w:hint="cs"/>
          <w:b/>
          <w:bCs/>
          <w:sz w:val="20"/>
          <w:szCs w:val="20"/>
          <w:rtl/>
        </w:rPr>
        <w:t>עבירת הלבנת ההון</w:t>
      </w:r>
      <w:r w:rsidR="004F7E19" w:rsidRPr="004F7E19">
        <w:rPr>
          <w:rFonts w:cs="David" w:hint="cs"/>
          <w:sz w:val="20"/>
          <w:szCs w:val="20"/>
          <w:rtl/>
        </w:rPr>
        <w:t xml:space="preserve"> בוצעה בידי צד ג', ולא כאשר אדם נוסף זולת העבריין היה שותף לעבירת המס, מבלי שביצע עבירות לפי חוק איסור הלבנת הון. כך למשל, תנאי זה אינו מתקיים כאשר בן זוגו של מעלים המס מסייע לו בהעלמת המס.</w:t>
      </w:r>
    </w:p>
  </w:footnote>
  <w:footnote w:id="2">
    <w:p w:rsidR="00E974FE" w:rsidRDefault="00E974FE" w:rsidP="00E974FE">
      <w:pPr>
        <w:pStyle w:val="a4"/>
      </w:pPr>
      <w:r>
        <w:rPr>
          <w:rStyle w:val="a3"/>
        </w:rPr>
        <w:footnoteRef/>
      </w:r>
      <w:r>
        <w:rPr>
          <w:rtl/>
        </w:rPr>
        <w:t xml:space="preserve"> </w:t>
      </w:r>
      <w:r w:rsidRPr="004F7E19">
        <w:rPr>
          <w:rFonts w:hint="cs"/>
          <w:sz w:val="20"/>
          <w:rtl/>
        </w:rPr>
        <w:t xml:space="preserve">טיוטת ההנחיות שהונחו על שולחן הוועדה מטעם הייעוץ המשפטי לוועדה, מבהירה </w:t>
      </w:r>
      <w:r>
        <w:rPr>
          <w:rFonts w:hint="cs"/>
          <w:sz w:val="20"/>
          <w:rtl/>
        </w:rPr>
        <w:t>את הדברים הבאים: "</w:t>
      </w:r>
      <w:r w:rsidRPr="00E20D9F">
        <w:rPr>
          <w:rFonts w:hint="cs"/>
          <w:sz w:val="20"/>
          <w:rtl/>
        </w:rPr>
        <w:t xml:space="preserve">מטבע הדברים, עבריין מס, בדומה לכל עבריין, מבקש להסוות את העלמת המס שביצע כדי שלא ניתן יהיה לאתר את פעילותו העבריינית ולהעמידו לדין. כדי להסוות את עבירת המס באופן שההסוואה לא תהיה גלויה על פניה נדרשת, לרוב, פעילות פיננסית שיש בה אלמנטים מינימאליים של תחכום ושיטתיות. אין לראות בקיומם של אלמנטים כאלה, כשלעצמם, כ"תחכום ושיטתיות" שמצדיקים לראות את עבירת המס כעבירת מקור לצורך גיבושה, אלא כחלק מהכוונה להסתיר או להסוות את עצם ביצוע עבירת המס. לפיכך, מובהר כי התנאי של "תחכום ושיטתיות" דורש "דבר מה נוסף", שחורג מפעולות הסוואה "רגילות" של עבריין מס. כך, למשל, הפקדת תקבולי עבירה בגופים פיננסיים שונים, או שימוש בשירותים של בעלי מקצוע המהווים שומרי סף (עורכי דין, רואי חשבון, מנהלי חשבונות, יועצי מס) ללא ידיעתם, אין בהם, </w:t>
      </w:r>
      <w:r w:rsidRPr="00E20D9F">
        <w:rPr>
          <w:rFonts w:hint="cs"/>
          <w:sz w:val="20"/>
          <w:u w:val="single"/>
          <w:rtl/>
        </w:rPr>
        <w:t>כשלעצמם</w:t>
      </w:r>
      <w:r w:rsidRPr="00E20D9F">
        <w:rPr>
          <w:rFonts w:hint="cs"/>
          <w:sz w:val="20"/>
          <w:rtl/>
        </w:rPr>
        <w:t>, כדי ללמד על תחכום ושיטתיות הנדרשים לצורך גיבוש עבירת מקור, לפי התנאים שנקבעו בחוק, שכן מדובר בפעולות שהם חלק אינהרנטי כמעט מכל עבירה של העלמת מס, וכאן התחכום דורש "דבר מה נוסף". לעומת זאת, פעולות כדוגמת הפעולות הבאות, יכול שייחשבו, בהתאם לנסיבות המקרה, ככאלה שמקיימות את דרישת התחכום ושיטתיות: שימוש במבנים משפטיים מורכבים (נאמנויות), פתיחה וסגירה של תאגידים או שימוש במספר רב של תאגידים, העברת רכוש בין מדינות, תנועות סיבוביות, שימוש באנשי קש, שימוש בזירות וירטואליות, בניית תוכניות מחשב מתוחכמות, ופעולות נוספות כיוצא באלה</w:t>
      </w:r>
      <w:r>
        <w:rPr>
          <w:rFonts w:hint="cs"/>
          <w:sz w:val="20"/>
          <w:rtl/>
        </w:rPr>
        <w:t>"</w:t>
      </w:r>
      <w:r w:rsidRPr="00E20D9F">
        <w:rPr>
          <w:rFonts w:hint="cs"/>
          <w:sz w:val="20"/>
          <w:rtl/>
        </w:rPr>
        <w:t>.</w:t>
      </w:r>
    </w:p>
  </w:footnote>
  <w:footnote w:id="3">
    <w:p w:rsidR="00683972" w:rsidRDefault="00683972">
      <w:pPr>
        <w:pStyle w:val="a4"/>
        <w:rPr>
          <w:rtl/>
        </w:rPr>
      </w:pPr>
      <w:r>
        <w:rPr>
          <w:rStyle w:val="a3"/>
        </w:rPr>
        <w:footnoteRef/>
      </w:r>
      <w:r>
        <w:rPr>
          <w:rtl/>
        </w:rPr>
        <w:t xml:space="preserve"> </w:t>
      </w:r>
      <w:r w:rsidRPr="00683972">
        <w:rPr>
          <w:rFonts w:hint="cs"/>
          <w:sz w:val="20"/>
          <w:rtl/>
        </w:rPr>
        <w:t>כך, למשל, נקבע כי פעולה של הפקדת שיקים שחתימות ההיסב עליהן זויפו, יכולה לגלם הן את העבירה של קבלת דבר במרמה והן את עבירת ההלבנה בו זמנית.</w:t>
      </w:r>
    </w:p>
  </w:footnote>
  <w:footnote w:id="4">
    <w:p w:rsidR="007E1EC5" w:rsidRDefault="007E1EC5" w:rsidP="00382995">
      <w:pPr>
        <w:pStyle w:val="a4"/>
      </w:pPr>
      <w:r>
        <w:rPr>
          <w:rStyle w:val="a3"/>
        </w:rPr>
        <w:footnoteRef/>
      </w:r>
      <w:r>
        <w:rPr>
          <w:rtl/>
        </w:rPr>
        <w:t xml:space="preserve"> </w:t>
      </w:r>
      <w:r w:rsidRPr="00113F82">
        <w:rPr>
          <w:rFonts w:hint="cs"/>
          <w:color w:val="auto"/>
          <w:sz w:val="20"/>
          <w:rtl/>
        </w:rPr>
        <w:t xml:space="preserve">ודוק, הכוונה היא רק </w:t>
      </w:r>
      <w:r w:rsidRPr="001A5870">
        <w:rPr>
          <w:rFonts w:hint="cs"/>
          <w:color w:val="auto"/>
          <w:sz w:val="20"/>
          <w:u w:val="single"/>
          <w:rtl/>
        </w:rPr>
        <w:t>לעבריין שביצע את עבירת המקור</w:t>
      </w:r>
      <w:r w:rsidRPr="00113F82">
        <w:rPr>
          <w:rFonts w:hint="cs"/>
          <w:color w:val="auto"/>
          <w:sz w:val="20"/>
          <w:rtl/>
        </w:rPr>
        <w:t xml:space="preserve">, כי החזקת הכסף בידי אדם אחר </w:t>
      </w:r>
      <w:r>
        <w:rPr>
          <w:rFonts w:hint="cs"/>
          <w:color w:val="auto"/>
          <w:sz w:val="20"/>
          <w:rtl/>
        </w:rPr>
        <w:t xml:space="preserve">שאינו העבריין שעבר את עבירת המקור </w:t>
      </w:r>
      <w:r w:rsidRPr="00113F82">
        <w:rPr>
          <w:rFonts w:hint="cs"/>
          <w:color w:val="auto"/>
          <w:sz w:val="20"/>
          <w:rtl/>
        </w:rPr>
        <w:t xml:space="preserve">יכולה להיות, כשלעצמה, </w:t>
      </w:r>
      <w:r>
        <w:rPr>
          <w:rFonts w:hint="cs"/>
          <w:color w:val="auto"/>
          <w:sz w:val="20"/>
          <w:rtl/>
        </w:rPr>
        <w:t>חלק מ</w:t>
      </w:r>
      <w:r w:rsidRPr="00113F82">
        <w:rPr>
          <w:rFonts w:hint="cs"/>
          <w:color w:val="auto"/>
          <w:sz w:val="20"/>
          <w:rtl/>
        </w:rPr>
        <w:t>פעולה של הסתרה.</w:t>
      </w:r>
    </w:p>
  </w:footnote>
  <w:footnote w:id="5">
    <w:p w:rsidR="004867A7" w:rsidRDefault="004867A7" w:rsidP="003543EC">
      <w:pPr>
        <w:pStyle w:val="a4"/>
        <w:rPr>
          <w:rtl/>
        </w:rPr>
      </w:pPr>
      <w:r>
        <w:rPr>
          <w:rStyle w:val="a3"/>
        </w:rPr>
        <w:footnoteRef/>
      </w:r>
      <w:r>
        <w:rPr>
          <w:rtl/>
        </w:rPr>
        <w:t xml:space="preserve"> </w:t>
      </w:r>
      <w:r w:rsidR="003543EC">
        <w:rPr>
          <w:rFonts w:hint="cs"/>
          <w:rtl/>
        </w:rPr>
        <w:t xml:space="preserve">להבנתנו, </w:t>
      </w:r>
      <w:r>
        <w:rPr>
          <w:rFonts w:hint="cs"/>
          <w:rtl/>
        </w:rPr>
        <w:t xml:space="preserve">אם כל מה שעשה העבריין זה רק להחזיק בכסף שהופק מהעבירה, הרי שגם אם ההחזקה היתה ביסוד נפשי של "מטרה להסתיר" לא ניתן לראות בהחזקה עבירה של הלבנת הון, שכן אין כאן ערך מוגן נפרד. כך, למשל, </w:t>
      </w:r>
      <w:r w:rsidR="003543EC">
        <w:rPr>
          <w:rFonts w:hint="cs"/>
          <w:rtl/>
        </w:rPr>
        <w:t>לא ניתן לראות ב</w:t>
      </w:r>
      <w:r>
        <w:rPr>
          <w:rFonts w:hint="cs"/>
          <w:rtl/>
        </w:rPr>
        <w:t>אדם ש</w:t>
      </w:r>
      <w:r w:rsidR="004A1269">
        <w:rPr>
          <w:rFonts w:hint="cs"/>
          <w:rtl/>
        </w:rPr>
        <w:t>גנב כספים</w:t>
      </w:r>
      <w:r>
        <w:rPr>
          <w:rFonts w:hint="cs"/>
          <w:rtl/>
        </w:rPr>
        <w:t xml:space="preserve">, הרוויח כסף מעסקאות סמים או העלים מס </w:t>
      </w:r>
      <w:r w:rsidR="003543EC">
        <w:rPr>
          <w:rFonts w:hint="cs"/>
          <w:rtl/>
        </w:rPr>
        <w:t>ש</w:t>
      </w:r>
      <w:r>
        <w:rPr>
          <w:rFonts w:hint="cs"/>
          <w:rtl/>
        </w:rPr>
        <w:t xml:space="preserve">לקח את הכסף והחביא אותו מתחת למזרון, </w:t>
      </w:r>
      <w:r w:rsidR="003543EC">
        <w:rPr>
          <w:rFonts w:hint="cs"/>
          <w:rtl/>
        </w:rPr>
        <w:t xml:space="preserve">כמי שעבר </w:t>
      </w:r>
      <w:r>
        <w:rPr>
          <w:rFonts w:hint="cs"/>
          <w:rtl/>
        </w:rPr>
        <w:t>עבירת הלבנת הון לפי סעיף 3(א) לחוק, שכן אין כאן ערך מוגן נפרד שמקים עבירה של הלבנת הון</w:t>
      </w:r>
      <w:r w:rsidR="003543EC">
        <w:rPr>
          <w:rFonts w:hint="cs"/>
          <w:rtl/>
        </w:rPr>
        <w:t>.</w:t>
      </w:r>
      <w:r>
        <w:rPr>
          <w:rFonts w:hint="cs"/>
          <w:rtl/>
        </w:rPr>
        <w:t xml:space="preserve"> בהקשר זה חשוב לציין שביהמ</w:t>
      </w:r>
      <w:r w:rsidR="00A82284">
        <w:rPr>
          <w:rFonts w:hint="cs"/>
          <w:rtl/>
        </w:rPr>
        <w:t>"</w:t>
      </w:r>
      <w:r>
        <w:rPr>
          <w:rFonts w:hint="cs"/>
          <w:rtl/>
        </w:rPr>
        <w:t>ש העליון כבר עמד על כך ש</w:t>
      </w:r>
      <w:r w:rsidRPr="00A82284">
        <w:rPr>
          <w:rFonts w:hint="cs"/>
          <w:u w:val="single"/>
          <w:rtl/>
        </w:rPr>
        <w:t>לא כל הסתרה של עבירת המקור הופכת להיות הסתרה לצורך חוק איסור הלבנת הון, וצריך ערך מוגן נפרד של הסתרה</w:t>
      </w:r>
      <w:r>
        <w:rPr>
          <w:rFonts w:hint="cs"/>
          <w:rtl/>
        </w:rPr>
        <w:t>.</w:t>
      </w:r>
    </w:p>
  </w:footnote>
  <w:footnote w:id="6">
    <w:p w:rsidR="00A82284" w:rsidRDefault="00A82284" w:rsidP="00A97B15">
      <w:pPr>
        <w:pStyle w:val="a4"/>
        <w:rPr>
          <w:rtl/>
        </w:rPr>
      </w:pPr>
      <w:r>
        <w:rPr>
          <w:rStyle w:val="a3"/>
        </w:rPr>
        <w:footnoteRef/>
      </w:r>
      <w:r>
        <w:rPr>
          <w:rtl/>
        </w:rPr>
        <w:t xml:space="preserve"> </w:t>
      </w:r>
      <w:r>
        <w:rPr>
          <w:rFonts w:hint="cs"/>
          <w:rtl/>
        </w:rPr>
        <w:t xml:space="preserve">כאמור, </w:t>
      </w:r>
      <w:r w:rsidR="00A97B15">
        <w:rPr>
          <w:rFonts w:hint="cs"/>
          <w:rtl/>
        </w:rPr>
        <w:t>לפי</w:t>
      </w:r>
      <w:r>
        <w:rPr>
          <w:rFonts w:hint="cs"/>
          <w:rtl/>
        </w:rPr>
        <w:t xml:space="preserve"> הטיוטה הממשלתית ההנחיה האמורה מתייחסת רק לעבירה לפי סעיף 4, בעוד שאנו סבורים שההתייחסות צריכה להיות גם לעבירה לפי סעיף 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194280"/>
    <w:multiLevelType w:val="hybridMultilevel"/>
    <w:tmpl w:val="BE101010"/>
    <w:lvl w:ilvl="0" w:tplc="7BACD0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2A0817"/>
    <w:multiLevelType w:val="hybridMultilevel"/>
    <w:tmpl w:val="AC5CE988"/>
    <w:lvl w:ilvl="0" w:tplc="7A327162">
      <w:start w:val="1"/>
      <w:numFmt w:val="decimal"/>
      <w:lvlText w:val="%1."/>
      <w:lvlJc w:val="left"/>
      <w:pPr>
        <w:ind w:left="720" w:hanging="360"/>
      </w:pPr>
      <w:rPr>
        <w:rFonts w:hint="default"/>
        <w:b w:val="0"/>
        <w:bCs w:val="0"/>
        <w:lang w:bidi="he-I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E0503E"/>
    <w:multiLevelType w:val="hybridMultilevel"/>
    <w:tmpl w:val="C9DECF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8A140D"/>
    <w:multiLevelType w:val="hybridMultilevel"/>
    <w:tmpl w:val="ED880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0C023A"/>
    <w:multiLevelType w:val="hybridMultilevel"/>
    <w:tmpl w:val="360A8144"/>
    <w:lvl w:ilvl="0" w:tplc="7BACD0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993AD8"/>
    <w:multiLevelType w:val="hybridMultilevel"/>
    <w:tmpl w:val="CA6ABEA6"/>
    <w:lvl w:ilvl="0" w:tplc="86249BF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A803B7"/>
    <w:multiLevelType w:val="hybridMultilevel"/>
    <w:tmpl w:val="65DC3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F90C7B"/>
    <w:multiLevelType w:val="hybridMultilevel"/>
    <w:tmpl w:val="EDEE6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051D21"/>
    <w:multiLevelType w:val="hybridMultilevel"/>
    <w:tmpl w:val="7EAAA516"/>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9" w15:restartNumberingAfterBreak="0">
    <w:nsid w:val="58BD00A5"/>
    <w:multiLevelType w:val="hybridMultilevel"/>
    <w:tmpl w:val="F69A0F18"/>
    <w:lvl w:ilvl="0" w:tplc="FC6ECC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1B1164"/>
    <w:multiLevelType w:val="hybridMultilevel"/>
    <w:tmpl w:val="AC7CC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9E5886"/>
    <w:multiLevelType w:val="hybridMultilevel"/>
    <w:tmpl w:val="BD4C7E8A"/>
    <w:lvl w:ilvl="0" w:tplc="6972A664">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594071"/>
    <w:multiLevelType w:val="hybridMultilevel"/>
    <w:tmpl w:val="DF9607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1D972F6"/>
    <w:multiLevelType w:val="hybridMultilevel"/>
    <w:tmpl w:val="45623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5"/>
  </w:num>
  <w:num w:numId="4">
    <w:abstractNumId w:val="6"/>
  </w:num>
  <w:num w:numId="5">
    <w:abstractNumId w:val="4"/>
  </w:num>
  <w:num w:numId="6">
    <w:abstractNumId w:val="9"/>
  </w:num>
  <w:num w:numId="7">
    <w:abstractNumId w:val="8"/>
  </w:num>
  <w:num w:numId="8">
    <w:abstractNumId w:val="7"/>
  </w:num>
  <w:num w:numId="9">
    <w:abstractNumId w:val="3"/>
  </w:num>
  <w:num w:numId="10">
    <w:abstractNumId w:val="10"/>
  </w:num>
  <w:num w:numId="11">
    <w:abstractNumId w:val="12"/>
  </w:num>
  <w:num w:numId="12">
    <w:abstractNumId w:val="13"/>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700"/>
    <w:rsid w:val="00003EB1"/>
    <w:rsid w:val="000119C8"/>
    <w:rsid w:val="00011C5C"/>
    <w:rsid w:val="000136D3"/>
    <w:rsid w:val="00024BA0"/>
    <w:rsid w:val="000269BB"/>
    <w:rsid w:val="00026CAA"/>
    <w:rsid w:val="00033871"/>
    <w:rsid w:val="00033DF1"/>
    <w:rsid w:val="000461FB"/>
    <w:rsid w:val="00051531"/>
    <w:rsid w:val="00053DE7"/>
    <w:rsid w:val="00061D0C"/>
    <w:rsid w:val="0007442A"/>
    <w:rsid w:val="00081565"/>
    <w:rsid w:val="000843AB"/>
    <w:rsid w:val="00085B05"/>
    <w:rsid w:val="00094BC7"/>
    <w:rsid w:val="000976EA"/>
    <w:rsid w:val="000A0DC2"/>
    <w:rsid w:val="000C0D37"/>
    <w:rsid w:val="000C2237"/>
    <w:rsid w:val="000C3D0A"/>
    <w:rsid w:val="000D4097"/>
    <w:rsid w:val="000E61AD"/>
    <w:rsid w:val="000F787B"/>
    <w:rsid w:val="001012D8"/>
    <w:rsid w:val="00101C4A"/>
    <w:rsid w:val="001049BA"/>
    <w:rsid w:val="00105061"/>
    <w:rsid w:val="00106268"/>
    <w:rsid w:val="001065F8"/>
    <w:rsid w:val="001129BD"/>
    <w:rsid w:val="00113056"/>
    <w:rsid w:val="00113F82"/>
    <w:rsid w:val="00143455"/>
    <w:rsid w:val="001440AE"/>
    <w:rsid w:val="001503DE"/>
    <w:rsid w:val="00156960"/>
    <w:rsid w:val="0016230F"/>
    <w:rsid w:val="001635BA"/>
    <w:rsid w:val="00172B7D"/>
    <w:rsid w:val="0018501A"/>
    <w:rsid w:val="00196E1E"/>
    <w:rsid w:val="0019795C"/>
    <w:rsid w:val="001A166F"/>
    <w:rsid w:val="001A22AF"/>
    <w:rsid w:val="001A5870"/>
    <w:rsid w:val="001A7CD1"/>
    <w:rsid w:val="001B083E"/>
    <w:rsid w:val="001B3BA7"/>
    <w:rsid w:val="001B3C48"/>
    <w:rsid w:val="001C0EAC"/>
    <w:rsid w:val="001C1593"/>
    <w:rsid w:val="001C5F6F"/>
    <w:rsid w:val="001D4725"/>
    <w:rsid w:val="001D76B1"/>
    <w:rsid w:val="001E1B3C"/>
    <w:rsid w:val="001E5F1C"/>
    <w:rsid w:val="001F2D35"/>
    <w:rsid w:val="001F581A"/>
    <w:rsid w:val="00206AB8"/>
    <w:rsid w:val="00212268"/>
    <w:rsid w:val="00215700"/>
    <w:rsid w:val="0021741E"/>
    <w:rsid w:val="00217EEB"/>
    <w:rsid w:val="0022068C"/>
    <w:rsid w:val="00222210"/>
    <w:rsid w:val="00222CBF"/>
    <w:rsid w:val="002302C3"/>
    <w:rsid w:val="00261F2E"/>
    <w:rsid w:val="00265223"/>
    <w:rsid w:val="00266684"/>
    <w:rsid w:val="00272826"/>
    <w:rsid w:val="00281899"/>
    <w:rsid w:val="0029510A"/>
    <w:rsid w:val="00296B07"/>
    <w:rsid w:val="00297519"/>
    <w:rsid w:val="002A0775"/>
    <w:rsid w:val="002A1C76"/>
    <w:rsid w:val="002A2D9B"/>
    <w:rsid w:val="002B7C8D"/>
    <w:rsid w:val="002C36A4"/>
    <w:rsid w:val="002E0281"/>
    <w:rsid w:val="002E4470"/>
    <w:rsid w:val="002E64E7"/>
    <w:rsid w:val="002F325D"/>
    <w:rsid w:val="00304D74"/>
    <w:rsid w:val="003075F9"/>
    <w:rsid w:val="003114C7"/>
    <w:rsid w:val="00311961"/>
    <w:rsid w:val="003134F4"/>
    <w:rsid w:val="0031448C"/>
    <w:rsid w:val="00316F1F"/>
    <w:rsid w:val="00322984"/>
    <w:rsid w:val="00326BDC"/>
    <w:rsid w:val="003400AF"/>
    <w:rsid w:val="003403C5"/>
    <w:rsid w:val="003439BC"/>
    <w:rsid w:val="003540A4"/>
    <w:rsid w:val="003543EC"/>
    <w:rsid w:val="003607BE"/>
    <w:rsid w:val="003674CF"/>
    <w:rsid w:val="003745A6"/>
    <w:rsid w:val="003752CA"/>
    <w:rsid w:val="003776F1"/>
    <w:rsid w:val="00382272"/>
    <w:rsid w:val="00382995"/>
    <w:rsid w:val="00386EAC"/>
    <w:rsid w:val="00391BB7"/>
    <w:rsid w:val="003A1ED9"/>
    <w:rsid w:val="003A3477"/>
    <w:rsid w:val="003B3237"/>
    <w:rsid w:val="003D5E06"/>
    <w:rsid w:val="003E030F"/>
    <w:rsid w:val="003E6A78"/>
    <w:rsid w:val="003F7687"/>
    <w:rsid w:val="003F775D"/>
    <w:rsid w:val="00401FC0"/>
    <w:rsid w:val="00406618"/>
    <w:rsid w:val="00410E11"/>
    <w:rsid w:val="00420A72"/>
    <w:rsid w:val="0043396F"/>
    <w:rsid w:val="004350EF"/>
    <w:rsid w:val="00435F6E"/>
    <w:rsid w:val="0045374A"/>
    <w:rsid w:val="00454466"/>
    <w:rsid w:val="00460152"/>
    <w:rsid w:val="00460512"/>
    <w:rsid w:val="00462A58"/>
    <w:rsid w:val="00466469"/>
    <w:rsid w:val="00470396"/>
    <w:rsid w:val="004753D1"/>
    <w:rsid w:val="004774EF"/>
    <w:rsid w:val="004867A7"/>
    <w:rsid w:val="00491FAD"/>
    <w:rsid w:val="00495449"/>
    <w:rsid w:val="004A01E1"/>
    <w:rsid w:val="004A1269"/>
    <w:rsid w:val="004A1303"/>
    <w:rsid w:val="004B4E7A"/>
    <w:rsid w:val="004B7AD3"/>
    <w:rsid w:val="004D7252"/>
    <w:rsid w:val="004E1843"/>
    <w:rsid w:val="004E6860"/>
    <w:rsid w:val="004F0906"/>
    <w:rsid w:val="004F0F59"/>
    <w:rsid w:val="004F6390"/>
    <w:rsid w:val="004F7E19"/>
    <w:rsid w:val="0050339D"/>
    <w:rsid w:val="00513DC8"/>
    <w:rsid w:val="005202BB"/>
    <w:rsid w:val="00523A97"/>
    <w:rsid w:val="0052449E"/>
    <w:rsid w:val="0053709A"/>
    <w:rsid w:val="00541599"/>
    <w:rsid w:val="00541F77"/>
    <w:rsid w:val="005432A5"/>
    <w:rsid w:val="00547297"/>
    <w:rsid w:val="00554E25"/>
    <w:rsid w:val="00560DD6"/>
    <w:rsid w:val="005652DB"/>
    <w:rsid w:val="00572690"/>
    <w:rsid w:val="00580599"/>
    <w:rsid w:val="00585A1F"/>
    <w:rsid w:val="00594F0F"/>
    <w:rsid w:val="005969DF"/>
    <w:rsid w:val="005A2E47"/>
    <w:rsid w:val="005A4D92"/>
    <w:rsid w:val="005A6195"/>
    <w:rsid w:val="005A7872"/>
    <w:rsid w:val="005B273F"/>
    <w:rsid w:val="005B42AD"/>
    <w:rsid w:val="005C2476"/>
    <w:rsid w:val="005C6C18"/>
    <w:rsid w:val="005D07BA"/>
    <w:rsid w:val="005E077B"/>
    <w:rsid w:val="005E39BB"/>
    <w:rsid w:val="005F1D36"/>
    <w:rsid w:val="005F47EA"/>
    <w:rsid w:val="005F486A"/>
    <w:rsid w:val="006067D4"/>
    <w:rsid w:val="00612016"/>
    <w:rsid w:val="00613AE7"/>
    <w:rsid w:val="00614AAE"/>
    <w:rsid w:val="00614D22"/>
    <w:rsid w:val="00617AF6"/>
    <w:rsid w:val="00621A11"/>
    <w:rsid w:val="0062375D"/>
    <w:rsid w:val="00625C76"/>
    <w:rsid w:val="0063196E"/>
    <w:rsid w:val="00646521"/>
    <w:rsid w:val="00654F71"/>
    <w:rsid w:val="0065727D"/>
    <w:rsid w:val="00683972"/>
    <w:rsid w:val="0069730E"/>
    <w:rsid w:val="00697D50"/>
    <w:rsid w:val="006A035A"/>
    <w:rsid w:val="006A3617"/>
    <w:rsid w:val="006A7CBF"/>
    <w:rsid w:val="006B396F"/>
    <w:rsid w:val="006B5D76"/>
    <w:rsid w:val="006D2B40"/>
    <w:rsid w:val="006F6207"/>
    <w:rsid w:val="006F77AC"/>
    <w:rsid w:val="00702428"/>
    <w:rsid w:val="00711894"/>
    <w:rsid w:val="00713ADA"/>
    <w:rsid w:val="00724BD8"/>
    <w:rsid w:val="0073383B"/>
    <w:rsid w:val="007543D0"/>
    <w:rsid w:val="00762A01"/>
    <w:rsid w:val="00764652"/>
    <w:rsid w:val="0077173C"/>
    <w:rsid w:val="00784791"/>
    <w:rsid w:val="007875AA"/>
    <w:rsid w:val="0079171F"/>
    <w:rsid w:val="0079207A"/>
    <w:rsid w:val="007A1857"/>
    <w:rsid w:val="007B14B7"/>
    <w:rsid w:val="007B1E54"/>
    <w:rsid w:val="007D0276"/>
    <w:rsid w:val="007D2A90"/>
    <w:rsid w:val="007E033D"/>
    <w:rsid w:val="007E1D3C"/>
    <w:rsid w:val="007E1EC5"/>
    <w:rsid w:val="007F24E0"/>
    <w:rsid w:val="007F497A"/>
    <w:rsid w:val="00800271"/>
    <w:rsid w:val="008067C0"/>
    <w:rsid w:val="0081352E"/>
    <w:rsid w:val="00814C75"/>
    <w:rsid w:val="00815AA4"/>
    <w:rsid w:val="008212A9"/>
    <w:rsid w:val="00825B79"/>
    <w:rsid w:val="008332BD"/>
    <w:rsid w:val="00843A1D"/>
    <w:rsid w:val="0085094D"/>
    <w:rsid w:val="00855314"/>
    <w:rsid w:val="00865D44"/>
    <w:rsid w:val="00866D30"/>
    <w:rsid w:val="00871797"/>
    <w:rsid w:val="00874847"/>
    <w:rsid w:val="00876A77"/>
    <w:rsid w:val="008803A7"/>
    <w:rsid w:val="008847DA"/>
    <w:rsid w:val="008848D6"/>
    <w:rsid w:val="008A4205"/>
    <w:rsid w:val="008A67E3"/>
    <w:rsid w:val="008C18F4"/>
    <w:rsid w:val="008C211F"/>
    <w:rsid w:val="008C2AD3"/>
    <w:rsid w:val="008C4878"/>
    <w:rsid w:val="008C5A14"/>
    <w:rsid w:val="008D2300"/>
    <w:rsid w:val="008E00B8"/>
    <w:rsid w:val="008F41BE"/>
    <w:rsid w:val="008F6F57"/>
    <w:rsid w:val="009033E9"/>
    <w:rsid w:val="0091526B"/>
    <w:rsid w:val="0092608B"/>
    <w:rsid w:val="00941E36"/>
    <w:rsid w:val="00954876"/>
    <w:rsid w:val="00960B88"/>
    <w:rsid w:val="00967F36"/>
    <w:rsid w:val="009737E3"/>
    <w:rsid w:val="00984D75"/>
    <w:rsid w:val="00985945"/>
    <w:rsid w:val="00994C59"/>
    <w:rsid w:val="00995852"/>
    <w:rsid w:val="0099601E"/>
    <w:rsid w:val="009B07D7"/>
    <w:rsid w:val="009B325A"/>
    <w:rsid w:val="009C67EB"/>
    <w:rsid w:val="009E073B"/>
    <w:rsid w:val="009E13FE"/>
    <w:rsid w:val="009F168A"/>
    <w:rsid w:val="009F5DEE"/>
    <w:rsid w:val="009F793A"/>
    <w:rsid w:val="00A00495"/>
    <w:rsid w:val="00A028C8"/>
    <w:rsid w:val="00A219A9"/>
    <w:rsid w:val="00A26B9A"/>
    <w:rsid w:val="00A30353"/>
    <w:rsid w:val="00A339ED"/>
    <w:rsid w:val="00A358D8"/>
    <w:rsid w:val="00A56407"/>
    <w:rsid w:val="00A600A1"/>
    <w:rsid w:val="00A7180E"/>
    <w:rsid w:val="00A732B6"/>
    <w:rsid w:val="00A82284"/>
    <w:rsid w:val="00A83BF8"/>
    <w:rsid w:val="00A83E10"/>
    <w:rsid w:val="00A87AAD"/>
    <w:rsid w:val="00A97B15"/>
    <w:rsid w:val="00AA2315"/>
    <w:rsid w:val="00AC1975"/>
    <w:rsid w:val="00AC7749"/>
    <w:rsid w:val="00AD34AE"/>
    <w:rsid w:val="00AD5932"/>
    <w:rsid w:val="00AD61D5"/>
    <w:rsid w:val="00AD7B8D"/>
    <w:rsid w:val="00AE08BB"/>
    <w:rsid w:val="00AE6A39"/>
    <w:rsid w:val="00AE74CE"/>
    <w:rsid w:val="00B0372F"/>
    <w:rsid w:val="00B12E80"/>
    <w:rsid w:val="00B1783A"/>
    <w:rsid w:val="00B17D9E"/>
    <w:rsid w:val="00B37478"/>
    <w:rsid w:val="00B43F7B"/>
    <w:rsid w:val="00B55ABB"/>
    <w:rsid w:val="00B637AE"/>
    <w:rsid w:val="00B65FDE"/>
    <w:rsid w:val="00B70CF9"/>
    <w:rsid w:val="00B750F3"/>
    <w:rsid w:val="00B809F6"/>
    <w:rsid w:val="00B80DA4"/>
    <w:rsid w:val="00B816F2"/>
    <w:rsid w:val="00B90F06"/>
    <w:rsid w:val="00B93B51"/>
    <w:rsid w:val="00BA3837"/>
    <w:rsid w:val="00BB4D20"/>
    <w:rsid w:val="00BC1CCF"/>
    <w:rsid w:val="00BC5A1C"/>
    <w:rsid w:val="00BC720A"/>
    <w:rsid w:val="00BD6DBC"/>
    <w:rsid w:val="00BF24BC"/>
    <w:rsid w:val="00C0674C"/>
    <w:rsid w:val="00C07319"/>
    <w:rsid w:val="00C126E8"/>
    <w:rsid w:val="00C13290"/>
    <w:rsid w:val="00C44329"/>
    <w:rsid w:val="00C468D9"/>
    <w:rsid w:val="00C54DA5"/>
    <w:rsid w:val="00C560FA"/>
    <w:rsid w:val="00C77939"/>
    <w:rsid w:val="00C87676"/>
    <w:rsid w:val="00C95592"/>
    <w:rsid w:val="00C97C22"/>
    <w:rsid w:val="00CA2C75"/>
    <w:rsid w:val="00CA307E"/>
    <w:rsid w:val="00CA6ACD"/>
    <w:rsid w:val="00CB6416"/>
    <w:rsid w:val="00CC59FB"/>
    <w:rsid w:val="00CD0465"/>
    <w:rsid w:val="00CD2B02"/>
    <w:rsid w:val="00CD34D8"/>
    <w:rsid w:val="00CD59F8"/>
    <w:rsid w:val="00CF4B27"/>
    <w:rsid w:val="00D06DBA"/>
    <w:rsid w:val="00D071E5"/>
    <w:rsid w:val="00D14166"/>
    <w:rsid w:val="00D276EF"/>
    <w:rsid w:val="00D44BE9"/>
    <w:rsid w:val="00D557AE"/>
    <w:rsid w:val="00D5693E"/>
    <w:rsid w:val="00D70F5D"/>
    <w:rsid w:val="00D86D4C"/>
    <w:rsid w:val="00D87EEC"/>
    <w:rsid w:val="00D93C29"/>
    <w:rsid w:val="00DB5411"/>
    <w:rsid w:val="00DB57CF"/>
    <w:rsid w:val="00DB7353"/>
    <w:rsid w:val="00DB7474"/>
    <w:rsid w:val="00DC020F"/>
    <w:rsid w:val="00DC7B08"/>
    <w:rsid w:val="00DE2988"/>
    <w:rsid w:val="00DE2EAF"/>
    <w:rsid w:val="00DE50A7"/>
    <w:rsid w:val="00E016AE"/>
    <w:rsid w:val="00E20D9F"/>
    <w:rsid w:val="00E223EC"/>
    <w:rsid w:val="00E24805"/>
    <w:rsid w:val="00E26CB7"/>
    <w:rsid w:val="00E26F20"/>
    <w:rsid w:val="00E32F03"/>
    <w:rsid w:val="00E34B8B"/>
    <w:rsid w:val="00E362A2"/>
    <w:rsid w:val="00E3721B"/>
    <w:rsid w:val="00E445B3"/>
    <w:rsid w:val="00E44788"/>
    <w:rsid w:val="00E44E28"/>
    <w:rsid w:val="00E45525"/>
    <w:rsid w:val="00E47ADF"/>
    <w:rsid w:val="00E569A5"/>
    <w:rsid w:val="00E60DD4"/>
    <w:rsid w:val="00E677C6"/>
    <w:rsid w:val="00E713AA"/>
    <w:rsid w:val="00E73A31"/>
    <w:rsid w:val="00E85631"/>
    <w:rsid w:val="00E974FE"/>
    <w:rsid w:val="00EA27B4"/>
    <w:rsid w:val="00EA2C38"/>
    <w:rsid w:val="00EA37EB"/>
    <w:rsid w:val="00EA3CA4"/>
    <w:rsid w:val="00EB7645"/>
    <w:rsid w:val="00EC1817"/>
    <w:rsid w:val="00EC766F"/>
    <w:rsid w:val="00ED52D0"/>
    <w:rsid w:val="00ED65E9"/>
    <w:rsid w:val="00ED7F3D"/>
    <w:rsid w:val="00EE25BE"/>
    <w:rsid w:val="00EF0F77"/>
    <w:rsid w:val="00EF5546"/>
    <w:rsid w:val="00EF7D94"/>
    <w:rsid w:val="00F043AE"/>
    <w:rsid w:val="00F063F3"/>
    <w:rsid w:val="00F33B24"/>
    <w:rsid w:val="00F33C23"/>
    <w:rsid w:val="00F45858"/>
    <w:rsid w:val="00F47D17"/>
    <w:rsid w:val="00F47E5C"/>
    <w:rsid w:val="00F675EF"/>
    <w:rsid w:val="00F746C0"/>
    <w:rsid w:val="00FA1283"/>
    <w:rsid w:val="00FA3B90"/>
    <w:rsid w:val="00FA5640"/>
    <w:rsid w:val="00FB3775"/>
    <w:rsid w:val="00FC3AB0"/>
    <w:rsid w:val="00FD5BB0"/>
    <w:rsid w:val="00FE423F"/>
    <w:rsid w:val="00FF16C4"/>
    <w:rsid w:val="00FF704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EF11AE-C90A-4269-BE88-6FA8D4CFC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709A"/>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53709A"/>
    <w:rPr>
      <w:rFonts w:ascii="Times New Roman" w:hAnsi="Times New Roman" w:cs="Times New Roman"/>
      <w:sz w:val="26"/>
      <w:szCs w:val="26"/>
    </w:rPr>
  </w:style>
  <w:style w:type="paragraph" w:customStyle="1" w:styleId="P00">
    <w:name w:val="P00"/>
    <w:rsid w:val="0053709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53709A"/>
    <w:rPr>
      <w:rFonts w:ascii="Times New Roman" w:hAnsi="Times New Roman" w:cs="Times New Roman"/>
      <w:sz w:val="32"/>
      <w:szCs w:val="32"/>
    </w:rPr>
  </w:style>
  <w:style w:type="paragraph" w:customStyle="1" w:styleId="footnote">
    <w:name w:val="footnote"/>
    <w:basedOn w:val="P00"/>
    <w:rsid w:val="0053709A"/>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P22">
    <w:name w:val="P22"/>
    <w:basedOn w:val="P00"/>
    <w:rsid w:val="0053709A"/>
    <w:pPr>
      <w:tabs>
        <w:tab w:val="clear" w:pos="624"/>
        <w:tab w:val="clear" w:pos="1021"/>
      </w:tabs>
      <w:ind w:right="1021"/>
    </w:pPr>
  </w:style>
  <w:style w:type="character" w:styleId="Hyperlink">
    <w:name w:val="Hyperlink"/>
    <w:rsid w:val="0053709A"/>
    <w:rPr>
      <w:color w:val="0000FF"/>
      <w:u w:val="single"/>
    </w:rPr>
  </w:style>
  <w:style w:type="paragraph" w:customStyle="1" w:styleId="TableBlock">
    <w:name w:val="Table Block"/>
    <w:basedOn w:val="a"/>
    <w:rsid w:val="0053709A"/>
    <w:pPr>
      <w:keepLines/>
      <w:widowControl w:val="0"/>
      <w:tabs>
        <w:tab w:val="left" w:pos="624"/>
        <w:tab w:val="left" w:pos="1247"/>
      </w:tabs>
      <w:adjustRightInd w:val="0"/>
      <w:snapToGrid w:val="0"/>
      <w:textAlignment w:val="center"/>
    </w:pPr>
    <w:rPr>
      <w:rFonts w:ascii="Arial" w:eastAsia="Arial Unicode MS" w:hAnsi="Arial" w:cs="David"/>
      <w:snapToGrid w:val="0"/>
      <w:color w:val="000000"/>
      <w:sz w:val="20"/>
      <w:szCs w:val="26"/>
      <w:lang w:eastAsia="ja-JP"/>
    </w:rPr>
  </w:style>
  <w:style w:type="paragraph" w:customStyle="1" w:styleId="medium2-header">
    <w:name w:val="medium2-header"/>
    <w:basedOn w:val="medium-header"/>
    <w:rsid w:val="0053709A"/>
    <w:pPr>
      <w:spacing w:before="240"/>
    </w:pPr>
    <w:rPr>
      <w:bCs/>
      <w:noProof w:val="0"/>
      <w:sz w:val="24"/>
      <w:szCs w:val="24"/>
    </w:rPr>
  </w:style>
  <w:style w:type="paragraph" w:customStyle="1" w:styleId="medium-header">
    <w:name w:val="medium-header"/>
    <w:basedOn w:val="P00"/>
    <w:rsid w:val="0053709A"/>
    <w:pPr>
      <w:keepNext/>
      <w:keepLines/>
      <w:tabs>
        <w:tab w:val="clear" w:pos="6259"/>
      </w:tabs>
      <w:spacing w:before="72"/>
      <w:jc w:val="center"/>
    </w:pPr>
  </w:style>
  <w:style w:type="character" w:styleId="a3">
    <w:name w:val="footnote reference"/>
    <w:semiHidden/>
    <w:rsid w:val="00C97C22"/>
    <w:rPr>
      <w:vertAlign w:val="superscript"/>
    </w:rPr>
  </w:style>
  <w:style w:type="paragraph" w:styleId="a4">
    <w:name w:val="footnote text"/>
    <w:basedOn w:val="a"/>
    <w:link w:val="a5"/>
    <w:autoRedefine/>
    <w:semiHidden/>
    <w:rsid w:val="00C97C22"/>
    <w:pPr>
      <w:widowControl w:val="0"/>
      <w:adjustRightInd w:val="0"/>
      <w:snapToGrid w:val="0"/>
      <w:spacing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basedOn w:val="a0"/>
    <w:link w:val="a4"/>
    <w:semiHidden/>
    <w:rsid w:val="00C97C22"/>
    <w:rPr>
      <w:rFonts w:ascii="Arial" w:eastAsia="Arial Unicode MS" w:hAnsi="Arial" w:cs="David"/>
      <w:snapToGrid w:val="0"/>
      <w:color w:val="000000"/>
      <w:sz w:val="14"/>
      <w:szCs w:val="20"/>
      <w:lang w:eastAsia="ja-JP"/>
    </w:rPr>
  </w:style>
  <w:style w:type="paragraph" w:styleId="a6">
    <w:name w:val="List Paragraph"/>
    <w:basedOn w:val="a"/>
    <w:uiPriority w:val="34"/>
    <w:qFormat/>
    <w:rsid w:val="00172B7D"/>
    <w:pPr>
      <w:ind w:left="720"/>
      <w:contextualSpacing/>
    </w:pPr>
  </w:style>
  <w:style w:type="table" w:styleId="a7">
    <w:name w:val="Table Grid"/>
    <w:basedOn w:val="a1"/>
    <w:uiPriority w:val="39"/>
    <w:rsid w:val="00E60D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3">
    <w:name w:val="P33"/>
    <w:basedOn w:val="P00"/>
    <w:rsid w:val="008E00B8"/>
    <w:pPr>
      <w:tabs>
        <w:tab w:val="clear" w:pos="624"/>
        <w:tab w:val="clear" w:pos="1021"/>
        <w:tab w:val="clear" w:pos="1474"/>
      </w:tabs>
      <w:ind w:right="1474"/>
    </w:pPr>
  </w:style>
  <w:style w:type="paragraph" w:styleId="a8">
    <w:name w:val="header"/>
    <w:basedOn w:val="a"/>
    <w:link w:val="a9"/>
    <w:uiPriority w:val="99"/>
    <w:unhideWhenUsed/>
    <w:rsid w:val="00DB5411"/>
    <w:pPr>
      <w:tabs>
        <w:tab w:val="center" w:pos="4153"/>
        <w:tab w:val="right" w:pos="8306"/>
      </w:tabs>
      <w:spacing w:line="240" w:lineRule="auto"/>
    </w:pPr>
  </w:style>
  <w:style w:type="character" w:customStyle="1" w:styleId="a9">
    <w:name w:val="כותרת עליונה תו"/>
    <w:basedOn w:val="a0"/>
    <w:link w:val="a8"/>
    <w:uiPriority w:val="99"/>
    <w:rsid w:val="00DB5411"/>
    <w:rPr>
      <w:rFonts w:ascii="Times New Roman" w:eastAsia="Times New Roman" w:hAnsi="Times New Roman" w:cs="Times New Roman"/>
      <w:szCs w:val="24"/>
      <w:lang w:eastAsia="he-IL"/>
    </w:rPr>
  </w:style>
  <w:style w:type="paragraph" w:styleId="aa">
    <w:name w:val="footer"/>
    <w:basedOn w:val="a"/>
    <w:link w:val="ab"/>
    <w:uiPriority w:val="99"/>
    <w:unhideWhenUsed/>
    <w:rsid w:val="00DB5411"/>
    <w:pPr>
      <w:tabs>
        <w:tab w:val="center" w:pos="4153"/>
        <w:tab w:val="right" w:pos="8306"/>
      </w:tabs>
      <w:spacing w:line="240" w:lineRule="auto"/>
    </w:pPr>
  </w:style>
  <w:style w:type="character" w:customStyle="1" w:styleId="ab">
    <w:name w:val="כותרת תחתונה תו"/>
    <w:basedOn w:val="a0"/>
    <w:link w:val="aa"/>
    <w:uiPriority w:val="99"/>
    <w:rsid w:val="00DB5411"/>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7068E6-FF48-4959-A745-2265C40137D1}"/>
</file>

<file path=customXml/itemProps2.xml><?xml version="1.0" encoding="utf-8"?>
<ds:datastoreItem xmlns:ds="http://schemas.openxmlformats.org/officeDocument/2006/customXml" ds:itemID="{C393DBD9-4271-48A9-9E9A-377F5B2A0EF5}"/>
</file>

<file path=customXml/itemProps3.xml><?xml version="1.0" encoding="utf-8"?>
<ds:datastoreItem xmlns:ds="http://schemas.openxmlformats.org/officeDocument/2006/customXml" ds:itemID="{DD3ACF68-97AE-4F03-BA63-BDAA3CB320C0}"/>
</file>

<file path=docProps/app.xml><?xml version="1.0" encoding="utf-8"?>
<Properties xmlns="http://schemas.openxmlformats.org/officeDocument/2006/extended-properties" xmlns:vt="http://schemas.openxmlformats.org/officeDocument/2006/docPropsVTypes">
  <Template>Normal</Template>
  <TotalTime>0</TotalTime>
  <Pages>5</Pages>
  <Words>1772</Words>
  <Characters>8971</Characters>
  <Application>Microsoft Office Word</Application>
  <DocSecurity>4</DocSecurity>
  <Lines>815</Lines>
  <Paragraphs>210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2016-02-15T13:15:00Z</cp:lastPrinted>
  <dcterms:created xsi:type="dcterms:W3CDTF">2016-03-14T12:22:00Z</dcterms:created>
  <dcterms:modified xsi:type="dcterms:W3CDTF">2016-03-14T12:22:00Z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