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01D" w:rsidRPr="00465F20" w:rsidRDefault="00BA501D" w:rsidP="00BA501D">
      <w:pPr>
        <w:autoSpaceDE w:val="0"/>
        <w:autoSpaceDN w:val="0"/>
        <w:jc w:val="right"/>
        <w:rPr>
          <w:rFonts w:eastAsia="Times New Roman" w:cs="David"/>
          <w:rtl/>
          <w:lang w:eastAsia="he-IL"/>
        </w:rPr>
      </w:pPr>
      <w:bookmarkStart w:id="0" w:name="_GoBack"/>
      <w:bookmarkEnd w:id="0"/>
      <w:r>
        <w:rPr>
          <w:rFonts w:eastAsia="Times New Roman" w:cs="David" w:hint="cs"/>
          <w:rtl/>
          <w:lang w:eastAsia="he-IL"/>
        </w:rPr>
        <w:t xml:space="preserve">י"ג חשון </w:t>
      </w:r>
      <w:r w:rsidRPr="00465F20">
        <w:rPr>
          <w:rFonts w:eastAsia="Times New Roman" w:cs="David"/>
          <w:rtl/>
          <w:lang w:eastAsia="he-IL"/>
        </w:rPr>
        <w:t>תשע"</w:t>
      </w:r>
      <w:r>
        <w:rPr>
          <w:rFonts w:eastAsia="Times New Roman" w:cs="David" w:hint="cs"/>
          <w:rtl/>
          <w:lang w:eastAsia="he-IL"/>
        </w:rPr>
        <w:t>ו</w:t>
      </w:r>
    </w:p>
    <w:p w:rsidR="00BA501D" w:rsidRPr="00465F20" w:rsidRDefault="00BA501D" w:rsidP="00BA501D">
      <w:pPr>
        <w:autoSpaceDE w:val="0"/>
        <w:autoSpaceDN w:val="0"/>
        <w:jc w:val="right"/>
        <w:rPr>
          <w:rFonts w:eastAsia="Times New Roman" w:cs="David"/>
          <w:rtl/>
          <w:lang w:eastAsia="he-IL"/>
        </w:rPr>
      </w:pPr>
      <w:r>
        <w:rPr>
          <w:rFonts w:eastAsia="Times New Roman" w:cs="David" w:hint="cs"/>
          <w:rtl/>
          <w:lang w:eastAsia="he-IL"/>
        </w:rPr>
        <w:t>26 אוקטובר 2015</w:t>
      </w:r>
    </w:p>
    <w:p w:rsidR="00BA501D" w:rsidRPr="009B6F7A" w:rsidRDefault="00BA501D" w:rsidP="00BA501D">
      <w:pPr>
        <w:autoSpaceDE w:val="0"/>
        <w:autoSpaceDN w:val="0"/>
        <w:jc w:val="both"/>
        <w:rPr>
          <w:rFonts w:eastAsia="Times New Roman" w:cs="David"/>
          <w:rtl/>
          <w:lang w:eastAsia="he-IL"/>
        </w:rPr>
      </w:pPr>
      <w:r w:rsidRPr="009B6F7A">
        <w:rPr>
          <w:rFonts w:eastAsia="Times New Roman" w:cs="David"/>
          <w:u w:val="single"/>
          <w:rtl/>
          <w:lang w:eastAsia="he-IL"/>
        </w:rPr>
        <w:t>אל</w:t>
      </w:r>
      <w:r w:rsidRPr="009B6F7A">
        <w:rPr>
          <w:rFonts w:eastAsia="Times New Roman" w:cs="David"/>
          <w:rtl/>
          <w:lang w:eastAsia="he-IL"/>
        </w:rPr>
        <w:t>: חברי ועדת החוקה, חוק ומשפט</w:t>
      </w:r>
    </w:p>
    <w:p w:rsidR="00BA501D" w:rsidRDefault="00BA501D" w:rsidP="00BA501D">
      <w:pPr>
        <w:autoSpaceDE w:val="0"/>
        <w:autoSpaceDN w:val="0"/>
        <w:jc w:val="both"/>
        <w:rPr>
          <w:rFonts w:eastAsia="Times New Roman" w:cs="David"/>
          <w:rtl/>
          <w:lang w:eastAsia="he-IL"/>
        </w:rPr>
      </w:pPr>
      <w:r w:rsidRPr="009B6F7A">
        <w:rPr>
          <w:rFonts w:eastAsia="Times New Roman" w:cs="David"/>
          <w:u w:val="single"/>
          <w:rtl/>
          <w:lang w:eastAsia="he-IL"/>
        </w:rPr>
        <w:t>מאת</w:t>
      </w:r>
      <w:r w:rsidRPr="009B6F7A">
        <w:rPr>
          <w:rFonts w:eastAsia="Times New Roman" w:cs="David"/>
          <w:rtl/>
          <w:lang w:eastAsia="he-IL"/>
        </w:rPr>
        <w:t>: הייעוץ המשפטי לוועדה</w:t>
      </w:r>
    </w:p>
    <w:p w:rsidR="00BA501D" w:rsidRDefault="00BA501D" w:rsidP="00BA501D">
      <w:pPr>
        <w:spacing w:line="360" w:lineRule="auto"/>
        <w:jc w:val="center"/>
        <w:rPr>
          <w:rFonts w:ascii="David" w:hAnsi="David" w:cs="David"/>
          <w:b/>
          <w:bCs/>
          <w:rtl/>
        </w:rPr>
      </w:pPr>
    </w:p>
    <w:p w:rsidR="000034D3" w:rsidRDefault="007C1296" w:rsidP="00BA501D">
      <w:pPr>
        <w:spacing w:line="360" w:lineRule="auto"/>
        <w:jc w:val="center"/>
        <w:rPr>
          <w:rFonts w:ascii="David" w:hAnsi="David" w:cs="David"/>
          <w:b/>
          <w:bCs/>
          <w:rtl/>
        </w:rPr>
      </w:pPr>
      <w:r w:rsidRPr="007C1296">
        <w:rPr>
          <w:rFonts w:ascii="David" w:hAnsi="David" w:cs="David"/>
          <w:b/>
          <w:bCs/>
          <w:rtl/>
        </w:rPr>
        <w:t>הצעת חוק העונשין (תיקון – פנייה למוקד חירום והצלה בקריאת שווא לעזרה)</w:t>
      </w:r>
      <w:r>
        <w:rPr>
          <w:rFonts w:ascii="David" w:hAnsi="David" w:cs="David" w:hint="cs"/>
          <w:b/>
          <w:bCs/>
          <w:rtl/>
        </w:rPr>
        <w:t xml:space="preserve"> </w:t>
      </w:r>
    </w:p>
    <w:p w:rsidR="007C1296" w:rsidRDefault="007C1296" w:rsidP="00BA501D">
      <w:pPr>
        <w:spacing w:line="360" w:lineRule="auto"/>
        <w:jc w:val="center"/>
        <w:rPr>
          <w:rFonts w:ascii="David" w:hAnsi="David" w:cs="David"/>
          <w:b/>
          <w:bCs/>
          <w:rtl/>
        </w:rPr>
      </w:pPr>
      <w:r>
        <w:rPr>
          <w:rFonts w:ascii="David" w:hAnsi="David" w:cs="David" w:hint="cs"/>
          <w:b/>
          <w:bCs/>
          <w:rtl/>
        </w:rPr>
        <w:t xml:space="preserve">של חברי הכנסת סלומינסקי, בר-לב ומיכאלי (פ/1246, פ/8 </w:t>
      </w:r>
      <w:proofErr w:type="spellStart"/>
      <w:r>
        <w:rPr>
          <w:rFonts w:ascii="David" w:hAnsi="David" w:cs="David" w:hint="cs"/>
          <w:b/>
          <w:bCs/>
          <w:rtl/>
        </w:rPr>
        <w:t>ופ</w:t>
      </w:r>
      <w:proofErr w:type="spellEnd"/>
      <w:r>
        <w:rPr>
          <w:rFonts w:ascii="David" w:hAnsi="David" w:cs="David" w:hint="cs"/>
          <w:b/>
          <w:bCs/>
          <w:rtl/>
        </w:rPr>
        <w:t>/9)</w:t>
      </w:r>
    </w:p>
    <w:p w:rsidR="00BA501D" w:rsidRDefault="00BA501D" w:rsidP="00BA501D">
      <w:pPr>
        <w:spacing w:line="360" w:lineRule="auto"/>
        <w:jc w:val="center"/>
        <w:rPr>
          <w:rFonts w:ascii="David" w:hAnsi="David" w:cs="David"/>
          <w:b/>
          <w:bCs/>
          <w:rtl/>
        </w:rPr>
      </w:pPr>
      <w:r>
        <w:rPr>
          <w:rFonts w:ascii="David" w:hAnsi="David" w:cs="David" w:hint="eastAsia"/>
          <w:b/>
          <w:bCs/>
          <w:rtl/>
        </w:rPr>
        <w:t xml:space="preserve"> </w:t>
      </w:r>
      <w:r>
        <w:rPr>
          <w:rFonts w:ascii="David" w:hAnsi="David" w:cs="David" w:hint="cs"/>
          <w:b/>
          <w:bCs/>
          <w:rtl/>
        </w:rPr>
        <w:t>מסמך רקע לדיון הקבוע ליום 27.10.15</w:t>
      </w:r>
    </w:p>
    <w:p w:rsidR="00DD50EE" w:rsidRDefault="00DD50EE" w:rsidP="00172217">
      <w:pPr>
        <w:spacing w:line="360" w:lineRule="auto"/>
        <w:jc w:val="both"/>
        <w:rPr>
          <w:rtl/>
        </w:rPr>
      </w:pPr>
    </w:p>
    <w:p w:rsidR="007C1296" w:rsidRDefault="007C1296" w:rsidP="00172217">
      <w:pPr>
        <w:spacing w:line="360" w:lineRule="auto"/>
        <w:jc w:val="both"/>
        <w:rPr>
          <w:rFonts w:cs="David"/>
          <w:rtl/>
        </w:rPr>
      </w:pPr>
      <w:r>
        <w:rPr>
          <w:rFonts w:cs="David" w:hint="cs"/>
          <w:rtl/>
        </w:rPr>
        <w:t xml:space="preserve">חברי הכנסת </w:t>
      </w:r>
      <w:r w:rsidR="00172217">
        <w:rPr>
          <w:rFonts w:cs="David" w:hint="cs"/>
          <w:rtl/>
        </w:rPr>
        <w:t>המציעים ביקשו</w:t>
      </w:r>
      <w:r>
        <w:rPr>
          <w:rFonts w:cs="David" w:hint="cs"/>
          <w:rtl/>
        </w:rPr>
        <w:t xml:space="preserve"> לקבוע עבירה חדשה בחוק העונשין</w:t>
      </w:r>
      <w:r w:rsidRPr="007C1296">
        <w:rPr>
          <w:rFonts w:cs="David"/>
          <w:rtl/>
        </w:rPr>
        <w:t xml:space="preserve">, </w:t>
      </w:r>
      <w:proofErr w:type="spellStart"/>
      <w:r w:rsidRPr="007C1296">
        <w:rPr>
          <w:rFonts w:cs="David"/>
          <w:rtl/>
        </w:rPr>
        <w:t>התשל"ז</w:t>
      </w:r>
      <w:proofErr w:type="spellEnd"/>
      <w:r w:rsidRPr="007C1296">
        <w:rPr>
          <w:rFonts w:cs="David"/>
          <w:rtl/>
        </w:rPr>
        <w:t>–1977</w:t>
      </w:r>
      <w:r>
        <w:rPr>
          <w:rFonts w:cs="David" w:hint="cs"/>
          <w:rtl/>
        </w:rPr>
        <w:t xml:space="preserve"> שעניינה קריאת שווא לעזרה לפניה למוקד חירום והצלה. הם הציעו</w:t>
      </w:r>
      <w:r w:rsidRPr="007C1296">
        <w:rPr>
          <w:rFonts w:cs="David"/>
          <w:rtl/>
        </w:rPr>
        <w:t xml:space="preserve"> כי קריאת שווא למוקד חירום והצלה – מוקד החירום של המשטרה, מגן דוד אדום, שירותי כבאות והצלה ודומיהם – תהיה עבירה פלילית שעונשה הקנס הקבוע בסעיף 61(א)(1) לחוק העונשין, </w:t>
      </w:r>
      <w:r>
        <w:rPr>
          <w:rFonts w:cs="David" w:hint="cs"/>
          <w:rtl/>
        </w:rPr>
        <w:t xml:space="preserve">שעומד על </w:t>
      </w:r>
      <w:r w:rsidRPr="007C1296">
        <w:rPr>
          <w:rFonts w:cs="David"/>
          <w:rtl/>
        </w:rPr>
        <w:t xml:space="preserve">14,400 </w:t>
      </w:r>
      <w:r>
        <w:rPr>
          <w:rFonts w:cs="David" w:hint="cs"/>
          <w:rtl/>
        </w:rPr>
        <w:t xml:space="preserve">₪; </w:t>
      </w:r>
      <w:r w:rsidRPr="007C1296">
        <w:rPr>
          <w:rFonts w:cs="David"/>
          <w:rtl/>
        </w:rPr>
        <w:t xml:space="preserve">במקרה של פניות שנעשו במטרה לשבש את עבודת כוחות החירום וההצלה, העונש על כך יהיה הקנס הקבוע בסעיף 61(א)(3) לחוק העונשין, שגובהו כיום הוא 75,300 </w:t>
      </w:r>
      <w:r>
        <w:rPr>
          <w:rFonts w:cs="David" w:hint="cs"/>
          <w:rtl/>
        </w:rPr>
        <w:t>₪</w:t>
      </w:r>
      <w:r w:rsidRPr="007C1296">
        <w:rPr>
          <w:rFonts w:cs="David"/>
          <w:rtl/>
        </w:rPr>
        <w:t>.</w:t>
      </w:r>
    </w:p>
    <w:p w:rsidR="007C1296" w:rsidRDefault="007C1296" w:rsidP="00172217">
      <w:pPr>
        <w:spacing w:line="360" w:lineRule="auto"/>
        <w:jc w:val="both"/>
        <w:rPr>
          <w:rFonts w:cs="David"/>
          <w:rtl/>
        </w:rPr>
      </w:pPr>
    </w:p>
    <w:p w:rsidR="007C1296" w:rsidRDefault="007C1296" w:rsidP="00172217">
      <w:pPr>
        <w:spacing w:line="360" w:lineRule="auto"/>
        <w:ind w:left="720"/>
        <w:jc w:val="both"/>
        <w:rPr>
          <w:rFonts w:cs="David"/>
          <w:rtl/>
        </w:rPr>
      </w:pPr>
      <w:r>
        <w:rPr>
          <w:rFonts w:cs="David" w:hint="cs"/>
          <w:rtl/>
        </w:rPr>
        <w:t xml:space="preserve">הסעיף המוצע: </w:t>
      </w:r>
    </w:p>
    <w:p w:rsidR="007C1296" w:rsidRDefault="007C1296" w:rsidP="00172217">
      <w:pPr>
        <w:spacing w:line="360" w:lineRule="auto"/>
        <w:ind w:left="720"/>
        <w:jc w:val="both"/>
        <w:rPr>
          <w:rFonts w:cs="David"/>
          <w:rtl/>
        </w:rPr>
      </w:pPr>
      <w:r w:rsidRPr="007C1296">
        <w:rPr>
          <w:rFonts w:cs="David"/>
          <w:rtl/>
        </w:rPr>
        <w:t>"</w:t>
      </w:r>
      <w:r>
        <w:rPr>
          <w:rFonts w:cs="David" w:hint="cs"/>
          <w:rtl/>
        </w:rPr>
        <w:t xml:space="preserve">159ב. </w:t>
      </w:r>
      <w:r w:rsidRPr="007C1296">
        <w:rPr>
          <w:rFonts w:cs="David"/>
          <w:rtl/>
        </w:rPr>
        <w:t>פניה למוקד חירום והצלה בקריאת שווא לעזרה</w:t>
      </w:r>
      <w:r w:rsidRPr="007C1296">
        <w:rPr>
          <w:rFonts w:cs="David"/>
          <w:rtl/>
        </w:rPr>
        <w:tab/>
      </w:r>
    </w:p>
    <w:p w:rsidR="007C1296" w:rsidRPr="007C1296" w:rsidRDefault="007C1296" w:rsidP="00172217">
      <w:pPr>
        <w:spacing w:line="360" w:lineRule="auto"/>
        <w:ind w:left="720"/>
        <w:jc w:val="both"/>
        <w:rPr>
          <w:rFonts w:cs="David"/>
          <w:rtl/>
        </w:rPr>
      </w:pPr>
      <w:r w:rsidRPr="007C1296">
        <w:rPr>
          <w:rFonts w:cs="David"/>
          <w:rtl/>
        </w:rPr>
        <w:t>הפונה למוקד חירום והצלה בקריאת שווא לעזרה, דינו – הקנס האמור בסעיף 61(א)(1); עשה זאת במטרה לשבש את עבודת כוחות החירום וההצלה, דינו – הקנס האמור בסעיף 61(א)(3); לעניין סעיף זה, "מוקד חירום והצלה" – לרבות מוקדי החירום של המשטרה, מגן דוד אדום, שירותי כבאות והצלה."</w:t>
      </w:r>
    </w:p>
    <w:p w:rsidR="007C1296" w:rsidRDefault="007C1296" w:rsidP="00172217">
      <w:pPr>
        <w:spacing w:line="360" w:lineRule="auto"/>
        <w:jc w:val="both"/>
        <w:rPr>
          <w:rFonts w:cs="David"/>
          <w:rtl/>
        </w:rPr>
      </w:pPr>
    </w:p>
    <w:p w:rsidR="000034D3" w:rsidRPr="000034D3" w:rsidRDefault="000034D3" w:rsidP="00172217">
      <w:pPr>
        <w:spacing w:line="360" w:lineRule="auto"/>
        <w:jc w:val="both"/>
        <w:rPr>
          <w:rFonts w:cs="David"/>
        </w:rPr>
      </w:pPr>
      <w:r>
        <w:rPr>
          <w:rFonts w:cs="David" w:hint="cs"/>
          <w:rtl/>
        </w:rPr>
        <w:t xml:space="preserve">נציגי משרד המשפטים </w:t>
      </w:r>
      <w:r w:rsidR="00172217">
        <w:rPr>
          <w:rFonts w:cs="David" w:hint="cs"/>
          <w:rtl/>
        </w:rPr>
        <w:t xml:space="preserve">ציינו </w:t>
      </w:r>
      <w:r>
        <w:rPr>
          <w:rFonts w:cs="David" w:hint="cs"/>
          <w:rtl/>
        </w:rPr>
        <w:t>כי אין צורך בסעיף חדש זה, שכן ההתנהגות המתוארת היא אסורה גם לפי החוק הקיים. סעיף 30 ל</w:t>
      </w:r>
      <w:r w:rsidRPr="000034D3">
        <w:rPr>
          <w:rFonts w:cs="David"/>
          <w:rtl/>
        </w:rPr>
        <w:t xml:space="preserve">חוק התקשורת (בזק ושידורים), </w:t>
      </w:r>
      <w:r>
        <w:rPr>
          <w:rFonts w:cs="David" w:hint="cs"/>
          <w:rtl/>
        </w:rPr>
        <w:t>ה</w:t>
      </w:r>
      <w:r>
        <w:rPr>
          <w:rFonts w:cs="David"/>
          <w:rtl/>
        </w:rPr>
        <w:t>תשמ"ב-1982</w:t>
      </w:r>
      <w:r>
        <w:rPr>
          <w:rFonts w:cs="David" w:hint="cs"/>
          <w:rtl/>
        </w:rPr>
        <w:t xml:space="preserve">, שכותרתו היא "הטרדה", </w:t>
      </w:r>
      <w:r w:rsidRPr="000034D3">
        <w:rPr>
          <w:rFonts w:cs="David" w:hint="cs"/>
          <w:rtl/>
        </w:rPr>
        <w:t>קובע כי:</w:t>
      </w:r>
    </w:p>
    <w:p w:rsidR="000034D3" w:rsidRDefault="000034D3" w:rsidP="00172217">
      <w:pPr>
        <w:shd w:val="clear" w:color="auto" w:fill="FFFFFF"/>
        <w:spacing w:before="100" w:beforeAutospacing="1" w:after="100" w:afterAutospacing="1" w:line="360" w:lineRule="auto"/>
        <w:ind w:left="720"/>
        <w:jc w:val="both"/>
        <w:rPr>
          <w:rFonts w:cs="David"/>
          <w:rtl/>
        </w:rPr>
      </w:pPr>
      <w:r w:rsidRPr="000034D3">
        <w:rPr>
          <w:rFonts w:cs="David" w:hint="cs"/>
          <w:rtl/>
        </w:rPr>
        <w:t>"</w:t>
      </w:r>
      <w:r w:rsidRPr="000034D3">
        <w:rPr>
          <w:rFonts w:cs="David"/>
          <w:rtl/>
        </w:rPr>
        <w:t>המשתמש במיתקן בזק באופן שישי בו כדי לפגוע</w:t>
      </w:r>
      <w:r w:rsidR="006271AF">
        <w:rPr>
          <w:rFonts w:cs="David" w:hint="cs"/>
          <w:rtl/>
        </w:rPr>
        <w:t>,</w:t>
      </w:r>
      <w:r w:rsidRPr="000034D3">
        <w:rPr>
          <w:rFonts w:cs="David"/>
          <w:rtl/>
        </w:rPr>
        <w:t xml:space="preserve"> להפחיד</w:t>
      </w:r>
      <w:r w:rsidR="006271AF">
        <w:rPr>
          <w:rFonts w:cs="David" w:hint="cs"/>
          <w:rtl/>
        </w:rPr>
        <w:t>,</w:t>
      </w:r>
      <w:r w:rsidRPr="000034D3">
        <w:rPr>
          <w:rFonts w:cs="David"/>
          <w:rtl/>
        </w:rPr>
        <w:t xml:space="preserve"> להטריד</w:t>
      </w:r>
      <w:r w:rsidR="006271AF">
        <w:rPr>
          <w:rFonts w:cs="David" w:hint="cs"/>
          <w:rtl/>
        </w:rPr>
        <w:t>,</w:t>
      </w:r>
      <w:r w:rsidRPr="000034D3">
        <w:rPr>
          <w:rFonts w:cs="David"/>
          <w:rtl/>
        </w:rPr>
        <w:t xml:space="preserve"> ליצור חרדה</w:t>
      </w:r>
      <w:r w:rsidR="006271AF">
        <w:rPr>
          <w:rFonts w:cs="David" w:hint="cs"/>
          <w:rtl/>
        </w:rPr>
        <w:t>,</w:t>
      </w:r>
      <w:r w:rsidRPr="000034D3">
        <w:rPr>
          <w:rFonts w:cs="David"/>
          <w:rtl/>
        </w:rPr>
        <w:t xml:space="preserve"> או להרגיז שלא כדין, דינו מאסר 3 שנים.</w:t>
      </w:r>
      <w:r w:rsidRPr="000034D3">
        <w:rPr>
          <w:rFonts w:cs="David" w:hint="cs"/>
          <w:rtl/>
        </w:rPr>
        <w:t>"</w:t>
      </w:r>
    </w:p>
    <w:p w:rsidR="000034D3" w:rsidRDefault="000034D3" w:rsidP="00172217">
      <w:pPr>
        <w:shd w:val="clear" w:color="auto" w:fill="FFFFFF"/>
        <w:spacing w:before="100" w:beforeAutospacing="1" w:after="100" w:afterAutospacing="1" w:line="360" w:lineRule="auto"/>
        <w:jc w:val="both"/>
        <w:rPr>
          <w:rFonts w:cs="David"/>
          <w:rtl/>
        </w:rPr>
      </w:pPr>
      <w:r>
        <w:rPr>
          <w:rFonts w:cs="David" w:hint="cs"/>
          <w:rtl/>
        </w:rPr>
        <w:t>המשטרה רשאית להעמיד לדין בגין עבירה זו אדם המטריד את מוקד החירום. כדי להקל על גורמי התביעה</w:t>
      </w:r>
      <w:r w:rsidR="00172217">
        <w:rPr>
          <w:rFonts w:cs="David" w:hint="cs"/>
          <w:rtl/>
        </w:rPr>
        <w:t xml:space="preserve"> בהעמדה לדין בעבירה זו</w:t>
      </w:r>
      <w:r>
        <w:rPr>
          <w:rFonts w:cs="David" w:hint="cs"/>
          <w:rtl/>
        </w:rPr>
        <w:t xml:space="preserve">, </w:t>
      </w:r>
      <w:r w:rsidR="00172217">
        <w:rPr>
          <w:rFonts w:cs="David" w:hint="cs"/>
          <w:rtl/>
        </w:rPr>
        <w:t xml:space="preserve">הציעו נציגי משרד המשפטים לחוקק </w:t>
      </w:r>
      <w:r>
        <w:rPr>
          <w:rFonts w:cs="David" w:hint="cs"/>
          <w:rtl/>
        </w:rPr>
        <w:t xml:space="preserve">חזקה חדשה </w:t>
      </w:r>
      <w:r w:rsidR="00172217">
        <w:rPr>
          <w:rFonts w:cs="David" w:hint="cs"/>
          <w:rtl/>
        </w:rPr>
        <w:t>לפיה</w:t>
      </w:r>
      <w:r>
        <w:rPr>
          <w:rFonts w:cs="David" w:hint="cs"/>
          <w:rtl/>
        </w:rPr>
        <w:t xml:space="preserve"> מי שמשתמש בנייד כדי להטריד מוקד חירום, יראו את בעל המנוי ב-</w:t>
      </w:r>
      <w:r>
        <w:rPr>
          <w:rFonts w:cs="David"/>
        </w:rPr>
        <w:t>sim</w:t>
      </w:r>
      <w:r>
        <w:rPr>
          <w:rFonts w:cs="David" w:hint="cs"/>
          <w:rtl/>
        </w:rPr>
        <w:t xml:space="preserve"> כאילו הוא עשה את השימוש בטלפון. הנאשם יוכל להפריך את החזקה אם הוא יוכיח </w:t>
      </w:r>
      <w:r w:rsidRPr="000034D3">
        <w:rPr>
          <w:rFonts w:cs="David"/>
          <w:rtl/>
        </w:rPr>
        <w:t>שאדם אחר עשה שימוש בטלפון, או כי מסר את החזקה בטלפון, או כי הטלפון נלקח ממנו בלי ידיעתו וללא הסכמתו</w:t>
      </w:r>
      <w:r w:rsidRPr="000034D3">
        <w:rPr>
          <w:rFonts w:cs="David" w:hint="cs"/>
          <w:rtl/>
        </w:rPr>
        <w:t>.</w:t>
      </w:r>
      <w:r>
        <w:rPr>
          <w:rFonts w:cs="David" w:hint="cs"/>
          <w:rtl/>
        </w:rPr>
        <w:t xml:space="preserve"> </w:t>
      </w:r>
    </w:p>
    <w:p w:rsidR="000034D3" w:rsidRPr="00172217" w:rsidRDefault="006271AF" w:rsidP="00172217">
      <w:pPr>
        <w:shd w:val="clear" w:color="auto" w:fill="FFFFFF"/>
        <w:spacing w:before="100" w:beforeAutospacing="1" w:after="100" w:afterAutospacing="1" w:line="360" w:lineRule="auto"/>
        <w:jc w:val="both"/>
        <w:rPr>
          <w:rFonts w:cs="David"/>
          <w:b/>
          <w:bCs/>
          <w:u w:val="single"/>
          <w:rtl/>
        </w:rPr>
      </w:pPr>
      <w:r w:rsidRPr="00172217">
        <w:rPr>
          <w:rFonts w:cs="David" w:hint="cs"/>
          <w:b/>
          <w:bCs/>
          <w:u w:val="single"/>
          <w:rtl/>
        </w:rPr>
        <w:t>נוסח מוצע לדיון:</w:t>
      </w:r>
    </w:p>
    <w:p w:rsidR="006271AF" w:rsidRDefault="006271AF" w:rsidP="00091BAE">
      <w:pPr>
        <w:shd w:val="clear" w:color="auto" w:fill="FFFFFF"/>
        <w:spacing w:before="100" w:beforeAutospacing="1" w:after="100" w:afterAutospacing="1" w:line="360" w:lineRule="auto"/>
        <w:jc w:val="both"/>
        <w:rPr>
          <w:rFonts w:cs="David"/>
          <w:rtl/>
        </w:rPr>
      </w:pPr>
      <w:r>
        <w:rPr>
          <w:rFonts w:cs="David" w:hint="cs"/>
          <w:rtl/>
        </w:rPr>
        <w:t>אנו מסכימים כי גם היום אפשר להעמיד לדין לפי סעיף 30 לחוק התקשורת במקרים החמורים, בהם יש בפניי</w:t>
      </w:r>
      <w:r w:rsidR="00172217">
        <w:rPr>
          <w:rFonts w:cs="David" w:hint="cs"/>
          <w:rtl/>
        </w:rPr>
        <w:t>ת</w:t>
      </w:r>
      <w:r>
        <w:rPr>
          <w:rFonts w:cs="David" w:hint="cs"/>
          <w:rtl/>
        </w:rPr>
        <w:t xml:space="preserve"> שווא </w:t>
      </w:r>
      <w:r w:rsidR="00172217">
        <w:rPr>
          <w:rFonts w:cs="David" w:hint="cs"/>
          <w:rtl/>
        </w:rPr>
        <w:t xml:space="preserve">למוקד </w:t>
      </w:r>
      <w:r>
        <w:rPr>
          <w:rFonts w:cs="David" w:hint="cs"/>
          <w:rtl/>
        </w:rPr>
        <w:t xml:space="preserve">כדי להטריד את המוקד. אולם, יש לעבירה </w:t>
      </w:r>
      <w:r w:rsidR="00172217">
        <w:rPr>
          <w:rFonts w:cs="David" w:hint="cs"/>
          <w:rtl/>
        </w:rPr>
        <w:t xml:space="preserve">החדשה </w:t>
      </w:r>
      <w:r>
        <w:rPr>
          <w:rFonts w:cs="David" w:hint="cs"/>
          <w:rtl/>
        </w:rPr>
        <w:t xml:space="preserve">המוצעת על ידי חברי הכנסת ערך מוגן חשוב </w:t>
      </w:r>
      <w:r>
        <w:rPr>
          <w:rFonts w:cs="David" w:hint="eastAsia"/>
          <w:rtl/>
        </w:rPr>
        <w:t xml:space="preserve">– הגנה </w:t>
      </w:r>
      <w:r w:rsidR="00F01B25">
        <w:rPr>
          <w:rFonts w:cs="David" w:hint="cs"/>
          <w:rtl/>
        </w:rPr>
        <w:t>ע</w:t>
      </w:r>
      <w:r>
        <w:rPr>
          <w:rFonts w:cs="David" w:hint="eastAsia"/>
          <w:rtl/>
        </w:rPr>
        <w:t>ל מוקדי החירום מפני הטרדה –</w:t>
      </w:r>
      <w:r>
        <w:rPr>
          <w:rFonts w:cs="David" w:hint="cs"/>
          <w:rtl/>
        </w:rPr>
        <w:t xml:space="preserve"> השונה מהערך המוגן בסעיף 30 הקיים</w:t>
      </w:r>
      <w:r w:rsidR="00091BAE">
        <w:rPr>
          <w:rFonts w:cs="David" w:hint="cs"/>
          <w:rtl/>
        </w:rPr>
        <w:t>, שעניינו הצקה והטרדה גם בין אנשים לבין עצמם</w:t>
      </w:r>
      <w:r w:rsidR="00172217">
        <w:rPr>
          <w:rFonts w:cs="David" w:hint="cs"/>
          <w:rtl/>
        </w:rPr>
        <w:t>, ויכול להצדיקה יצירת עבירה חדשה</w:t>
      </w:r>
      <w:r>
        <w:rPr>
          <w:rFonts w:cs="David" w:hint="cs"/>
          <w:rtl/>
        </w:rPr>
        <w:t xml:space="preserve">. לכן לטעמנו אין מניעה להוסיף עבירה חדשה (בחוק הבזק) שעניינה פניית שווא למוקד חירום. </w:t>
      </w:r>
      <w:r w:rsidR="00091BAE">
        <w:rPr>
          <w:rFonts w:cs="David" w:hint="cs"/>
          <w:rtl/>
        </w:rPr>
        <w:t>בנוסף, נמסר לנו על ידי הממשלה שאחרי שההצעה תחוקק, תישקל הפיכתה לעבירת קנס כך שניתן יהיה לאכוף מקרים קלים שלה לא באמצעות העמדה לדין פלילי אלא באכיפה מנהלית. אם כך הדבר,</w:t>
      </w:r>
      <w:r w:rsidR="00F01B25">
        <w:rPr>
          <w:rFonts w:cs="David" w:hint="cs"/>
          <w:rtl/>
        </w:rPr>
        <w:t xml:space="preserve"> נכון לקבוע עבירה </w:t>
      </w:r>
      <w:r w:rsidR="00172217">
        <w:rPr>
          <w:rFonts w:cs="David" w:hint="cs"/>
          <w:rtl/>
        </w:rPr>
        <w:t>מובחנ</w:t>
      </w:r>
      <w:r w:rsidR="00F01B25">
        <w:rPr>
          <w:rFonts w:cs="David" w:hint="cs"/>
          <w:rtl/>
        </w:rPr>
        <w:t>ת בעניין, ולא להפוך את סעיף 30 כולו לעבירת קנס</w:t>
      </w:r>
      <w:r w:rsidR="00091BAE">
        <w:rPr>
          <w:rFonts w:cs="David" w:hint="cs"/>
          <w:rtl/>
        </w:rPr>
        <w:t xml:space="preserve"> (הוא כולל </w:t>
      </w:r>
      <w:r w:rsidR="00091BAE">
        <w:rPr>
          <w:rFonts w:cs="David" w:hint="cs"/>
          <w:rtl/>
        </w:rPr>
        <w:lastRenderedPageBreak/>
        <w:t>יסוד נפשי מיוחד שאינו מתאים לאכיפה מנהלית)</w:t>
      </w:r>
      <w:r w:rsidR="00F01B25">
        <w:rPr>
          <w:rFonts w:cs="David" w:hint="cs"/>
          <w:rtl/>
        </w:rPr>
        <w:t xml:space="preserve">. </w:t>
      </w:r>
      <w:r>
        <w:rPr>
          <w:rFonts w:cs="David" w:hint="cs"/>
          <w:rtl/>
        </w:rPr>
        <w:t xml:space="preserve">אנו מציעים נוסח </w:t>
      </w:r>
      <w:r w:rsidR="00172217">
        <w:rPr>
          <w:rFonts w:cs="David" w:hint="cs"/>
          <w:rtl/>
        </w:rPr>
        <w:t>ש</w:t>
      </w:r>
      <w:r>
        <w:rPr>
          <w:rFonts w:cs="David" w:hint="cs"/>
          <w:rtl/>
        </w:rPr>
        <w:t>שונה במעט מהנוסח שעבר בקריאה הטרומית:</w:t>
      </w:r>
    </w:p>
    <w:p w:rsidR="006271AF" w:rsidRPr="006271AF" w:rsidRDefault="00F01B25" w:rsidP="00172217">
      <w:pPr>
        <w:pStyle w:val="a6"/>
        <w:numPr>
          <w:ilvl w:val="0"/>
          <w:numId w:val="1"/>
        </w:numPr>
        <w:shd w:val="clear" w:color="auto" w:fill="FFFFFF"/>
        <w:spacing w:before="100" w:beforeAutospacing="1" w:after="100" w:afterAutospacing="1" w:line="360" w:lineRule="auto"/>
        <w:jc w:val="both"/>
        <w:rPr>
          <w:rFonts w:cs="David"/>
          <w:rtl/>
        </w:rPr>
      </w:pPr>
      <w:r>
        <w:rPr>
          <w:rFonts w:cs="David" w:hint="cs"/>
          <w:rtl/>
        </w:rPr>
        <w:t>המציעים</w:t>
      </w:r>
      <w:r w:rsidR="006271AF" w:rsidRPr="006271AF">
        <w:rPr>
          <w:rFonts w:cs="David" w:hint="cs"/>
          <w:rtl/>
        </w:rPr>
        <w:t xml:space="preserve"> ביקש</w:t>
      </w:r>
      <w:r>
        <w:rPr>
          <w:rFonts w:cs="David" w:hint="cs"/>
          <w:rtl/>
        </w:rPr>
        <w:t>ו</w:t>
      </w:r>
      <w:r w:rsidR="006271AF" w:rsidRPr="006271AF">
        <w:rPr>
          <w:rFonts w:cs="David" w:hint="cs"/>
          <w:rtl/>
        </w:rPr>
        <w:t xml:space="preserve"> להפליל מי שפונה למוקד בקריאת שווא </w:t>
      </w:r>
      <w:r w:rsidR="006271AF" w:rsidRPr="006271AF">
        <w:rPr>
          <w:rFonts w:cs="David" w:hint="cs"/>
          <w:u w:val="single"/>
          <w:rtl/>
        </w:rPr>
        <w:t>לעזרה</w:t>
      </w:r>
      <w:r w:rsidR="006271AF" w:rsidRPr="006271AF">
        <w:rPr>
          <w:rFonts w:cs="David" w:hint="cs"/>
          <w:rtl/>
        </w:rPr>
        <w:t>. הבנו שחלק ניכר מההטרדות</w:t>
      </w:r>
      <w:r w:rsidR="00172217">
        <w:rPr>
          <w:rFonts w:cs="David" w:hint="cs"/>
          <w:rtl/>
        </w:rPr>
        <w:t xml:space="preserve"> למוקדי החירום אינן פניות ל</w:t>
      </w:r>
      <w:r w:rsidR="006271AF">
        <w:rPr>
          <w:rFonts w:cs="David" w:hint="cs"/>
          <w:rtl/>
        </w:rPr>
        <w:t xml:space="preserve">עזרה דווקא, אלא </w:t>
      </w:r>
      <w:r w:rsidR="00172217">
        <w:rPr>
          <w:rFonts w:cs="David" w:hint="cs"/>
          <w:rtl/>
        </w:rPr>
        <w:t>פניות ש</w:t>
      </w:r>
      <w:r w:rsidR="006271AF">
        <w:rPr>
          <w:rFonts w:cs="David" w:hint="cs"/>
          <w:rtl/>
        </w:rPr>
        <w:t>מציקות בדרכים שונות. לכן מוצע כי כל פנייה שווא תהווה עבירה פלילית.</w:t>
      </w:r>
    </w:p>
    <w:p w:rsidR="006271AF" w:rsidRDefault="00F01B25" w:rsidP="00091BAE">
      <w:pPr>
        <w:pStyle w:val="a6"/>
        <w:numPr>
          <w:ilvl w:val="0"/>
          <w:numId w:val="1"/>
        </w:numPr>
        <w:shd w:val="clear" w:color="auto" w:fill="FFFFFF"/>
        <w:spacing w:before="100" w:beforeAutospacing="1" w:after="100" w:afterAutospacing="1" w:line="360" w:lineRule="auto"/>
        <w:jc w:val="both"/>
        <w:rPr>
          <w:rFonts w:cs="David"/>
        </w:rPr>
      </w:pPr>
      <w:r>
        <w:rPr>
          <w:rFonts w:cs="David" w:hint="cs"/>
          <w:rtl/>
        </w:rPr>
        <w:t xml:space="preserve">המציעים ביקשו לקבוע עבירה חמורה, עם קנס </w:t>
      </w:r>
      <w:proofErr w:type="spellStart"/>
      <w:r>
        <w:rPr>
          <w:rFonts w:cs="David" w:hint="cs"/>
          <w:rtl/>
        </w:rPr>
        <w:t>מירבי</w:t>
      </w:r>
      <w:proofErr w:type="spellEnd"/>
      <w:r>
        <w:rPr>
          <w:rFonts w:cs="David" w:hint="cs"/>
          <w:rtl/>
        </w:rPr>
        <w:t xml:space="preserve"> גבוה יותר, למי שפונה "במטרה לשבש את עבודת כוחות החירום". כאמור, הבנו שיש כוונה בעתיד לבקש לקבוע את העבירה כעבירת קנס, כך שהשוטר יוכל להטיל קנס על הפונה בקריאת שווא. אם כן, לטעמנו עדיף שלא לקבוע עבירה שדורשת </w:t>
      </w:r>
      <w:r w:rsidR="00091BAE">
        <w:rPr>
          <w:rFonts w:cs="David" w:hint="cs"/>
          <w:rtl/>
        </w:rPr>
        <w:t xml:space="preserve">יסוד נפשי מיוחד (של </w:t>
      </w:r>
      <w:r>
        <w:rPr>
          <w:rFonts w:cs="David" w:hint="cs"/>
          <w:rtl/>
        </w:rPr>
        <w:t>מטרה</w:t>
      </w:r>
      <w:r w:rsidR="00091BAE">
        <w:rPr>
          <w:rFonts w:cs="David" w:hint="cs"/>
          <w:rtl/>
        </w:rPr>
        <w:t xml:space="preserve"> להזיק)</w:t>
      </w:r>
      <w:r>
        <w:rPr>
          <w:rFonts w:cs="David" w:hint="cs"/>
          <w:rtl/>
        </w:rPr>
        <w:t xml:space="preserve">, שכן </w:t>
      </w:r>
      <w:r w:rsidR="00091BAE">
        <w:rPr>
          <w:rFonts w:cs="David" w:hint="cs"/>
          <w:rtl/>
        </w:rPr>
        <w:t>זו לא תהיה</w:t>
      </w:r>
      <w:r>
        <w:rPr>
          <w:rFonts w:cs="David" w:hint="cs"/>
          <w:rtl/>
        </w:rPr>
        <w:t xml:space="preserve"> מתאימה לקביעתה כעבירת קנס. לכן במקום הנסיבות המחמירות שהוצעו על ידי המציעים, מוצע לקבוע עונש חמור יותר אם "</w:t>
      </w:r>
      <w:r w:rsidRPr="00F01B25">
        <w:rPr>
          <w:rFonts w:cs="David"/>
          <w:rtl/>
        </w:rPr>
        <w:t>הביאה הפנייה לפעולות מטעם מוקד החירום שהיו כרוכות בהקצאת משאבים של ממש</w:t>
      </w:r>
      <w:r>
        <w:rPr>
          <w:rFonts w:cs="David" w:hint="cs"/>
          <w:rtl/>
        </w:rPr>
        <w:t>".</w:t>
      </w:r>
    </w:p>
    <w:p w:rsidR="00F01B25" w:rsidRPr="006271AF" w:rsidRDefault="00F01B25" w:rsidP="00172217">
      <w:pPr>
        <w:pStyle w:val="a6"/>
        <w:numPr>
          <w:ilvl w:val="0"/>
          <w:numId w:val="1"/>
        </w:numPr>
        <w:shd w:val="clear" w:color="auto" w:fill="FFFFFF"/>
        <w:spacing w:before="100" w:beforeAutospacing="1" w:after="100" w:afterAutospacing="1" w:line="360" w:lineRule="auto"/>
        <w:jc w:val="both"/>
        <w:rPr>
          <w:rFonts w:cs="David"/>
          <w:rtl/>
        </w:rPr>
      </w:pPr>
      <w:r>
        <w:rPr>
          <w:rFonts w:cs="David" w:hint="cs"/>
          <w:rtl/>
        </w:rPr>
        <w:t>לבסוף, אנו מציעים להוסיף חזקה שדומה לחזקה שהוצעה על ידי משרד המשפטים, כדי להקל על גורמי האכיפה.</w:t>
      </w:r>
      <w:r w:rsidR="003F34E2">
        <w:rPr>
          <w:rFonts w:cs="David" w:hint="cs"/>
          <w:rtl/>
        </w:rPr>
        <w:t xml:space="preserve"> </w:t>
      </w:r>
      <w:r w:rsidR="00172217">
        <w:rPr>
          <w:rFonts w:cs="David" w:hint="cs"/>
          <w:rtl/>
        </w:rPr>
        <w:t xml:space="preserve">כידוע, </w:t>
      </w:r>
      <w:r w:rsidR="003F34E2">
        <w:rPr>
          <w:rFonts w:cs="David" w:hint="cs"/>
          <w:rtl/>
        </w:rPr>
        <w:t xml:space="preserve">בדין הפלילי </w:t>
      </w:r>
      <w:r w:rsidR="003F34E2">
        <w:rPr>
          <w:rFonts w:asciiTheme="minorHAnsi" w:eastAsiaTheme="minorHAnsi" w:hAnsiTheme="minorHAnsi" w:cs="David" w:hint="cs"/>
          <w:rtl/>
          <w:lang w:eastAsia="en-US"/>
        </w:rPr>
        <w:t>יש למעט בשימוש בחזקה</w:t>
      </w:r>
      <w:r w:rsidR="003F34E2" w:rsidRPr="003F34E2">
        <w:rPr>
          <w:rFonts w:asciiTheme="minorHAnsi" w:eastAsiaTheme="minorHAnsi" w:hAnsiTheme="minorHAnsi" w:cs="David" w:hint="cs"/>
          <w:rtl/>
          <w:lang w:eastAsia="en-US"/>
        </w:rPr>
        <w:t xml:space="preserve">, שמשמעה היא </w:t>
      </w:r>
      <w:r w:rsidR="00172217">
        <w:rPr>
          <w:rFonts w:asciiTheme="minorHAnsi" w:eastAsiaTheme="minorHAnsi" w:hAnsiTheme="minorHAnsi" w:cs="David" w:hint="cs"/>
          <w:rtl/>
          <w:lang w:eastAsia="en-US"/>
        </w:rPr>
        <w:t xml:space="preserve">שהתביעה איננה צריכה </w:t>
      </w:r>
      <w:r w:rsidR="003F34E2" w:rsidRPr="003F34E2">
        <w:rPr>
          <w:rFonts w:asciiTheme="minorHAnsi" w:eastAsiaTheme="minorHAnsi" w:hAnsiTheme="minorHAnsi" w:cs="David" w:hint="cs"/>
          <w:rtl/>
          <w:lang w:eastAsia="en-US"/>
        </w:rPr>
        <w:t>להוכיח יסוד בעבירה</w:t>
      </w:r>
      <w:r w:rsidR="003F34E2">
        <w:rPr>
          <w:rFonts w:asciiTheme="minorHAnsi" w:eastAsiaTheme="minorHAnsi" w:hAnsiTheme="minorHAnsi" w:cs="David" w:hint="cs"/>
          <w:rtl/>
          <w:lang w:eastAsia="en-US"/>
        </w:rPr>
        <w:t>.</w:t>
      </w:r>
      <w:r>
        <w:rPr>
          <w:rFonts w:cs="David" w:hint="cs"/>
          <w:rtl/>
        </w:rPr>
        <w:t xml:space="preserve"> </w:t>
      </w:r>
      <w:r w:rsidR="003F34E2">
        <w:rPr>
          <w:rFonts w:cs="David" w:hint="cs"/>
          <w:rtl/>
        </w:rPr>
        <w:t>אם בכל זאת משתכנעים כי יש צורך מיוחד בחזקה, בגלל שהמידע הדרוש נמצא בידי</w:t>
      </w:r>
      <w:r w:rsidR="00172217">
        <w:rPr>
          <w:rFonts w:cs="David" w:hint="cs"/>
          <w:rtl/>
        </w:rPr>
        <w:t xml:space="preserve"> הנאשם</w:t>
      </w:r>
      <w:r w:rsidR="003F34E2">
        <w:rPr>
          <w:rFonts w:cs="David" w:hint="cs"/>
          <w:rtl/>
        </w:rPr>
        <w:t xml:space="preserve"> ולא בידי המדינה</w:t>
      </w:r>
      <w:r w:rsidR="00172217">
        <w:rPr>
          <w:rFonts w:cs="David" w:hint="cs"/>
          <w:rtl/>
        </w:rPr>
        <w:t>,</w:t>
      </w:r>
      <w:r w:rsidR="003F34E2">
        <w:rPr>
          <w:rFonts w:cs="David" w:hint="cs"/>
          <w:rtl/>
        </w:rPr>
        <w:t xml:space="preserve"> ולכן קשה עד מאוד למדינה להוכיח את הטענה, יש גם לוודא </w:t>
      </w:r>
      <w:r w:rsidR="00172217">
        <w:rPr>
          <w:rFonts w:cs="David" w:hint="cs"/>
          <w:rtl/>
        </w:rPr>
        <w:t>שהחזקה</w:t>
      </w:r>
      <w:r w:rsidR="003F34E2">
        <w:rPr>
          <w:rFonts w:cs="David" w:hint="cs"/>
          <w:rtl/>
        </w:rPr>
        <w:t xml:space="preserve"> הקבועה היא </w:t>
      </w:r>
      <w:r w:rsidR="003F34E2" w:rsidRPr="003F34E2">
        <w:rPr>
          <w:rFonts w:cs="David"/>
          <w:rtl/>
        </w:rPr>
        <w:t>בדרך כלל נכונה מבחינה עובדתית,</w:t>
      </w:r>
      <w:r w:rsidR="003F34E2">
        <w:rPr>
          <w:rFonts w:cs="David" w:hint="cs"/>
          <w:rtl/>
        </w:rPr>
        <w:t xml:space="preserve"> וכי יש לנאשם דרך להפריכה כאשר היא איננה נכונה במקרה </w:t>
      </w:r>
      <w:r w:rsidR="00172217">
        <w:rPr>
          <w:rFonts w:cs="David" w:hint="cs"/>
          <w:rtl/>
        </w:rPr>
        <w:t xml:space="preserve">הקונקרטי </w:t>
      </w:r>
      <w:r w:rsidR="003F34E2">
        <w:rPr>
          <w:rFonts w:cs="David" w:hint="cs"/>
          <w:rtl/>
        </w:rPr>
        <w:t xml:space="preserve">שלו. לכן אנו מציעים </w:t>
      </w:r>
      <w:r w:rsidR="006F031E">
        <w:rPr>
          <w:rFonts w:cs="David" w:hint="cs"/>
          <w:rtl/>
        </w:rPr>
        <w:t xml:space="preserve">כי החזקה תחול רק על בגירים </w:t>
      </w:r>
      <w:r w:rsidR="003F34E2">
        <w:rPr>
          <w:rFonts w:cs="David"/>
          <w:rtl/>
        </w:rPr>
        <w:t>–</w:t>
      </w:r>
      <w:r w:rsidR="003F34E2">
        <w:rPr>
          <w:rFonts w:cs="David" w:hint="cs"/>
          <w:rtl/>
        </w:rPr>
        <w:t xml:space="preserve"> אצל</w:t>
      </w:r>
      <w:r w:rsidR="006F031E">
        <w:rPr>
          <w:rFonts w:cs="David" w:hint="cs"/>
          <w:rtl/>
        </w:rPr>
        <w:t xml:space="preserve"> נערים יש סיכוי יותר גבוה שאחד משתמש בטלפון של השני, ולכן יכול להיות שהחזקה איננה </w:t>
      </w:r>
      <w:r w:rsidR="003F34E2">
        <w:rPr>
          <w:rFonts w:cs="David" w:hint="cs"/>
          <w:rtl/>
        </w:rPr>
        <w:t xml:space="preserve">עומדת במבחן המציאות. בנוסף, מוצע לאפשר לנאשם להפריך את החזקה אם עורר ספק סביר בעניין, שזוהי דרך מקובלת בדין הפלילי </w:t>
      </w:r>
      <w:r w:rsidR="003F34E2">
        <w:rPr>
          <w:rFonts w:cs="David"/>
          <w:rtl/>
        </w:rPr>
        <w:t>–</w:t>
      </w:r>
      <w:r w:rsidR="003F34E2">
        <w:rPr>
          <w:rFonts w:cs="David" w:hint="cs"/>
          <w:rtl/>
        </w:rPr>
        <w:t xml:space="preserve"> ולא להגביל את הדרכים בהן הוא יכול להפריך את החזקה. </w:t>
      </w:r>
      <w:r w:rsidR="006F031E">
        <w:rPr>
          <w:rFonts w:cs="David" w:hint="cs"/>
          <w:rtl/>
        </w:rPr>
        <w:t xml:space="preserve"> </w:t>
      </w:r>
    </w:p>
    <w:p w:rsidR="006271AF" w:rsidRDefault="006271AF" w:rsidP="000034D3">
      <w:pPr>
        <w:shd w:val="clear" w:color="auto" w:fill="FFFFFF"/>
        <w:spacing w:before="100" w:beforeAutospacing="1" w:after="100" w:afterAutospacing="1"/>
        <w:rPr>
          <w:rFonts w:cs="David"/>
          <w:b/>
          <w:bCs/>
          <w:u w:val="single"/>
          <w:rtl/>
        </w:rPr>
      </w:pPr>
      <w:r>
        <w:rPr>
          <w:rFonts w:cs="David" w:hint="cs"/>
          <w:b/>
          <w:bCs/>
          <w:u w:val="single"/>
          <w:rtl/>
        </w:rPr>
        <w:t>נוסח מוצע לדיון:</w:t>
      </w:r>
    </w:p>
    <w:p w:rsidR="006271AF" w:rsidRPr="006271AF" w:rsidRDefault="006271AF" w:rsidP="006271AF">
      <w:pPr>
        <w:pStyle w:val="NormalWeb"/>
        <w:shd w:val="clear" w:color="auto" w:fill="FFFFFF"/>
        <w:bidi/>
        <w:spacing w:after="0" w:afterAutospacing="0"/>
        <w:ind w:left="1440" w:right="1134"/>
        <w:rPr>
          <w:rFonts w:ascii="Arial" w:hAnsi="Arial" w:cs="David"/>
          <w:color w:val="222222"/>
          <w:sz w:val="26"/>
          <w:szCs w:val="26"/>
        </w:rPr>
      </w:pPr>
      <w:r w:rsidRPr="006271AF">
        <w:rPr>
          <w:rFonts w:ascii="Arial" w:hAnsi="Arial" w:cs="David" w:hint="cs"/>
          <w:b/>
          <w:bCs/>
          <w:color w:val="222222"/>
          <w:sz w:val="26"/>
          <w:szCs w:val="26"/>
          <w:rtl/>
        </w:rPr>
        <w:t>"הטרדה</w:t>
      </w:r>
    </w:p>
    <w:p w:rsidR="006271AF" w:rsidRPr="006271AF" w:rsidRDefault="006271AF" w:rsidP="006271AF">
      <w:pPr>
        <w:pStyle w:val="NormalWeb"/>
        <w:shd w:val="clear" w:color="auto" w:fill="FFFFFF"/>
        <w:bidi/>
        <w:spacing w:after="0" w:afterAutospacing="0"/>
        <w:ind w:left="1440" w:right="1134"/>
        <w:jc w:val="both"/>
        <w:rPr>
          <w:rFonts w:ascii="Arial" w:hAnsi="Arial" w:cs="David"/>
          <w:color w:val="222222"/>
          <w:sz w:val="26"/>
          <w:szCs w:val="26"/>
          <w:rtl/>
        </w:rPr>
      </w:pPr>
      <w:r w:rsidRPr="006271AF">
        <w:rPr>
          <w:rFonts w:ascii="Arial" w:hAnsi="Arial" w:cs="David" w:hint="cs"/>
          <w:color w:val="000000"/>
          <w:sz w:val="26"/>
          <w:szCs w:val="26"/>
          <w:rtl/>
        </w:rPr>
        <w:t>30.  המשתמש במיתקן בזק באופן שיש בו כדי לפגוע, להפחיד, להטריד, ליצור חרדה או להרגיז שלא כדין, דינו - מאסר שלוש שנים.</w:t>
      </w:r>
    </w:p>
    <w:p w:rsidR="006271AF" w:rsidRDefault="006271AF" w:rsidP="006271AF">
      <w:pPr>
        <w:pStyle w:val="NormalWeb"/>
        <w:shd w:val="clear" w:color="auto" w:fill="FFFFFF"/>
        <w:bidi/>
        <w:spacing w:after="0" w:afterAutospacing="0" w:line="360" w:lineRule="auto"/>
        <w:ind w:left="1440" w:right="1134"/>
        <w:contextualSpacing/>
        <w:jc w:val="both"/>
        <w:rPr>
          <w:rFonts w:ascii="Arial" w:hAnsi="Arial" w:cs="David"/>
          <w:b/>
          <w:bCs/>
          <w:color w:val="FF0000"/>
          <w:sz w:val="26"/>
          <w:szCs w:val="26"/>
          <w:rtl/>
        </w:rPr>
      </w:pPr>
      <w:r w:rsidRPr="006271AF">
        <w:rPr>
          <w:rFonts w:ascii="Arial" w:hAnsi="Arial" w:cs="David"/>
          <w:color w:val="000000"/>
          <w:sz w:val="26"/>
          <w:szCs w:val="26"/>
        </w:rPr>
        <w:t> </w:t>
      </w:r>
    </w:p>
    <w:p w:rsidR="006271AF" w:rsidRPr="006271AF" w:rsidRDefault="006271AF" w:rsidP="006271AF">
      <w:pPr>
        <w:pStyle w:val="NormalWeb"/>
        <w:shd w:val="clear" w:color="auto" w:fill="FFFFFF"/>
        <w:bidi/>
        <w:spacing w:after="0" w:afterAutospacing="0" w:line="360" w:lineRule="auto"/>
        <w:ind w:left="1440" w:right="1134"/>
        <w:contextualSpacing/>
        <w:jc w:val="both"/>
        <w:rPr>
          <w:rFonts w:ascii="Arial" w:hAnsi="Arial" w:cs="David"/>
          <w:color w:val="222222"/>
          <w:sz w:val="26"/>
          <w:szCs w:val="26"/>
          <w:u w:val="single"/>
          <w:rtl/>
        </w:rPr>
      </w:pPr>
      <w:r w:rsidRPr="006271AF">
        <w:rPr>
          <w:rFonts w:ascii="Arial" w:hAnsi="Arial" w:cs="David" w:hint="cs"/>
          <w:b/>
          <w:bCs/>
          <w:color w:val="FF0000"/>
          <w:sz w:val="26"/>
          <w:szCs w:val="26"/>
          <w:u w:val="single"/>
          <w:rtl/>
        </w:rPr>
        <w:t>הוספת סעיף 30א: פניית שווא למוקד חירום</w:t>
      </w:r>
    </w:p>
    <w:p w:rsidR="008F3A46" w:rsidRPr="006271AF" w:rsidRDefault="006271AF" w:rsidP="008F3A46">
      <w:pPr>
        <w:pStyle w:val="NormalWeb"/>
        <w:shd w:val="clear" w:color="auto" w:fill="FFFFFF"/>
        <w:bidi/>
        <w:spacing w:after="0" w:afterAutospacing="0" w:line="360" w:lineRule="auto"/>
        <w:ind w:left="1440" w:right="1134"/>
        <w:contextualSpacing/>
        <w:jc w:val="both"/>
        <w:rPr>
          <w:rFonts w:ascii="Arial" w:hAnsi="Arial" w:cs="David"/>
          <w:color w:val="222222"/>
          <w:sz w:val="26"/>
          <w:szCs w:val="26"/>
        </w:rPr>
      </w:pPr>
      <w:r w:rsidRPr="006271AF">
        <w:rPr>
          <w:rFonts w:ascii="Arial" w:hAnsi="Arial" w:cs="David" w:hint="cs"/>
          <w:color w:val="FF0000"/>
          <w:sz w:val="26"/>
          <w:szCs w:val="26"/>
          <w:rtl/>
        </w:rPr>
        <w:t>הפונה בפניית שווא למוקד החירום של משטרת ישראל, מגן דוד אדום ורשות הכיבוי וההצלה, דינו – הקנס האמור בסעיף 61(א)(1)</w:t>
      </w:r>
      <w:r w:rsidR="008F3A46">
        <w:rPr>
          <w:rFonts w:ascii="Arial" w:hAnsi="Arial" w:cs="David" w:hint="cs"/>
          <w:color w:val="FF0000"/>
          <w:sz w:val="26"/>
          <w:szCs w:val="26"/>
          <w:rtl/>
        </w:rPr>
        <w:t xml:space="preserve"> [14,400 ₪]</w:t>
      </w:r>
      <w:r w:rsidRPr="006271AF">
        <w:rPr>
          <w:rFonts w:ascii="Arial" w:hAnsi="Arial" w:cs="David" w:hint="cs"/>
          <w:color w:val="FF0000"/>
          <w:sz w:val="26"/>
          <w:szCs w:val="26"/>
          <w:rtl/>
        </w:rPr>
        <w:t>; הביאה הפנייה לפעולות מטעם מוקד החירום שהיו כרוכות בהקצאת משאבים של ממש , דינו – הקנס האמור בסעיף 61(א)(3)</w:t>
      </w:r>
      <w:r w:rsidR="008F3A46">
        <w:rPr>
          <w:rFonts w:ascii="Arial" w:hAnsi="Arial" w:cs="David" w:hint="cs"/>
          <w:color w:val="FF0000"/>
          <w:sz w:val="26"/>
          <w:szCs w:val="26"/>
          <w:rtl/>
        </w:rPr>
        <w:t xml:space="preserve"> [75,300 ₪]</w:t>
      </w:r>
      <w:r w:rsidRPr="006271AF">
        <w:rPr>
          <w:rFonts w:ascii="Arial" w:hAnsi="Arial" w:cs="David" w:hint="cs"/>
          <w:color w:val="FF0000"/>
          <w:sz w:val="26"/>
          <w:szCs w:val="26"/>
          <w:rtl/>
        </w:rPr>
        <w:t>; לעניין סעיף זה,</w:t>
      </w:r>
      <w:r w:rsidRPr="006271AF">
        <w:rPr>
          <w:rStyle w:val="apple-converted-space"/>
          <w:rFonts w:eastAsia="Arial Unicode MS" w:cs="David" w:hint="cs"/>
          <w:color w:val="FF0000"/>
          <w:sz w:val="26"/>
          <w:szCs w:val="26"/>
          <w:rtl/>
        </w:rPr>
        <w:t> </w:t>
      </w:r>
      <w:r w:rsidRPr="006271AF">
        <w:rPr>
          <w:rFonts w:ascii="Arial" w:hAnsi="Arial" w:cs="David" w:hint="cs"/>
          <w:color w:val="FF0000"/>
          <w:sz w:val="26"/>
          <w:szCs w:val="26"/>
          <w:rtl/>
        </w:rPr>
        <w:t>בגיר המשתמש במיתקן בזק באמצעות כרטיס</w:t>
      </w:r>
      <w:r w:rsidRPr="006271AF">
        <w:rPr>
          <w:rFonts w:ascii="Arial" w:hAnsi="Arial" w:cs="David"/>
          <w:color w:val="FF0000"/>
          <w:sz w:val="26"/>
          <w:szCs w:val="26"/>
        </w:rPr>
        <w:t>SIM</w:t>
      </w:r>
      <w:r w:rsidRPr="006271AF">
        <w:rPr>
          <w:rStyle w:val="apple-converted-space"/>
          <w:rFonts w:eastAsia="Arial Unicode MS" w:cs="David"/>
          <w:color w:val="FF0000"/>
          <w:sz w:val="26"/>
          <w:szCs w:val="26"/>
        </w:rPr>
        <w:t> </w:t>
      </w:r>
      <w:r w:rsidRPr="006271AF">
        <w:rPr>
          <w:rFonts w:ascii="Arial" w:hAnsi="Arial" w:cs="David" w:hint="cs"/>
          <w:color w:val="FF0000"/>
          <w:sz w:val="26"/>
          <w:szCs w:val="26"/>
          <w:rtl/>
        </w:rPr>
        <w:t> (להלן טלפון), יראו את המנוי כאילו הוא עשה את השימוש בטלפון, זולת אם עורר ספק סביר בעניין."</w:t>
      </w:r>
    </w:p>
    <w:p w:rsidR="00091BAE" w:rsidRPr="006271AF" w:rsidRDefault="00091BAE" w:rsidP="00091BAE">
      <w:pPr>
        <w:pStyle w:val="NormalWeb"/>
        <w:shd w:val="clear" w:color="auto" w:fill="FFFFFF"/>
        <w:bidi/>
        <w:spacing w:after="0" w:afterAutospacing="0" w:line="360" w:lineRule="auto"/>
        <w:ind w:left="1440" w:right="1134"/>
        <w:contextualSpacing/>
        <w:jc w:val="both"/>
        <w:rPr>
          <w:rFonts w:ascii="Arial" w:hAnsi="Arial" w:cs="David"/>
          <w:color w:val="222222"/>
          <w:sz w:val="26"/>
          <w:szCs w:val="26"/>
          <w:rtl/>
        </w:rPr>
      </w:pPr>
    </w:p>
    <w:p w:rsidR="000034D3" w:rsidRPr="007C1296" w:rsidRDefault="000034D3" w:rsidP="007C1296">
      <w:pPr>
        <w:jc w:val="both"/>
        <w:rPr>
          <w:rFonts w:cs="David"/>
        </w:rPr>
      </w:pPr>
    </w:p>
    <w:sectPr w:rsidR="000034D3" w:rsidRPr="007C1296" w:rsidSect="008F3A46">
      <w:footerReference w:type="default" r:id="rId9"/>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446" w:rsidRDefault="00315446" w:rsidP="007C1296">
      <w:r>
        <w:separator/>
      </w:r>
    </w:p>
  </w:endnote>
  <w:endnote w:type="continuationSeparator" w:id="0">
    <w:p w:rsidR="00315446" w:rsidRDefault="00315446" w:rsidP="007C1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tl/>
      </w:rPr>
      <w:id w:val="-405998236"/>
      <w:docPartObj>
        <w:docPartGallery w:val="Page Numbers (Bottom of Page)"/>
        <w:docPartUnique/>
      </w:docPartObj>
    </w:sdtPr>
    <w:sdtEndPr/>
    <w:sdtContent>
      <w:p w:rsidR="00B67824" w:rsidRPr="00B67824" w:rsidRDefault="00B67824">
        <w:pPr>
          <w:pStyle w:val="a9"/>
          <w:jc w:val="center"/>
          <w:rPr>
            <w:sz w:val="20"/>
            <w:szCs w:val="20"/>
          </w:rPr>
        </w:pPr>
        <w:r w:rsidRPr="00B67824">
          <w:rPr>
            <w:sz w:val="20"/>
            <w:szCs w:val="20"/>
          </w:rPr>
          <w:fldChar w:fldCharType="begin"/>
        </w:r>
        <w:r w:rsidRPr="00B67824">
          <w:rPr>
            <w:sz w:val="20"/>
            <w:szCs w:val="20"/>
          </w:rPr>
          <w:instrText xml:space="preserve"> PAGE   \* MERGEFORMAT </w:instrText>
        </w:r>
        <w:r w:rsidRPr="00B67824">
          <w:rPr>
            <w:sz w:val="20"/>
            <w:szCs w:val="20"/>
          </w:rPr>
          <w:fldChar w:fldCharType="separate"/>
        </w:r>
        <w:r w:rsidR="00044A47">
          <w:rPr>
            <w:noProof/>
            <w:sz w:val="20"/>
            <w:szCs w:val="20"/>
            <w:rtl/>
          </w:rPr>
          <w:t>1</w:t>
        </w:r>
        <w:r w:rsidRPr="00B67824">
          <w:rPr>
            <w:noProof/>
            <w:sz w:val="20"/>
            <w:szCs w:val="20"/>
          </w:rPr>
          <w:fldChar w:fldCharType="end"/>
        </w:r>
      </w:p>
    </w:sdtContent>
  </w:sdt>
  <w:p w:rsidR="00B67824" w:rsidRDefault="00B678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446" w:rsidRDefault="00315446" w:rsidP="007C1296">
      <w:r>
        <w:separator/>
      </w:r>
    </w:p>
  </w:footnote>
  <w:footnote w:type="continuationSeparator" w:id="0">
    <w:p w:rsidR="00315446" w:rsidRDefault="00315446" w:rsidP="007C12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E87400"/>
    <w:multiLevelType w:val="hybridMultilevel"/>
    <w:tmpl w:val="D762621A"/>
    <w:lvl w:ilvl="0" w:tplc="DB609A6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1D"/>
    <w:rsid w:val="000034D3"/>
    <w:rsid w:val="00044A47"/>
    <w:rsid w:val="00091BAE"/>
    <w:rsid w:val="00172217"/>
    <w:rsid w:val="00315446"/>
    <w:rsid w:val="003F34E2"/>
    <w:rsid w:val="006271AF"/>
    <w:rsid w:val="006F031E"/>
    <w:rsid w:val="007C1296"/>
    <w:rsid w:val="008F3A46"/>
    <w:rsid w:val="00B45681"/>
    <w:rsid w:val="00B67824"/>
    <w:rsid w:val="00BA501D"/>
    <w:rsid w:val="00DD50EE"/>
    <w:rsid w:val="00E2470A"/>
    <w:rsid w:val="00F01B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01D"/>
    <w:pPr>
      <w:bidi/>
      <w:spacing w:after="0" w:line="240" w:lineRule="auto"/>
    </w:pPr>
    <w:rPr>
      <w:rFonts w:ascii="Times New Roman" w:eastAsia="MS Mincho" w:hAnsi="Times New Roman" w:cs="Times New Roman"/>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semiHidden/>
    <w:unhideWhenUsed/>
    <w:rsid w:val="007C1296"/>
    <w:pPr>
      <w:widowControl w:val="0"/>
      <w:autoSpaceDE w:val="0"/>
      <w:autoSpaceDN w:val="0"/>
      <w:adjustRightInd w:val="0"/>
      <w:snapToGrid w:val="0"/>
      <w:ind w:left="227" w:hanging="227"/>
    </w:pPr>
    <w:rPr>
      <w:rFonts w:ascii="Arial" w:eastAsia="Arial Unicode MS" w:hAnsi="Arial" w:cs="David"/>
      <w:color w:val="000000"/>
      <w:sz w:val="14"/>
      <w:szCs w:val="20"/>
    </w:rPr>
  </w:style>
  <w:style w:type="character" w:customStyle="1" w:styleId="a4">
    <w:name w:val="טקסט הערת שוליים תו"/>
    <w:basedOn w:val="a0"/>
    <w:link w:val="a3"/>
    <w:semiHidden/>
    <w:rsid w:val="007C1296"/>
    <w:rPr>
      <w:rFonts w:ascii="Arial" w:eastAsia="Arial Unicode MS" w:hAnsi="Arial" w:cs="David"/>
      <w:color w:val="000000"/>
      <w:sz w:val="14"/>
      <w:szCs w:val="20"/>
      <w:lang w:eastAsia="ja-JP"/>
    </w:rPr>
  </w:style>
  <w:style w:type="paragraph" w:customStyle="1" w:styleId="TableText">
    <w:name w:val="Table Text"/>
    <w:basedOn w:val="a"/>
    <w:rsid w:val="007C1296"/>
    <w:pPr>
      <w:keepLines/>
      <w:widowControl w:val="0"/>
      <w:tabs>
        <w:tab w:val="left" w:pos="624"/>
        <w:tab w:val="left" w:pos="1247"/>
      </w:tabs>
      <w:autoSpaceDE w:val="0"/>
      <w:autoSpaceDN w:val="0"/>
      <w:adjustRightInd w:val="0"/>
      <w:snapToGrid w:val="0"/>
      <w:spacing w:line="360" w:lineRule="auto"/>
      <w:ind w:right="57"/>
    </w:pPr>
    <w:rPr>
      <w:rFonts w:ascii="Arial" w:eastAsia="Arial Unicode MS" w:hAnsi="Arial" w:cs="David"/>
      <w:color w:val="000000"/>
      <w:sz w:val="20"/>
      <w:szCs w:val="26"/>
    </w:rPr>
  </w:style>
  <w:style w:type="paragraph" w:customStyle="1" w:styleId="TableSideHeading">
    <w:name w:val="Table SideHeading"/>
    <w:basedOn w:val="TableText"/>
    <w:rsid w:val="007C1296"/>
  </w:style>
  <w:style w:type="paragraph" w:customStyle="1" w:styleId="TableBlock">
    <w:name w:val="Table Block"/>
    <w:basedOn w:val="TableText"/>
    <w:rsid w:val="007C1296"/>
    <w:pPr>
      <w:ind w:right="0"/>
      <w:jc w:val="both"/>
    </w:pPr>
  </w:style>
  <w:style w:type="paragraph" w:customStyle="1" w:styleId="TableInnerSideHeading">
    <w:name w:val="Table InnerSideHeading"/>
    <w:basedOn w:val="TableSideHeading"/>
    <w:rsid w:val="007C1296"/>
  </w:style>
  <w:style w:type="character" w:styleId="a5">
    <w:name w:val="footnote reference"/>
    <w:basedOn w:val="a0"/>
    <w:semiHidden/>
    <w:unhideWhenUsed/>
    <w:rsid w:val="007C1296"/>
    <w:rPr>
      <w:vertAlign w:val="superscript"/>
    </w:rPr>
  </w:style>
  <w:style w:type="paragraph" w:styleId="NormalWeb">
    <w:name w:val="Normal (Web)"/>
    <w:basedOn w:val="a"/>
    <w:uiPriority w:val="99"/>
    <w:unhideWhenUsed/>
    <w:rsid w:val="000034D3"/>
    <w:pPr>
      <w:bidi w:val="0"/>
      <w:spacing w:before="100" w:beforeAutospacing="1" w:after="100" w:afterAutospacing="1"/>
    </w:pPr>
    <w:rPr>
      <w:rFonts w:eastAsia="Times New Roman"/>
      <w:lang w:eastAsia="en-US"/>
    </w:rPr>
  </w:style>
  <w:style w:type="character" w:customStyle="1" w:styleId="apple-converted-space">
    <w:name w:val="apple-converted-space"/>
    <w:basedOn w:val="a0"/>
    <w:rsid w:val="000034D3"/>
  </w:style>
  <w:style w:type="paragraph" w:styleId="a6">
    <w:name w:val="List Paragraph"/>
    <w:basedOn w:val="a"/>
    <w:uiPriority w:val="34"/>
    <w:qFormat/>
    <w:rsid w:val="006271AF"/>
    <w:pPr>
      <w:ind w:left="720"/>
      <w:contextualSpacing/>
    </w:pPr>
  </w:style>
  <w:style w:type="paragraph" w:styleId="a7">
    <w:name w:val="header"/>
    <w:basedOn w:val="a"/>
    <w:link w:val="a8"/>
    <w:uiPriority w:val="99"/>
    <w:unhideWhenUsed/>
    <w:rsid w:val="00B67824"/>
    <w:pPr>
      <w:tabs>
        <w:tab w:val="center" w:pos="4513"/>
        <w:tab w:val="right" w:pos="9026"/>
      </w:tabs>
    </w:pPr>
  </w:style>
  <w:style w:type="character" w:customStyle="1" w:styleId="a8">
    <w:name w:val="כותרת עליונה תו"/>
    <w:basedOn w:val="a0"/>
    <w:link w:val="a7"/>
    <w:uiPriority w:val="99"/>
    <w:rsid w:val="00B67824"/>
    <w:rPr>
      <w:rFonts w:ascii="Times New Roman" w:eastAsia="MS Mincho" w:hAnsi="Times New Roman" w:cs="Times New Roman"/>
      <w:sz w:val="24"/>
      <w:szCs w:val="24"/>
      <w:lang w:eastAsia="ja-JP"/>
    </w:rPr>
  </w:style>
  <w:style w:type="paragraph" w:styleId="a9">
    <w:name w:val="footer"/>
    <w:basedOn w:val="a"/>
    <w:link w:val="aa"/>
    <w:uiPriority w:val="99"/>
    <w:unhideWhenUsed/>
    <w:rsid w:val="00B67824"/>
    <w:pPr>
      <w:tabs>
        <w:tab w:val="center" w:pos="4513"/>
        <w:tab w:val="right" w:pos="9026"/>
      </w:tabs>
    </w:pPr>
  </w:style>
  <w:style w:type="character" w:customStyle="1" w:styleId="aa">
    <w:name w:val="כותרת תחתונה תו"/>
    <w:basedOn w:val="a0"/>
    <w:link w:val="a9"/>
    <w:uiPriority w:val="99"/>
    <w:rsid w:val="00B67824"/>
    <w:rPr>
      <w:rFonts w:ascii="Times New Roman" w:eastAsia="MS Mincho" w:hAnsi="Times New Roman" w:cs="Times New Roman"/>
      <w:sz w:val="24"/>
      <w:szCs w:val="24"/>
      <w:lang w:eastAsia="ja-JP"/>
    </w:rPr>
  </w:style>
  <w:style w:type="paragraph" w:styleId="ab">
    <w:name w:val="Balloon Text"/>
    <w:basedOn w:val="a"/>
    <w:link w:val="ac"/>
    <w:uiPriority w:val="99"/>
    <w:semiHidden/>
    <w:unhideWhenUsed/>
    <w:rsid w:val="00091BAE"/>
    <w:rPr>
      <w:rFonts w:ascii="Tahoma" w:hAnsi="Tahoma" w:cs="Tahoma"/>
      <w:sz w:val="18"/>
      <w:szCs w:val="18"/>
    </w:rPr>
  </w:style>
  <w:style w:type="character" w:customStyle="1" w:styleId="ac">
    <w:name w:val="טקסט בלונים תו"/>
    <w:basedOn w:val="a0"/>
    <w:link w:val="ab"/>
    <w:uiPriority w:val="99"/>
    <w:semiHidden/>
    <w:rsid w:val="00091BAE"/>
    <w:rPr>
      <w:rFonts w:ascii="Tahoma" w:eastAsia="MS Mincho" w:hAnsi="Tahoma" w:cs="Tahoma"/>
      <w:sz w:val="18"/>
      <w:szCs w:val="1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01D"/>
    <w:pPr>
      <w:bidi/>
      <w:spacing w:after="0" w:line="240" w:lineRule="auto"/>
    </w:pPr>
    <w:rPr>
      <w:rFonts w:ascii="Times New Roman" w:eastAsia="MS Mincho" w:hAnsi="Times New Roman" w:cs="Times New Roman"/>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semiHidden/>
    <w:unhideWhenUsed/>
    <w:rsid w:val="007C1296"/>
    <w:pPr>
      <w:widowControl w:val="0"/>
      <w:autoSpaceDE w:val="0"/>
      <w:autoSpaceDN w:val="0"/>
      <w:adjustRightInd w:val="0"/>
      <w:snapToGrid w:val="0"/>
      <w:ind w:left="227" w:hanging="227"/>
    </w:pPr>
    <w:rPr>
      <w:rFonts w:ascii="Arial" w:eastAsia="Arial Unicode MS" w:hAnsi="Arial" w:cs="David"/>
      <w:color w:val="000000"/>
      <w:sz w:val="14"/>
      <w:szCs w:val="20"/>
    </w:rPr>
  </w:style>
  <w:style w:type="character" w:customStyle="1" w:styleId="a4">
    <w:name w:val="טקסט הערת שוליים תו"/>
    <w:basedOn w:val="a0"/>
    <w:link w:val="a3"/>
    <w:semiHidden/>
    <w:rsid w:val="007C1296"/>
    <w:rPr>
      <w:rFonts w:ascii="Arial" w:eastAsia="Arial Unicode MS" w:hAnsi="Arial" w:cs="David"/>
      <w:color w:val="000000"/>
      <w:sz w:val="14"/>
      <w:szCs w:val="20"/>
      <w:lang w:eastAsia="ja-JP"/>
    </w:rPr>
  </w:style>
  <w:style w:type="paragraph" w:customStyle="1" w:styleId="TableText">
    <w:name w:val="Table Text"/>
    <w:basedOn w:val="a"/>
    <w:rsid w:val="007C1296"/>
    <w:pPr>
      <w:keepLines/>
      <w:widowControl w:val="0"/>
      <w:tabs>
        <w:tab w:val="left" w:pos="624"/>
        <w:tab w:val="left" w:pos="1247"/>
      </w:tabs>
      <w:autoSpaceDE w:val="0"/>
      <w:autoSpaceDN w:val="0"/>
      <w:adjustRightInd w:val="0"/>
      <w:snapToGrid w:val="0"/>
      <w:spacing w:line="360" w:lineRule="auto"/>
      <w:ind w:right="57"/>
    </w:pPr>
    <w:rPr>
      <w:rFonts w:ascii="Arial" w:eastAsia="Arial Unicode MS" w:hAnsi="Arial" w:cs="David"/>
      <w:color w:val="000000"/>
      <w:sz w:val="20"/>
      <w:szCs w:val="26"/>
    </w:rPr>
  </w:style>
  <w:style w:type="paragraph" w:customStyle="1" w:styleId="TableSideHeading">
    <w:name w:val="Table SideHeading"/>
    <w:basedOn w:val="TableText"/>
    <w:rsid w:val="007C1296"/>
  </w:style>
  <w:style w:type="paragraph" w:customStyle="1" w:styleId="TableBlock">
    <w:name w:val="Table Block"/>
    <w:basedOn w:val="TableText"/>
    <w:rsid w:val="007C1296"/>
    <w:pPr>
      <w:ind w:right="0"/>
      <w:jc w:val="both"/>
    </w:pPr>
  </w:style>
  <w:style w:type="paragraph" w:customStyle="1" w:styleId="TableInnerSideHeading">
    <w:name w:val="Table InnerSideHeading"/>
    <w:basedOn w:val="TableSideHeading"/>
    <w:rsid w:val="007C1296"/>
  </w:style>
  <w:style w:type="character" w:styleId="a5">
    <w:name w:val="footnote reference"/>
    <w:basedOn w:val="a0"/>
    <w:semiHidden/>
    <w:unhideWhenUsed/>
    <w:rsid w:val="007C1296"/>
    <w:rPr>
      <w:vertAlign w:val="superscript"/>
    </w:rPr>
  </w:style>
  <w:style w:type="paragraph" w:styleId="NormalWeb">
    <w:name w:val="Normal (Web)"/>
    <w:basedOn w:val="a"/>
    <w:uiPriority w:val="99"/>
    <w:unhideWhenUsed/>
    <w:rsid w:val="000034D3"/>
    <w:pPr>
      <w:bidi w:val="0"/>
      <w:spacing w:before="100" w:beforeAutospacing="1" w:after="100" w:afterAutospacing="1"/>
    </w:pPr>
    <w:rPr>
      <w:rFonts w:eastAsia="Times New Roman"/>
      <w:lang w:eastAsia="en-US"/>
    </w:rPr>
  </w:style>
  <w:style w:type="character" w:customStyle="1" w:styleId="apple-converted-space">
    <w:name w:val="apple-converted-space"/>
    <w:basedOn w:val="a0"/>
    <w:rsid w:val="000034D3"/>
  </w:style>
  <w:style w:type="paragraph" w:styleId="a6">
    <w:name w:val="List Paragraph"/>
    <w:basedOn w:val="a"/>
    <w:uiPriority w:val="34"/>
    <w:qFormat/>
    <w:rsid w:val="006271AF"/>
    <w:pPr>
      <w:ind w:left="720"/>
      <w:contextualSpacing/>
    </w:pPr>
  </w:style>
  <w:style w:type="paragraph" w:styleId="a7">
    <w:name w:val="header"/>
    <w:basedOn w:val="a"/>
    <w:link w:val="a8"/>
    <w:uiPriority w:val="99"/>
    <w:unhideWhenUsed/>
    <w:rsid w:val="00B67824"/>
    <w:pPr>
      <w:tabs>
        <w:tab w:val="center" w:pos="4513"/>
        <w:tab w:val="right" w:pos="9026"/>
      </w:tabs>
    </w:pPr>
  </w:style>
  <w:style w:type="character" w:customStyle="1" w:styleId="a8">
    <w:name w:val="כותרת עליונה תו"/>
    <w:basedOn w:val="a0"/>
    <w:link w:val="a7"/>
    <w:uiPriority w:val="99"/>
    <w:rsid w:val="00B67824"/>
    <w:rPr>
      <w:rFonts w:ascii="Times New Roman" w:eastAsia="MS Mincho" w:hAnsi="Times New Roman" w:cs="Times New Roman"/>
      <w:sz w:val="24"/>
      <w:szCs w:val="24"/>
      <w:lang w:eastAsia="ja-JP"/>
    </w:rPr>
  </w:style>
  <w:style w:type="paragraph" w:styleId="a9">
    <w:name w:val="footer"/>
    <w:basedOn w:val="a"/>
    <w:link w:val="aa"/>
    <w:uiPriority w:val="99"/>
    <w:unhideWhenUsed/>
    <w:rsid w:val="00B67824"/>
    <w:pPr>
      <w:tabs>
        <w:tab w:val="center" w:pos="4513"/>
        <w:tab w:val="right" w:pos="9026"/>
      </w:tabs>
    </w:pPr>
  </w:style>
  <w:style w:type="character" w:customStyle="1" w:styleId="aa">
    <w:name w:val="כותרת תחתונה תו"/>
    <w:basedOn w:val="a0"/>
    <w:link w:val="a9"/>
    <w:uiPriority w:val="99"/>
    <w:rsid w:val="00B67824"/>
    <w:rPr>
      <w:rFonts w:ascii="Times New Roman" w:eastAsia="MS Mincho" w:hAnsi="Times New Roman" w:cs="Times New Roman"/>
      <w:sz w:val="24"/>
      <w:szCs w:val="24"/>
      <w:lang w:eastAsia="ja-JP"/>
    </w:rPr>
  </w:style>
  <w:style w:type="paragraph" w:styleId="ab">
    <w:name w:val="Balloon Text"/>
    <w:basedOn w:val="a"/>
    <w:link w:val="ac"/>
    <w:uiPriority w:val="99"/>
    <w:semiHidden/>
    <w:unhideWhenUsed/>
    <w:rsid w:val="00091BAE"/>
    <w:rPr>
      <w:rFonts w:ascii="Tahoma" w:hAnsi="Tahoma" w:cs="Tahoma"/>
      <w:sz w:val="18"/>
      <w:szCs w:val="18"/>
    </w:rPr>
  </w:style>
  <w:style w:type="character" w:customStyle="1" w:styleId="ac">
    <w:name w:val="טקסט בלונים תו"/>
    <w:basedOn w:val="a0"/>
    <w:link w:val="ab"/>
    <w:uiPriority w:val="99"/>
    <w:semiHidden/>
    <w:rsid w:val="00091BAE"/>
    <w:rPr>
      <w:rFonts w:ascii="Tahoma" w:eastAsia="MS Mincho" w:hAnsi="Tahoma" w:cs="Tahoma"/>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22364">
      <w:bodyDiv w:val="1"/>
      <w:marLeft w:val="0"/>
      <w:marRight w:val="0"/>
      <w:marTop w:val="0"/>
      <w:marBottom w:val="0"/>
      <w:divBdr>
        <w:top w:val="none" w:sz="0" w:space="0" w:color="auto"/>
        <w:left w:val="none" w:sz="0" w:space="0" w:color="auto"/>
        <w:bottom w:val="none" w:sz="0" w:space="0" w:color="auto"/>
        <w:right w:val="none" w:sz="0" w:space="0" w:color="auto"/>
      </w:divBdr>
    </w:div>
    <w:div w:id="883638064">
      <w:bodyDiv w:val="1"/>
      <w:marLeft w:val="0"/>
      <w:marRight w:val="0"/>
      <w:marTop w:val="0"/>
      <w:marBottom w:val="0"/>
      <w:divBdr>
        <w:top w:val="none" w:sz="0" w:space="0" w:color="auto"/>
        <w:left w:val="none" w:sz="0" w:space="0" w:color="auto"/>
        <w:bottom w:val="none" w:sz="0" w:space="0" w:color="auto"/>
        <w:right w:val="none" w:sz="0" w:space="0" w:color="auto"/>
      </w:divBdr>
    </w:div>
    <w:div w:id="896553973">
      <w:bodyDiv w:val="1"/>
      <w:marLeft w:val="0"/>
      <w:marRight w:val="0"/>
      <w:marTop w:val="0"/>
      <w:marBottom w:val="0"/>
      <w:divBdr>
        <w:top w:val="none" w:sz="0" w:space="0" w:color="auto"/>
        <w:left w:val="none" w:sz="0" w:space="0" w:color="auto"/>
        <w:bottom w:val="none" w:sz="0" w:space="0" w:color="auto"/>
        <w:right w:val="none" w:sz="0" w:space="0" w:color="auto"/>
      </w:divBdr>
    </w:div>
    <w:div w:id="1104301422">
      <w:bodyDiv w:val="1"/>
      <w:marLeft w:val="0"/>
      <w:marRight w:val="0"/>
      <w:marTop w:val="0"/>
      <w:marBottom w:val="0"/>
      <w:divBdr>
        <w:top w:val="none" w:sz="0" w:space="0" w:color="auto"/>
        <w:left w:val="none" w:sz="0" w:space="0" w:color="auto"/>
        <w:bottom w:val="none" w:sz="0" w:space="0" w:color="auto"/>
        <w:right w:val="none" w:sz="0" w:space="0" w:color="auto"/>
      </w:divBdr>
    </w:div>
    <w:div w:id="1217862320">
      <w:bodyDiv w:val="1"/>
      <w:marLeft w:val="0"/>
      <w:marRight w:val="0"/>
      <w:marTop w:val="0"/>
      <w:marBottom w:val="0"/>
      <w:divBdr>
        <w:top w:val="none" w:sz="0" w:space="0" w:color="auto"/>
        <w:left w:val="none" w:sz="0" w:space="0" w:color="auto"/>
        <w:bottom w:val="none" w:sz="0" w:space="0" w:color="auto"/>
        <w:right w:val="none" w:sz="0" w:space="0" w:color="auto"/>
      </w:divBdr>
    </w:div>
    <w:div w:id="168860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1B577-7AF7-4F57-A5F0-050668C9C3DE}"/>
</file>

<file path=customXml/itemProps2.xml><?xml version="1.0" encoding="utf-8"?>
<ds:datastoreItem xmlns:ds="http://schemas.openxmlformats.org/officeDocument/2006/customXml" ds:itemID="{B51B2FF6-B95D-494A-A7A9-7293D7DB101B}"/>
</file>

<file path=customXml/itemProps3.xml><?xml version="1.0" encoding="utf-8"?>
<ds:datastoreItem xmlns:ds="http://schemas.openxmlformats.org/officeDocument/2006/customXml" ds:itemID="{00A815AC-CEE8-44D7-8ECD-CC7AB7AEA52F}"/>
</file>

<file path=customXml/itemProps4.xml><?xml version="1.0" encoding="utf-8"?>
<ds:datastoreItem xmlns:ds="http://schemas.openxmlformats.org/officeDocument/2006/customXml" ds:itemID="{C46FAC8E-7507-4514-8EC3-3BCF17A96FD0}"/>
</file>

<file path=docProps/app.xml><?xml version="1.0" encoding="utf-8"?>
<Properties xmlns="http://schemas.openxmlformats.org/officeDocument/2006/extended-properties" xmlns:vt="http://schemas.openxmlformats.org/officeDocument/2006/docPropsVTypes">
  <Template>Normal</Template>
  <TotalTime>1</TotalTime>
  <Pages>2</Pages>
  <Words>751</Words>
  <Characters>3757</Characters>
  <Application>Microsoft Office Word</Application>
  <DocSecurity>4</DocSecurity>
  <Lines>31</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עידן פז</cp:lastModifiedBy>
  <cp:revision>2</cp:revision>
  <dcterms:created xsi:type="dcterms:W3CDTF">2015-10-26T12:13:00Z</dcterms:created>
  <dcterms:modified xsi:type="dcterms:W3CDTF">2015-10-26T12:13:00Z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