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1FF2" w:rsidRPr="00EA2E80" w:rsidRDefault="00F81FF2" w:rsidP="00F81FF2">
      <w:pPr>
        <w:spacing w:after="0" w:line="240" w:lineRule="auto"/>
        <w:ind w:left="5760" w:firstLine="720"/>
        <w:rPr>
          <w:rFonts w:cs="David"/>
          <w:sz w:val="24"/>
          <w:szCs w:val="24"/>
          <w:rtl/>
        </w:rPr>
      </w:pPr>
      <w:bookmarkStart w:id="0" w:name="_GoBack"/>
      <w:bookmarkEnd w:id="0"/>
      <w:r w:rsidRPr="00EA2E80">
        <w:rPr>
          <w:rFonts w:cs="David" w:hint="cs"/>
          <w:sz w:val="24"/>
          <w:szCs w:val="24"/>
          <w:rtl/>
        </w:rPr>
        <w:t xml:space="preserve">כ"ג בסיון </w:t>
      </w:r>
      <w:proofErr w:type="spellStart"/>
      <w:r w:rsidRPr="00EA2E80">
        <w:rPr>
          <w:rFonts w:cs="David" w:hint="cs"/>
          <w:sz w:val="24"/>
          <w:szCs w:val="24"/>
          <w:rtl/>
        </w:rPr>
        <w:t>ה</w:t>
      </w:r>
      <w:r w:rsidRPr="00EA2E80">
        <w:rPr>
          <w:rFonts w:cs="David"/>
          <w:sz w:val="24"/>
          <w:szCs w:val="24"/>
          <w:rtl/>
        </w:rPr>
        <w:t>תשע"</w:t>
      </w:r>
      <w:r w:rsidRPr="00EA2E80">
        <w:rPr>
          <w:rFonts w:cs="David" w:hint="cs"/>
          <w:sz w:val="24"/>
          <w:szCs w:val="24"/>
          <w:rtl/>
        </w:rPr>
        <w:t>ה</w:t>
      </w:r>
      <w:proofErr w:type="spellEnd"/>
    </w:p>
    <w:p w:rsidR="00F81FF2" w:rsidRPr="00EA2E80" w:rsidRDefault="00F81FF2" w:rsidP="00F81FF2">
      <w:pPr>
        <w:spacing w:after="0" w:line="240" w:lineRule="auto"/>
        <w:rPr>
          <w:rFonts w:cs="David"/>
          <w:sz w:val="24"/>
          <w:szCs w:val="24"/>
          <w:rtl/>
        </w:rPr>
      </w:pPr>
      <w:r w:rsidRPr="00EA2E80">
        <w:rPr>
          <w:rFonts w:cs="David" w:hint="cs"/>
          <w:sz w:val="24"/>
          <w:szCs w:val="24"/>
          <w:rtl/>
        </w:rPr>
        <w:tab/>
      </w:r>
      <w:r w:rsidRPr="00EA2E80">
        <w:rPr>
          <w:rFonts w:cs="David" w:hint="cs"/>
          <w:sz w:val="24"/>
          <w:szCs w:val="24"/>
          <w:rtl/>
        </w:rPr>
        <w:tab/>
      </w:r>
      <w:r w:rsidRPr="00EA2E80">
        <w:rPr>
          <w:rFonts w:cs="David" w:hint="cs"/>
          <w:sz w:val="24"/>
          <w:szCs w:val="24"/>
          <w:rtl/>
        </w:rPr>
        <w:tab/>
      </w:r>
      <w:r w:rsidRPr="00EA2E80">
        <w:rPr>
          <w:rFonts w:cs="David" w:hint="cs"/>
          <w:sz w:val="24"/>
          <w:szCs w:val="24"/>
          <w:rtl/>
        </w:rPr>
        <w:tab/>
      </w:r>
      <w:r w:rsidRPr="00EA2E80">
        <w:rPr>
          <w:rFonts w:cs="David" w:hint="cs"/>
          <w:sz w:val="24"/>
          <w:szCs w:val="24"/>
          <w:rtl/>
        </w:rPr>
        <w:tab/>
      </w:r>
      <w:r w:rsidRPr="00EA2E80">
        <w:rPr>
          <w:rFonts w:cs="David" w:hint="cs"/>
          <w:sz w:val="24"/>
          <w:szCs w:val="24"/>
          <w:rtl/>
        </w:rPr>
        <w:tab/>
      </w:r>
      <w:r w:rsidRPr="00EA2E80">
        <w:rPr>
          <w:rFonts w:cs="David" w:hint="cs"/>
          <w:sz w:val="24"/>
          <w:szCs w:val="24"/>
          <w:rtl/>
        </w:rPr>
        <w:tab/>
      </w:r>
      <w:r w:rsidRPr="00EA2E80">
        <w:rPr>
          <w:rFonts w:cs="David" w:hint="cs"/>
          <w:sz w:val="24"/>
          <w:szCs w:val="24"/>
          <w:rtl/>
        </w:rPr>
        <w:tab/>
      </w:r>
      <w:r w:rsidRPr="00EA2E80">
        <w:rPr>
          <w:rFonts w:cs="David" w:hint="cs"/>
          <w:sz w:val="24"/>
          <w:szCs w:val="24"/>
          <w:rtl/>
        </w:rPr>
        <w:tab/>
        <w:t>10    ביוני       2015</w:t>
      </w:r>
    </w:p>
    <w:p w:rsidR="00F81FF2" w:rsidRPr="00EA2E80" w:rsidRDefault="00F81FF2" w:rsidP="00F81FF2">
      <w:pPr>
        <w:rPr>
          <w:rFonts w:cs="David"/>
          <w:sz w:val="24"/>
          <w:szCs w:val="24"/>
          <w:rtl/>
        </w:rPr>
      </w:pPr>
    </w:p>
    <w:p w:rsidR="00F81FF2" w:rsidRPr="00EA2E80" w:rsidRDefault="00F81FF2" w:rsidP="00F81FF2">
      <w:pPr>
        <w:rPr>
          <w:rFonts w:cs="David"/>
          <w:sz w:val="24"/>
          <w:szCs w:val="24"/>
          <w:rtl/>
        </w:rPr>
      </w:pPr>
      <w:r w:rsidRPr="00EA2E80">
        <w:rPr>
          <w:rFonts w:cs="David" w:hint="cs"/>
          <w:sz w:val="24"/>
          <w:szCs w:val="24"/>
          <w:rtl/>
        </w:rPr>
        <w:t xml:space="preserve">לכבוד חברי ועדת חוקה, חוק ומשפט </w:t>
      </w:r>
    </w:p>
    <w:p w:rsidR="00F81FF2" w:rsidRPr="00EA2E80" w:rsidRDefault="00F81FF2" w:rsidP="00F81FF2">
      <w:pPr>
        <w:rPr>
          <w:rFonts w:cs="David"/>
          <w:sz w:val="24"/>
          <w:szCs w:val="24"/>
          <w:rtl/>
        </w:rPr>
      </w:pPr>
      <w:r w:rsidRPr="00EA2E80">
        <w:rPr>
          <w:rFonts w:cs="David" w:hint="cs"/>
          <w:sz w:val="24"/>
          <w:szCs w:val="24"/>
          <w:rtl/>
        </w:rPr>
        <w:t>מאת: הייעוץ המשפטי לוועדה</w:t>
      </w:r>
    </w:p>
    <w:p w:rsidR="00F81FF2" w:rsidRPr="00EA2E80" w:rsidRDefault="00F81FF2" w:rsidP="00F81FF2">
      <w:pPr>
        <w:rPr>
          <w:rFonts w:cs="David"/>
          <w:sz w:val="24"/>
          <w:szCs w:val="24"/>
          <w:rtl/>
        </w:rPr>
      </w:pPr>
    </w:p>
    <w:p w:rsidR="00AD0F1E" w:rsidRPr="00EA2E80" w:rsidRDefault="00AD0F1E" w:rsidP="00F81FF2">
      <w:pPr>
        <w:spacing w:before="120" w:after="0" w:line="360" w:lineRule="auto"/>
        <w:rPr>
          <w:rFonts w:cs="David"/>
          <w:sz w:val="24"/>
          <w:szCs w:val="24"/>
          <w:rtl/>
        </w:rPr>
      </w:pPr>
    </w:p>
    <w:p w:rsidR="006258C3" w:rsidRPr="00EA2E80" w:rsidRDefault="006258C3" w:rsidP="00F81FF2">
      <w:pPr>
        <w:spacing w:before="120" w:after="0" w:line="360" w:lineRule="auto"/>
        <w:jc w:val="center"/>
        <w:rPr>
          <w:rFonts w:cs="David"/>
          <w:b/>
          <w:bCs/>
          <w:sz w:val="24"/>
          <w:szCs w:val="24"/>
          <w:u w:val="single"/>
          <w:rtl/>
        </w:rPr>
      </w:pPr>
      <w:r w:rsidRPr="00EA2E80">
        <w:rPr>
          <w:rFonts w:cs="David" w:hint="cs"/>
          <w:b/>
          <w:bCs/>
          <w:sz w:val="24"/>
          <w:szCs w:val="24"/>
          <w:u w:val="single"/>
          <w:rtl/>
        </w:rPr>
        <w:t>מסמך רקע לקראת דיון הוועדה ביישום הרפורמות במערכת ההוצאה לפועל</w:t>
      </w:r>
    </w:p>
    <w:p w:rsidR="00F81FF2" w:rsidRPr="00EA2E80" w:rsidRDefault="006258C3" w:rsidP="004B64E5">
      <w:pPr>
        <w:spacing w:before="120" w:after="0" w:line="360" w:lineRule="auto"/>
        <w:jc w:val="both"/>
        <w:rPr>
          <w:rFonts w:cs="David"/>
          <w:sz w:val="24"/>
          <w:szCs w:val="24"/>
          <w:rtl/>
        </w:rPr>
      </w:pPr>
      <w:r w:rsidRPr="00EA2E80">
        <w:rPr>
          <w:rFonts w:cs="David" w:hint="cs"/>
          <w:sz w:val="24"/>
          <w:szCs w:val="24"/>
          <w:rtl/>
        </w:rPr>
        <w:t>ועדת חוקה חוק ומשפט עסקה בשנים האחרונות במספר רפורמות במערכת ההוצאה לפועל</w:t>
      </w:r>
      <w:r w:rsidR="00457295" w:rsidRPr="00EA2E80">
        <w:rPr>
          <w:rFonts w:cs="David" w:hint="cs"/>
          <w:sz w:val="24"/>
          <w:szCs w:val="24"/>
          <w:rtl/>
        </w:rPr>
        <w:t xml:space="preserve">. בכל עניין שהובא בפני הוועדה בנושא זה </w:t>
      </w:r>
      <w:r w:rsidR="00F81FF2" w:rsidRPr="00EA2E80">
        <w:rPr>
          <w:rFonts w:cs="David" w:hint="cs"/>
          <w:sz w:val="24"/>
          <w:szCs w:val="24"/>
          <w:rtl/>
        </w:rPr>
        <w:t>נדרשה הוועדה לאזן בין זכויות הזוכים וההגנה על שמירת החוק לבין זכויות החייבים והגנה ע</w:t>
      </w:r>
      <w:r w:rsidR="0067457A" w:rsidRPr="00EA2E80">
        <w:rPr>
          <w:rFonts w:cs="David" w:hint="cs"/>
          <w:sz w:val="24"/>
          <w:szCs w:val="24"/>
          <w:rtl/>
        </w:rPr>
        <w:t>ל זכויותיהם הבסיסיות</w:t>
      </w:r>
      <w:r w:rsidRPr="00EA2E80">
        <w:rPr>
          <w:rFonts w:cs="David" w:hint="cs"/>
          <w:sz w:val="24"/>
          <w:szCs w:val="24"/>
          <w:rtl/>
        </w:rPr>
        <w:t xml:space="preserve">. </w:t>
      </w:r>
      <w:r w:rsidR="00F81FF2" w:rsidRPr="00EA2E80">
        <w:rPr>
          <w:rFonts w:cs="David" w:hint="cs"/>
          <w:sz w:val="24"/>
          <w:szCs w:val="24"/>
          <w:rtl/>
        </w:rPr>
        <w:t xml:space="preserve">להלן רשימת </w:t>
      </w:r>
      <w:r w:rsidRPr="00EA2E80">
        <w:rPr>
          <w:rFonts w:cs="David" w:hint="cs"/>
          <w:sz w:val="24"/>
          <w:szCs w:val="24"/>
          <w:rtl/>
        </w:rPr>
        <w:t>התיקונים המרכזיים שנעשו ב</w:t>
      </w:r>
      <w:r w:rsidR="00457295" w:rsidRPr="00EA2E80">
        <w:rPr>
          <w:rFonts w:cs="David" w:hint="cs"/>
          <w:sz w:val="24"/>
          <w:szCs w:val="24"/>
          <w:rtl/>
        </w:rPr>
        <w:t xml:space="preserve">חוק ההוצאה לפועל, </w:t>
      </w:r>
      <w:proofErr w:type="spellStart"/>
      <w:r w:rsidR="00457295" w:rsidRPr="00EA2E80">
        <w:rPr>
          <w:rFonts w:cs="David" w:hint="cs"/>
          <w:sz w:val="24"/>
          <w:szCs w:val="24"/>
          <w:rtl/>
        </w:rPr>
        <w:t>התשכ"ט</w:t>
      </w:r>
      <w:proofErr w:type="spellEnd"/>
      <w:r w:rsidR="00457295" w:rsidRPr="00EA2E80">
        <w:rPr>
          <w:rFonts w:cs="David" w:hint="cs"/>
          <w:sz w:val="24"/>
          <w:szCs w:val="24"/>
          <w:rtl/>
        </w:rPr>
        <w:t xml:space="preserve"> </w:t>
      </w:r>
      <w:r w:rsidR="00457295" w:rsidRPr="00EA2E80">
        <w:rPr>
          <w:rFonts w:cs="David"/>
          <w:sz w:val="24"/>
          <w:szCs w:val="24"/>
        </w:rPr>
        <w:t>–</w:t>
      </w:r>
      <w:r w:rsidR="00457295" w:rsidRPr="00EA2E80">
        <w:rPr>
          <w:rFonts w:cs="David" w:hint="cs"/>
          <w:sz w:val="24"/>
          <w:szCs w:val="24"/>
          <w:rtl/>
        </w:rPr>
        <w:t xml:space="preserve"> </w:t>
      </w:r>
      <w:r w:rsidR="00EA2E80" w:rsidRPr="00EA2E80">
        <w:rPr>
          <w:rFonts w:cs="David" w:hint="cs"/>
          <w:sz w:val="24"/>
          <w:szCs w:val="24"/>
          <w:rtl/>
        </w:rPr>
        <w:t xml:space="preserve"> </w:t>
      </w:r>
      <w:r w:rsidR="00457295" w:rsidRPr="00EA2E80">
        <w:rPr>
          <w:rFonts w:cs="David" w:hint="cs"/>
          <w:sz w:val="24"/>
          <w:szCs w:val="24"/>
          <w:rtl/>
        </w:rPr>
        <w:t>1969</w:t>
      </w:r>
      <w:r w:rsidR="00EA2E80" w:rsidRPr="00EA2E80">
        <w:rPr>
          <w:rFonts w:cs="David" w:hint="cs"/>
          <w:sz w:val="24"/>
          <w:szCs w:val="24"/>
          <w:rtl/>
        </w:rPr>
        <w:t xml:space="preserve"> (להלן </w:t>
      </w:r>
      <w:r w:rsidR="00EA2E80" w:rsidRPr="00EA2E80">
        <w:rPr>
          <w:rFonts w:cs="David" w:hint="eastAsia"/>
          <w:sz w:val="24"/>
          <w:szCs w:val="24"/>
        </w:rPr>
        <w:t xml:space="preserve">– </w:t>
      </w:r>
      <w:r w:rsidR="00EA2E80" w:rsidRPr="00EA2E80">
        <w:rPr>
          <w:rFonts w:ascii="Arial" w:hAnsi="Arial" w:cs="David" w:hint="cs"/>
          <w:sz w:val="24"/>
          <w:szCs w:val="24"/>
          <w:rtl/>
        </w:rPr>
        <w:t>החוק)</w:t>
      </w:r>
      <w:r w:rsidR="00457295" w:rsidRPr="00EA2E80">
        <w:rPr>
          <w:rFonts w:cs="David" w:hint="cs"/>
          <w:sz w:val="24"/>
          <w:szCs w:val="24"/>
          <w:rtl/>
        </w:rPr>
        <w:t xml:space="preserve">, </w:t>
      </w:r>
      <w:r w:rsidR="00F81FF2" w:rsidRPr="00EA2E80">
        <w:rPr>
          <w:rFonts w:cs="David" w:hint="cs"/>
          <w:sz w:val="24"/>
          <w:szCs w:val="24"/>
          <w:rtl/>
        </w:rPr>
        <w:t xml:space="preserve">ולגביהם נתבקשה רשות האכיפה והגבייה להציג בפני הוועדה את יישומם בפועל: </w:t>
      </w:r>
    </w:p>
    <w:p w:rsidR="00F81FF2" w:rsidRPr="00EA2E80" w:rsidRDefault="006258C3" w:rsidP="000B2759">
      <w:pPr>
        <w:pStyle w:val="a3"/>
        <w:numPr>
          <w:ilvl w:val="0"/>
          <w:numId w:val="2"/>
        </w:numPr>
        <w:spacing w:before="120" w:after="0" w:line="360" w:lineRule="auto"/>
        <w:jc w:val="both"/>
        <w:rPr>
          <w:rFonts w:cs="David"/>
          <w:sz w:val="24"/>
          <w:szCs w:val="24"/>
        </w:rPr>
      </w:pPr>
      <w:r w:rsidRPr="00EA2E80">
        <w:rPr>
          <w:rFonts w:cs="David" w:hint="cs"/>
          <w:b/>
          <w:bCs/>
          <w:sz w:val="24"/>
          <w:szCs w:val="24"/>
          <w:rtl/>
        </w:rPr>
        <w:t>ביטול מאסר החייבים ו</w:t>
      </w:r>
      <w:r w:rsidR="00BB0C74" w:rsidRPr="00EA2E80">
        <w:rPr>
          <w:rFonts w:cs="David" w:hint="cs"/>
          <w:b/>
          <w:bCs/>
          <w:sz w:val="24"/>
          <w:szCs w:val="24"/>
          <w:rtl/>
        </w:rPr>
        <w:t>הקמת</w:t>
      </w:r>
      <w:r w:rsidRPr="00EA2E80">
        <w:rPr>
          <w:rFonts w:cs="David" w:hint="cs"/>
          <w:b/>
          <w:bCs/>
          <w:sz w:val="24"/>
          <w:szCs w:val="24"/>
          <w:rtl/>
        </w:rPr>
        <w:t xml:space="preserve"> מאגר של חייבים </w:t>
      </w:r>
      <w:r w:rsidR="00EF0C6A" w:rsidRPr="00EA2E80">
        <w:rPr>
          <w:rFonts w:cs="David" w:hint="cs"/>
          <w:b/>
          <w:bCs/>
          <w:sz w:val="24"/>
          <w:szCs w:val="24"/>
          <w:rtl/>
        </w:rPr>
        <w:t>ה</w:t>
      </w:r>
      <w:r w:rsidRPr="00EA2E80">
        <w:rPr>
          <w:rFonts w:cs="David" w:hint="cs"/>
          <w:b/>
          <w:bCs/>
          <w:sz w:val="24"/>
          <w:szCs w:val="24"/>
          <w:rtl/>
        </w:rPr>
        <w:t>משתמטים</w:t>
      </w:r>
      <w:r w:rsidR="00EF0C6A" w:rsidRPr="00EA2E80">
        <w:rPr>
          <w:rFonts w:cs="David" w:hint="cs"/>
          <w:b/>
          <w:bCs/>
          <w:sz w:val="24"/>
          <w:szCs w:val="24"/>
          <w:rtl/>
        </w:rPr>
        <w:t xml:space="preserve"> מתשלום חובותיהם</w:t>
      </w:r>
      <w:r w:rsidR="003D3630" w:rsidRPr="00EA2E80">
        <w:rPr>
          <w:rFonts w:cs="David" w:hint="cs"/>
          <w:sz w:val="24"/>
          <w:szCs w:val="24"/>
          <w:rtl/>
        </w:rPr>
        <w:t xml:space="preserve"> (תיקון מס' 43)</w:t>
      </w:r>
      <w:r w:rsidR="00D924DA" w:rsidRPr="00EA2E80">
        <w:rPr>
          <w:rFonts w:cs="David" w:hint="cs"/>
          <w:sz w:val="24"/>
          <w:szCs w:val="24"/>
          <w:rtl/>
        </w:rPr>
        <w:t xml:space="preserve">- </w:t>
      </w:r>
      <w:r w:rsidR="00891FF6" w:rsidRPr="00EA2E80">
        <w:rPr>
          <w:rFonts w:cs="David" w:hint="cs"/>
          <w:sz w:val="24"/>
          <w:szCs w:val="24"/>
          <w:rtl/>
        </w:rPr>
        <w:t>בתיקון</w:t>
      </w:r>
      <w:r w:rsidR="00EF0C6A" w:rsidRPr="00EA2E80">
        <w:rPr>
          <w:rFonts w:cs="David" w:hint="cs"/>
          <w:sz w:val="24"/>
          <w:szCs w:val="24"/>
          <w:rtl/>
        </w:rPr>
        <w:t xml:space="preserve"> האחרון </w:t>
      </w:r>
      <w:r w:rsidR="00891FF6" w:rsidRPr="00EA2E80">
        <w:rPr>
          <w:rFonts w:cs="David" w:hint="cs"/>
          <w:sz w:val="24"/>
          <w:szCs w:val="24"/>
          <w:rtl/>
        </w:rPr>
        <w:t>משנת 2014</w:t>
      </w:r>
      <w:r w:rsidR="003D3630" w:rsidRPr="00EA2E80">
        <w:rPr>
          <w:rFonts w:cs="David" w:hint="cs"/>
          <w:sz w:val="24"/>
          <w:szCs w:val="24"/>
          <w:rtl/>
        </w:rPr>
        <w:t>,</w:t>
      </w:r>
      <w:r w:rsidR="00891FF6" w:rsidRPr="00EA2E80">
        <w:rPr>
          <w:rFonts w:cs="David" w:hint="cs"/>
          <w:sz w:val="24"/>
          <w:szCs w:val="24"/>
          <w:rtl/>
        </w:rPr>
        <w:t xml:space="preserve"> בוטלה האפשרות לצוות על מאסר החייב</w:t>
      </w:r>
      <w:r w:rsidR="003D3630" w:rsidRPr="00EA2E80">
        <w:rPr>
          <w:rFonts w:cs="David" w:hint="cs"/>
          <w:sz w:val="24"/>
          <w:szCs w:val="24"/>
          <w:rtl/>
        </w:rPr>
        <w:t xml:space="preserve">, </w:t>
      </w:r>
      <w:r w:rsidR="00BB0C74" w:rsidRPr="00EA2E80">
        <w:rPr>
          <w:rFonts w:cs="David" w:hint="cs"/>
          <w:sz w:val="24"/>
          <w:szCs w:val="24"/>
          <w:rtl/>
        </w:rPr>
        <w:t>פרט למאסר בשל חוב מזונות</w:t>
      </w:r>
      <w:r w:rsidR="003D3630" w:rsidRPr="00EA2E80">
        <w:rPr>
          <w:rFonts w:cs="David" w:hint="cs"/>
          <w:sz w:val="24"/>
          <w:szCs w:val="24"/>
          <w:rtl/>
        </w:rPr>
        <w:t xml:space="preserve"> (תחילה בוטל</w:t>
      </w:r>
      <w:r w:rsidR="007124BB" w:rsidRPr="00EA2E80">
        <w:rPr>
          <w:rFonts w:cs="David" w:hint="cs"/>
          <w:sz w:val="24"/>
          <w:szCs w:val="24"/>
          <w:rtl/>
        </w:rPr>
        <w:t>ה הסמכות להורות על מאסר ח</w:t>
      </w:r>
      <w:r w:rsidR="003D3630" w:rsidRPr="00EA2E80">
        <w:rPr>
          <w:rFonts w:cs="David" w:hint="cs"/>
          <w:sz w:val="24"/>
          <w:szCs w:val="24"/>
          <w:rtl/>
        </w:rPr>
        <w:t>ייבים כהוראת שעה במסגרת תיקון מס' 29, ולאחר בדיקת השלכות הביטול הוחלט על ביטול המאסר באופן קבוע)</w:t>
      </w:r>
      <w:r w:rsidR="00EF0C6A" w:rsidRPr="00EA2E80">
        <w:rPr>
          <w:rFonts w:cs="David" w:hint="cs"/>
          <w:sz w:val="24"/>
          <w:szCs w:val="24"/>
          <w:rtl/>
        </w:rPr>
        <w:t xml:space="preserve">. </w:t>
      </w:r>
      <w:r w:rsidR="007124BB" w:rsidRPr="00EA2E80">
        <w:rPr>
          <w:rFonts w:cs="David" w:hint="cs"/>
          <w:sz w:val="24"/>
          <w:szCs w:val="24"/>
          <w:rtl/>
        </w:rPr>
        <w:t>כ</w:t>
      </w:r>
      <w:r w:rsidR="00EF0C6A" w:rsidRPr="00EA2E80">
        <w:rPr>
          <w:rFonts w:cs="David" w:hint="cs"/>
          <w:sz w:val="24"/>
          <w:szCs w:val="24"/>
          <w:rtl/>
        </w:rPr>
        <w:t xml:space="preserve">אמצעי </w:t>
      </w:r>
      <w:r w:rsidR="001D19CF">
        <w:rPr>
          <w:rFonts w:cs="David" w:hint="cs"/>
          <w:sz w:val="24"/>
          <w:szCs w:val="24"/>
          <w:rtl/>
        </w:rPr>
        <w:t>גבייה אחר</w:t>
      </w:r>
      <w:r w:rsidR="003D3630" w:rsidRPr="00EA2E80">
        <w:rPr>
          <w:rFonts w:cs="David" w:hint="cs"/>
          <w:sz w:val="24"/>
          <w:szCs w:val="24"/>
          <w:rtl/>
        </w:rPr>
        <w:t>,</w:t>
      </w:r>
      <w:r w:rsidR="00EF0C6A" w:rsidRPr="00EA2E80">
        <w:rPr>
          <w:rFonts w:cs="David" w:hint="cs"/>
          <w:sz w:val="24"/>
          <w:szCs w:val="24"/>
          <w:rtl/>
        </w:rPr>
        <w:t xml:space="preserve"> הוחלט להקים </w:t>
      </w:r>
      <w:r w:rsidR="00891FF6" w:rsidRPr="00EA2E80">
        <w:rPr>
          <w:rFonts w:cs="David" w:hint="cs"/>
          <w:sz w:val="24"/>
          <w:szCs w:val="24"/>
          <w:rtl/>
        </w:rPr>
        <w:t xml:space="preserve">מאגר חייבים בעלי יכולת המשתמטים מתשלום חובותיהם (להלן </w:t>
      </w:r>
      <w:r w:rsidR="00891FF6" w:rsidRPr="00EA2E80">
        <w:rPr>
          <w:rFonts w:cs="David"/>
          <w:sz w:val="24"/>
          <w:szCs w:val="24"/>
        </w:rPr>
        <w:t>–</w:t>
      </w:r>
      <w:r w:rsidR="00891FF6" w:rsidRPr="00EA2E80">
        <w:rPr>
          <w:rFonts w:cs="David" w:hint="cs"/>
          <w:sz w:val="24"/>
          <w:szCs w:val="24"/>
          <w:rtl/>
        </w:rPr>
        <w:t xml:space="preserve"> מרשם החייבים המשתמטים)</w:t>
      </w:r>
      <w:r w:rsidR="001D19CF">
        <w:rPr>
          <w:rFonts w:cs="David" w:hint="cs"/>
          <w:sz w:val="24"/>
          <w:szCs w:val="24"/>
          <w:rtl/>
        </w:rPr>
        <w:t>. לפי החוק, הציבור יוכל לבדוק האם אדם נכלל במרשם</w:t>
      </w:r>
      <w:r w:rsidR="00F81FF2" w:rsidRPr="00EA2E80">
        <w:rPr>
          <w:rFonts w:cs="David" w:hint="cs"/>
          <w:sz w:val="24"/>
          <w:szCs w:val="24"/>
          <w:rtl/>
        </w:rPr>
        <w:t>.</w:t>
      </w:r>
      <w:r w:rsidR="00307C68" w:rsidRPr="00EA2E80">
        <w:rPr>
          <w:rFonts w:cs="David" w:hint="cs"/>
          <w:sz w:val="24"/>
          <w:szCs w:val="24"/>
          <w:rtl/>
        </w:rPr>
        <w:t xml:space="preserve"> </w:t>
      </w:r>
      <w:r w:rsidR="007124BB" w:rsidRPr="00EA2E80">
        <w:rPr>
          <w:rFonts w:cs="David" w:hint="cs"/>
          <w:sz w:val="24"/>
          <w:szCs w:val="24"/>
          <w:rtl/>
        </w:rPr>
        <w:t xml:space="preserve">שמו של חייב </w:t>
      </w:r>
      <w:r w:rsidR="001D19CF">
        <w:rPr>
          <w:rFonts w:cs="David" w:hint="cs"/>
          <w:sz w:val="24"/>
          <w:szCs w:val="24"/>
          <w:rtl/>
        </w:rPr>
        <w:t xml:space="preserve">יוסף </w:t>
      </w:r>
      <w:r w:rsidR="007124BB" w:rsidRPr="00EA2E80">
        <w:rPr>
          <w:rFonts w:cs="David" w:hint="cs"/>
          <w:sz w:val="24"/>
          <w:szCs w:val="24"/>
          <w:rtl/>
        </w:rPr>
        <w:t xml:space="preserve">למרשם </w:t>
      </w:r>
      <w:r w:rsidR="001D19CF">
        <w:rPr>
          <w:rFonts w:cs="David" w:hint="cs"/>
          <w:sz w:val="24"/>
          <w:szCs w:val="24"/>
          <w:rtl/>
        </w:rPr>
        <w:t xml:space="preserve">החייבים המשתמטים </w:t>
      </w:r>
      <w:r w:rsidR="00307C68" w:rsidRPr="00EA2E80">
        <w:rPr>
          <w:rFonts w:cs="David" w:hint="cs"/>
          <w:sz w:val="24"/>
          <w:szCs w:val="24"/>
          <w:rtl/>
        </w:rPr>
        <w:t>בהתקיים מספר תנאים מצטברים ו</w:t>
      </w:r>
      <w:r w:rsidR="007124BB" w:rsidRPr="00EA2E80">
        <w:rPr>
          <w:rFonts w:cs="David" w:hint="cs"/>
          <w:sz w:val="24"/>
          <w:szCs w:val="24"/>
          <w:rtl/>
        </w:rPr>
        <w:t xml:space="preserve">רק לאחר שננקטו כל האמצעים האחרים שניתן להפעיל לפי החוק (הגבלת קבלת דרכון, עיכוב יציאה מהארץ, הגבלת החייב כלקוח מוגבל מיוחד ועוד) ולאחר שהרשם השתכנע </w:t>
      </w:r>
      <w:r w:rsidR="003D3630" w:rsidRPr="00EA2E80">
        <w:rPr>
          <w:rFonts w:cs="David" w:hint="cs"/>
          <w:sz w:val="24"/>
          <w:szCs w:val="24"/>
          <w:rtl/>
        </w:rPr>
        <w:t xml:space="preserve">כי </w:t>
      </w:r>
      <w:r w:rsidR="002E43FE" w:rsidRPr="00EA2E80">
        <w:rPr>
          <w:rFonts w:cs="David" w:hint="cs"/>
          <w:sz w:val="24"/>
          <w:szCs w:val="24"/>
          <w:rtl/>
        </w:rPr>
        <w:t xml:space="preserve">מוצדק </w:t>
      </w:r>
      <w:r w:rsidR="00EF0C6A" w:rsidRPr="00EA2E80">
        <w:rPr>
          <w:rFonts w:cs="David" w:hint="cs"/>
          <w:sz w:val="24"/>
          <w:szCs w:val="24"/>
          <w:rtl/>
        </w:rPr>
        <w:t xml:space="preserve">בנסיבות העניין </w:t>
      </w:r>
      <w:r w:rsidR="002E43FE" w:rsidRPr="00EA2E80">
        <w:rPr>
          <w:rFonts w:cs="David" w:hint="cs"/>
          <w:sz w:val="24"/>
          <w:szCs w:val="24"/>
          <w:rtl/>
        </w:rPr>
        <w:t>ל</w:t>
      </w:r>
      <w:r w:rsidR="007124BB" w:rsidRPr="00EA2E80">
        <w:rPr>
          <w:rFonts w:cs="David" w:hint="cs"/>
          <w:sz w:val="24"/>
          <w:szCs w:val="24"/>
          <w:rtl/>
        </w:rPr>
        <w:t>עשות כן.</w:t>
      </w:r>
      <w:r w:rsidR="00307C68" w:rsidRPr="00EA2E80">
        <w:rPr>
          <w:rFonts w:cs="David" w:hint="cs"/>
          <w:sz w:val="24"/>
          <w:szCs w:val="24"/>
          <w:rtl/>
        </w:rPr>
        <w:t xml:space="preserve"> </w:t>
      </w:r>
      <w:r w:rsidR="007124BB" w:rsidRPr="00EA2E80">
        <w:rPr>
          <w:rFonts w:cs="David" w:hint="cs"/>
          <w:sz w:val="24"/>
          <w:szCs w:val="24"/>
          <w:rtl/>
        </w:rPr>
        <w:t xml:space="preserve">במטרה </w:t>
      </w:r>
      <w:r w:rsidR="00EF0C6A" w:rsidRPr="00EA2E80">
        <w:rPr>
          <w:rFonts w:cs="David" w:hint="cs"/>
          <w:sz w:val="24"/>
          <w:szCs w:val="24"/>
          <w:rtl/>
        </w:rPr>
        <w:t xml:space="preserve">לצמצם את הפגיעה בחייב, </w:t>
      </w:r>
      <w:r w:rsidR="003C46E0" w:rsidRPr="00EA2E80">
        <w:rPr>
          <w:rFonts w:cs="David" w:hint="cs"/>
          <w:sz w:val="24"/>
          <w:szCs w:val="24"/>
          <w:rtl/>
        </w:rPr>
        <w:t xml:space="preserve">נקבע </w:t>
      </w:r>
      <w:r w:rsidR="00EF0C6A" w:rsidRPr="00EA2E80">
        <w:rPr>
          <w:rFonts w:cs="David" w:hint="cs"/>
          <w:sz w:val="24"/>
          <w:szCs w:val="24"/>
          <w:rtl/>
        </w:rPr>
        <w:t xml:space="preserve">כי המרשם לא יהיה פתוח לעיני כל באופן חופשי וכי </w:t>
      </w:r>
      <w:r w:rsidR="003C46E0" w:rsidRPr="00EA2E80">
        <w:rPr>
          <w:rFonts w:cs="David" w:hint="cs"/>
          <w:sz w:val="24"/>
          <w:szCs w:val="24"/>
          <w:rtl/>
        </w:rPr>
        <w:t xml:space="preserve">לשם </w:t>
      </w:r>
      <w:r w:rsidR="00EF0C6A" w:rsidRPr="00EA2E80">
        <w:rPr>
          <w:rFonts w:cs="David" w:hint="cs"/>
          <w:sz w:val="24"/>
          <w:szCs w:val="24"/>
          <w:rtl/>
        </w:rPr>
        <w:t>קבל</w:t>
      </w:r>
      <w:r w:rsidR="003C46E0" w:rsidRPr="00EA2E80">
        <w:rPr>
          <w:rFonts w:cs="David" w:hint="cs"/>
          <w:sz w:val="24"/>
          <w:szCs w:val="24"/>
          <w:rtl/>
        </w:rPr>
        <w:t>ת</w:t>
      </w:r>
      <w:r w:rsidR="00EF0C6A" w:rsidRPr="00EA2E80">
        <w:rPr>
          <w:rFonts w:cs="David" w:hint="cs"/>
          <w:sz w:val="24"/>
          <w:szCs w:val="24"/>
          <w:rtl/>
        </w:rPr>
        <w:t xml:space="preserve"> </w:t>
      </w:r>
      <w:r w:rsidR="00307C68" w:rsidRPr="00EA2E80">
        <w:rPr>
          <w:rFonts w:cs="David" w:hint="cs"/>
          <w:sz w:val="24"/>
          <w:szCs w:val="24"/>
          <w:rtl/>
        </w:rPr>
        <w:t xml:space="preserve">מידע מהמרשם נדרש </w:t>
      </w:r>
      <w:r w:rsidR="00EF0C6A" w:rsidRPr="00EA2E80">
        <w:rPr>
          <w:rFonts w:cs="David" w:hint="cs"/>
          <w:sz w:val="24"/>
          <w:szCs w:val="24"/>
          <w:rtl/>
        </w:rPr>
        <w:t xml:space="preserve">יהיה </w:t>
      </w:r>
      <w:r w:rsidR="00307C68" w:rsidRPr="00EA2E80">
        <w:rPr>
          <w:rFonts w:cs="David" w:hint="cs"/>
          <w:sz w:val="24"/>
          <w:szCs w:val="24"/>
          <w:rtl/>
        </w:rPr>
        <w:t>להגיש שאילתה למערכת ההוצאה לפועל תוך הזדהות הפונה</w:t>
      </w:r>
      <w:r w:rsidR="00EF0C6A" w:rsidRPr="00EA2E80">
        <w:rPr>
          <w:rFonts w:cs="David" w:hint="cs"/>
          <w:sz w:val="24"/>
          <w:szCs w:val="24"/>
          <w:rtl/>
        </w:rPr>
        <w:t xml:space="preserve"> ומתן הסבר על הצורך בקבלת המידע</w:t>
      </w:r>
      <w:r w:rsidR="00307C68" w:rsidRPr="00EA2E80">
        <w:rPr>
          <w:rFonts w:cs="David" w:hint="cs"/>
          <w:sz w:val="24"/>
          <w:szCs w:val="24"/>
          <w:rtl/>
        </w:rPr>
        <w:t xml:space="preserve">. </w:t>
      </w:r>
      <w:r w:rsidR="003D3630" w:rsidRPr="00EA2E80">
        <w:rPr>
          <w:rFonts w:cs="David" w:hint="cs"/>
          <w:sz w:val="24"/>
          <w:szCs w:val="24"/>
          <w:rtl/>
        </w:rPr>
        <w:t>כמו כן, במסגרת התיקון נוספו סמכויות למערכת ההוצאה לפועל כדי לסייע לזוכה לגבות את החוב- קבלת עדכון מרשות האוכלוסין על כניסת חייב לישראל, קבלת מידע מגורמים נוספים, מתן אפשרות לרשם ההוצאה לפועל להורות על קבלת מספרי הטלפון של החייב בכדי שהרשויות יוכלו ליצור עמו קשר טלפוני</w:t>
      </w:r>
      <w:r w:rsidR="007124BB" w:rsidRPr="00EA2E80">
        <w:rPr>
          <w:rFonts w:cs="David" w:hint="cs"/>
          <w:sz w:val="24"/>
          <w:szCs w:val="24"/>
          <w:rtl/>
        </w:rPr>
        <w:t xml:space="preserve"> ועוד</w:t>
      </w:r>
      <w:r w:rsidR="003D3630" w:rsidRPr="00EA2E80">
        <w:rPr>
          <w:rFonts w:cs="David" w:hint="cs"/>
          <w:sz w:val="24"/>
          <w:szCs w:val="24"/>
          <w:rtl/>
        </w:rPr>
        <w:t>.</w:t>
      </w:r>
    </w:p>
    <w:p w:rsidR="006D3E4C" w:rsidRPr="001D19CF" w:rsidRDefault="006258C3" w:rsidP="001D19CF">
      <w:pPr>
        <w:pStyle w:val="a3"/>
        <w:numPr>
          <w:ilvl w:val="0"/>
          <w:numId w:val="2"/>
        </w:numPr>
        <w:spacing w:before="120" w:after="0" w:line="360" w:lineRule="auto"/>
        <w:jc w:val="both"/>
        <w:rPr>
          <w:rFonts w:cs="David"/>
          <w:sz w:val="24"/>
          <w:szCs w:val="24"/>
          <w:rtl/>
        </w:rPr>
      </w:pPr>
      <w:r w:rsidRPr="001D19CF">
        <w:rPr>
          <w:rFonts w:cs="David" w:hint="cs"/>
          <w:b/>
          <w:bCs/>
          <w:sz w:val="24"/>
          <w:szCs w:val="24"/>
          <w:rtl/>
        </w:rPr>
        <w:t>מסלול מקוצר</w:t>
      </w:r>
      <w:r w:rsidR="0067457A" w:rsidRPr="001D19CF">
        <w:rPr>
          <w:rFonts w:cs="David" w:hint="cs"/>
          <w:sz w:val="24"/>
          <w:szCs w:val="24"/>
          <w:rtl/>
        </w:rPr>
        <w:t xml:space="preserve">- </w:t>
      </w:r>
      <w:r w:rsidR="00105B8D" w:rsidRPr="001D19CF">
        <w:rPr>
          <w:rFonts w:cs="David" w:hint="cs"/>
          <w:sz w:val="24"/>
          <w:szCs w:val="24"/>
          <w:rtl/>
        </w:rPr>
        <w:t>ה</w:t>
      </w:r>
      <w:r w:rsidR="006D3E4C" w:rsidRPr="001D19CF">
        <w:rPr>
          <w:rFonts w:cs="David" w:hint="cs"/>
          <w:sz w:val="24"/>
          <w:szCs w:val="24"/>
          <w:rtl/>
        </w:rPr>
        <w:t xml:space="preserve">מסלול המקוצר נועד לאפשר </w:t>
      </w:r>
      <w:bookmarkStart w:id="1" w:name="_ETM_Q74_431169"/>
      <w:bookmarkEnd w:id="1"/>
      <w:r w:rsidR="001D19CF" w:rsidRPr="001D19CF">
        <w:rPr>
          <w:rFonts w:cs="David" w:hint="cs"/>
          <w:sz w:val="24"/>
          <w:szCs w:val="24"/>
          <w:rtl/>
        </w:rPr>
        <w:t>לזוכה גבייה יעילה ומהירה באמצעות פקידי ההוצאה לפועל</w:t>
      </w:r>
      <w:r w:rsidR="001D19CF">
        <w:rPr>
          <w:rFonts w:cs="David" w:hint="cs"/>
          <w:sz w:val="24"/>
          <w:szCs w:val="24"/>
          <w:rtl/>
        </w:rPr>
        <w:t xml:space="preserve"> </w:t>
      </w:r>
      <w:r w:rsidR="006D3E4C" w:rsidRPr="001D19CF">
        <w:rPr>
          <w:rFonts w:cs="David" w:hint="cs"/>
          <w:sz w:val="24"/>
          <w:szCs w:val="24"/>
          <w:rtl/>
        </w:rPr>
        <w:t>של חובות שאינם עולים על 10,000 שקלים</w:t>
      </w:r>
      <w:r w:rsidR="00620C30">
        <w:rPr>
          <w:rFonts w:cs="David" w:hint="cs"/>
          <w:sz w:val="24"/>
          <w:szCs w:val="24"/>
          <w:rtl/>
        </w:rPr>
        <w:t>. הגביה תיעשה</w:t>
      </w:r>
      <w:r w:rsidR="006D3E4C" w:rsidRPr="001D19CF">
        <w:rPr>
          <w:rFonts w:cs="David" w:hint="cs"/>
          <w:sz w:val="24"/>
          <w:szCs w:val="24"/>
          <w:rtl/>
        </w:rPr>
        <w:t xml:space="preserve"> ב</w:t>
      </w:r>
      <w:bookmarkStart w:id="2" w:name="_ETM_Q74_432755"/>
      <w:bookmarkEnd w:id="2"/>
      <w:r w:rsidR="006D3E4C" w:rsidRPr="001D19CF">
        <w:rPr>
          <w:rFonts w:cs="David" w:hint="cs"/>
          <w:sz w:val="24"/>
          <w:szCs w:val="24"/>
          <w:rtl/>
        </w:rPr>
        <w:t xml:space="preserve">אמצעות נקיטת מספר הליכים מוגבל, כגון עיקול רכב או עיקול </w:t>
      </w:r>
      <w:bookmarkStart w:id="3" w:name="_ETM_Q74_432304"/>
      <w:bookmarkEnd w:id="3"/>
      <w:r w:rsidR="006D3E4C" w:rsidRPr="001D19CF">
        <w:rPr>
          <w:rFonts w:cs="David" w:hint="cs"/>
          <w:sz w:val="24"/>
          <w:szCs w:val="24"/>
          <w:rtl/>
        </w:rPr>
        <w:t>כספים של החייב.</w:t>
      </w:r>
      <w:bookmarkStart w:id="4" w:name="_ETM_Q74_438385"/>
      <w:bookmarkStart w:id="5" w:name="_ETM_Q74_438514"/>
      <w:bookmarkEnd w:id="4"/>
      <w:bookmarkEnd w:id="5"/>
      <w:r w:rsidR="006D3E4C" w:rsidRPr="001D19CF">
        <w:rPr>
          <w:rFonts w:cs="David" w:hint="cs"/>
          <w:sz w:val="24"/>
          <w:szCs w:val="24"/>
          <w:rtl/>
        </w:rPr>
        <w:t xml:space="preserve"> </w:t>
      </w:r>
      <w:r w:rsidR="006D3E4C" w:rsidRPr="001D19CF">
        <w:rPr>
          <w:rFonts w:cs="David"/>
          <w:sz w:val="24"/>
          <w:szCs w:val="24"/>
          <w:rtl/>
        </w:rPr>
        <w:t>המסלול המקוצר מאופיין במעורבות מינימלית של הזוכה</w:t>
      </w:r>
      <w:r w:rsidR="006D3E4C" w:rsidRPr="001D19CF">
        <w:rPr>
          <w:rFonts w:cs="David" w:hint="cs"/>
          <w:sz w:val="24"/>
          <w:szCs w:val="24"/>
          <w:rtl/>
        </w:rPr>
        <w:t>,</w:t>
      </w:r>
      <w:r w:rsidR="006D3E4C" w:rsidRPr="001D19CF">
        <w:rPr>
          <w:rFonts w:cs="David"/>
          <w:sz w:val="24"/>
          <w:szCs w:val="24"/>
          <w:rtl/>
        </w:rPr>
        <w:t xml:space="preserve"> ומטרתו לייעל את ההליכים ולחסוך בעלויות.</w:t>
      </w:r>
      <w:r w:rsidR="006D3E4C" w:rsidRPr="001D19CF">
        <w:rPr>
          <w:rFonts w:cs="David" w:hint="cs"/>
          <w:sz w:val="24"/>
          <w:szCs w:val="24"/>
          <w:rtl/>
        </w:rPr>
        <w:t xml:space="preserve"> </w:t>
      </w:r>
      <w:r w:rsidR="00D964A7" w:rsidRPr="001D19CF">
        <w:rPr>
          <w:rFonts w:cs="David" w:hint="cs"/>
          <w:sz w:val="24"/>
          <w:szCs w:val="24"/>
          <w:rtl/>
        </w:rPr>
        <w:t xml:space="preserve">הטיפול בתיק במסלול זה יסתיים </w:t>
      </w:r>
      <w:r w:rsidR="006D3E4C" w:rsidRPr="001D19CF">
        <w:rPr>
          <w:rFonts w:cs="David" w:hint="cs"/>
          <w:sz w:val="24"/>
          <w:szCs w:val="24"/>
          <w:rtl/>
        </w:rPr>
        <w:t xml:space="preserve">אם לאחר שמונה חודשים לא </w:t>
      </w:r>
      <w:r w:rsidR="00D964A7" w:rsidRPr="001D19CF">
        <w:rPr>
          <w:rFonts w:cs="David" w:hint="cs"/>
          <w:sz w:val="24"/>
          <w:szCs w:val="24"/>
          <w:rtl/>
        </w:rPr>
        <w:t>נגבה החוב, רשם ההוצל"פ התרשם שאין טעם בהמשך ההליכים</w:t>
      </w:r>
      <w:r w:rsidR="00105B8D" w:rsidRPr="001D19CF">
        <w:rPr>
          <w:rFonts w:cs="David" w:hint="cs"/>
          <w:sz w:val="24"/>
          <w:szCs w:val="24"/>
          <w:rtl/>
        </w:rPr>
        <w:t>,</w:t>
      </w:r>
      <w:r w:rsidR="00D964A7" w:rsidRPr="001D19CF">
        <w:rPr>
          <w:rFonts w:cs="David" w:hint="cs"/>
          <w:sz w:val="24"/>
          <w:szCs w:val="24"/>
          <w:rtl/>
        </w:rPr>
        <w:t xml:space="preserve"> או שהזוכה ביקש להעביר את התיק  למסלול הרגיל.</w:t>
      </w:r>
      <w:r w:rsidR="006D3E4C" w:rsidRPr="001D19CF">
        <w:rPr>
          <w:rFonts w:cs="David"/>
          <w:sz w:val="24"/>
          <w:szCs w:val="24"/>
          <w:rtl/>
        </w:rPr>
        <w:t xml:space="preserve"> במטרה לבחון את יעילות המסלול נקבע מנגנון זה כהוראת </w:t>
      </w:r>
      <w:r w:rsidR="006D3E4C" w:rsidRPr="001D19CF">
        <w:rPr>
          <w:rFonts w:cs="David"/>
          <w:sz w:val="24"/>
          <w:szCs w:val="24"/>
          <w:rtl/>
        </w:rPr>
        <w:lastRenderedPageBreak/>
        <w:t>שעה.</w:t>
      </w:r>
      <w:r w:rsidR="006D3E4C" w:rsidRPr="001D19CF">
        <w:rPr>
          <w:rFonts w:cs="David" w:hint="cs"/>
          <w:sz w:val="24"/>
          <w:szCs w:val="24"/>
          <w:rtl/>
        </w:rPr>
        <w:t xml:space="preserve"> ההסדר נכנס לתוקף ב- 1.8.09  ותוקפו הוארך מספר פעמים על ידי הוועדה עד ליום 15.9.16.</w:t>
      </w:r>
      <w:r w:rsidR="006D3E4C" w:rsidRPr="001D19CF">
        <w:rPr>
          <w:rFonts w:cs="David"/>
          <w:sz w:val="24"/>
          <w:szCs w:val="24"/>
          <w:rtl/>
        </w:rPr>
        <w:t xml:space="preserve"> </w:t>
      </w:r>
      <w:r w:rsidR="00EF0C6A" w:rsidRPr="001D19CF">
        <w:rPr>
          <w:rFonts w:cs="David" w:hint="cs"/>
          <w:sz w:val="24"/>
          <w:szCs w:val="24"/>
          <w:rtl/>
        </w:rPr>
        <w:t>(המסלול המקוצר החל בתיקון מס' 29 בשנת 2008, ותוקפו הוארך במסגרת תיקון מס' 34 בשנת 2011 ובמסגרת תיקון מס' 41 בשנת 2012).</w:t>
      </w:r>
    </w:p>
    <w:p w:rsidR="00457295" w:rsidRPr="00EA2E80" w:rsidRDefault="006258C3" w:rsidP="003C46E0">
      <w:pPr>
        <w:pStyle w:val="a3"/>
        <w:numPr>
          <w:ilvl w:val="0"/>
          <w:numId w:val="2"/>
        </w:numPr>
        <w:spacing w:before="120" w:after="0" w:line="360" w:lineRule="auto"/>
        <w:jc w:val="both"/>
        <w:rPr>
          <w:rFonts w:cs="David"/>
          <w:sz w:val="24"/>
          <w:szCs w:val="24"/>
        </w:rPr>
      </w:pPr>
      <w:r w:rsidRPr="00EA2E80">
        <w:rPr>
          <w:rFonts w:cs="David" w:hint="cs"/>
          <w:b/>
          <w:bCs/>
          <w:sz w:val="24"/>
          <w:szCs w:val="24"/>
          <w:rtl/>
        </w:rPr>
        <w:t>מסלול לגביית חוב המזונות</w:t>
      </w:r>
      <w:r w:rsidR="0067457A" w:rsidRPr="00EA2E80">
        <w:rPr>
          <w:rFonts w:cs="David" w:hint="cs"/>
          <w:b/>
          <w:bCs/>
          <w:sz w:val="24"/>
          <w:szCs w:val="24"/>
          <w:rtl/>
        </w:rPr>
        <w:t>-</w:t>
      </w:r>
      <w:r w:rsidR="0067457A" w:rsidRPr="00EA2E80">
        <w:rPr>
          <w:rFonts w:cs="David" w:hint="cs"/>
          <w:sz w:val="24"/>
          <w:szCs w:val="24"/>
          <w:rtl/>
        </w:rPr>
        <w:t xml:space="preserve"> מסלול זה נועד לסייע בגביית חוב המזונות </w:t>
      </w:r>
      <w:r w:rsidR="00457295" w:rsidRPr="00EA2E80">
        <w:rPr>
          <w:rFonts w:cs="David" w:hint="cs"/>
          <w:sz w:val="24"/>
          <w:szCs w:val="24"/>
          <w:rtl/>
        </w:rPr>
        <w:t>ו</w:t>
      </w:r>
      <w:r w:rsidR="0067457A" w:rsidRPr="00EA2E80">
        <w:rPr>
          <w:rFonts w:cs="David" w:hint="cs"/>
          <w:sz w:val="24"/>
          <w:szCs w:val="24"/>
          <w:rtl/>
        </w:rPr>
        <w:t xml:space="preserve">להקל על הזוכים </w:t>
      </w:r>
      <w:r w:rsidR="00457295" w:rsidRPr="00EA2E80">
        <w:rPr>
          <w:rFonts w:cs="David" w:hint="cs"/>
          <w:sz w:val="24"/>
          <w:szCs w:val="24"/>
          <w:rtl/>
        </w:rPr>
        <w:t>ב</w:t>
      </w:r>
      <w:r w:rsidR="0076017F" w:rsidRPr="00EA2E80">
        <w:rPr>
          <w:rFonts w:cs="David" w:hint="cs"/>
          <w:sz w:val="24"/>
          <w:szCs w:val="24"/>
          <w:rtl/>
        </w:rPr>
        <w:t xml:space="preserve">תיקים אלו באמצעות הסמכת </w:t>
      </w:r>
      <w:r w:rsidR="00457295" w:rsidRPr="00EA2E80">
        <w:rPr>
          <w:rFonts w:cs="David" w:hint="cs"/>
          <w:sz w:val="24"/>
          <w:szCs w:val="24"/>
          <w:rtl/>
        </w:rPr>
        <w:t xml:space="preserve">מערכת ההוצאה לפועל </w:t>
      </w:r>
      <w:r w:rsidR="0076017F" w:rsidRPr="00EA2E80">
        <w:rPr>
          <w:rFonts w:cs="David" w:hint="cs"/>
          <w:sz w:val="24"/>
          <w:szCs w:val="24"/>
          <w:rtl/>
        </w:rPr>
        <w:t xml:space="preserve">לפעול </w:t>
      </w:r>
      <w:r w:rsidR="00457295" w:rsidRPr="00EA2E80">
        <w:rPr>
          <w:rFonts w:cs="David" w:hint="cs"/>
          <w:sz w:val="24"/>
          <w:szCs w:val="24"/>
          <w:rtl/>
        </w:rPr>
        <w:t>כגורם אקטיבי</w:t>
      </w:r>
      <w:r w:rsidR="0076017F" w:rsidRPr="00EA2E80">
        <w:rPr>
          <w:rFonts w:cs="David" w:hint="cs"/>
          <w:sz w:val="24"/>
          <w:szCs w:val="24"/>
          <w:rtl/>
        </w:rPr>
        <w:t>.</w:t>
      </w:r>
      <w:r w:rsidR="00457295" w:rsidRPr="00EA2E80">
        <w:rPr>
          <w:rFonts w:cs="David" w:hint="cs"/>
          <w:sz w:val="24"/>
          <w:szCs w:val="24"/>
          <w:rtl/>
        </w:rPr>
        <w:t xml:space="preserve"> הצורך במסלול מיוחד לגביית פסקי דין למזונות מתחדד לאור המציאות שבה מרבית הזוכים הפרטיים בתיקי מזונות בהוצאה לפועל אינם מיוצגים </w:t>
      </w:r>
      <w:r w:rsidR="0076017F" w:rsidRPr="00EA2E80">
        <w:rPr>
          <w:rFonts w:cs="David" w:hint="cs"/>
          <w:sz w:val="24"/>
          <w:szCs w:val="24"/>
          <w:rtl/>
        </w:rPr>
        <w:t xml:space="preserve">ולכן הם </w:t>
      </w:r>
      <w:r w:rsidR="00457295" w:rsidRPr="00EA2E80">
        <w:rPr>
          <w:rFonts w:cs="David" w:hint="cs"/>
          <w:sz w:val="24"/>
          <w:szCs w:val="24"/>
          <w:rtl/>
        </w:rPr>
        <w:t xml:space="preserve">חסרים את הידע והבקיאות לניהול יעיל של התיק, וכן, מחשש של חלק מהזוכים, בעיקר זוכות, כי נקיטת הליכים כלפי החייב תגביר את החיכוך והעימותים, ולעתים תוביל אף לסחיטה או לאיומים, דבר שעלול להוביל לפגיעה בילדים. התוצאה של ניהול לא יעיל של תיקים אלה היא כי זוכים רבים, בעיקר ילדים, לא מקבלים את דמי המזונות להם הם זכאים וזקוקים. לפי ההסדר שעוגן בחוק, תיקי מזונות בהם הזוכה הוא המוסד לביטוח לאומי ייפתחו תמיד במסלול המזונות. לעומת זאת, זוכה פרטית תוכל לבחור אם לפתוח את התיק במסלול מזונות או במסלול רגיל, לאחר שיסופק לה מידע על המסלולים השונים. במסגרת מסלול המזונות רשאית לשכת ההוצאה לפועל לנקוט את כל ההליכים המפורטים בחוק ובתקנות. במטרה להבטיח שלשכת ההוצאה לפועל תפעל בהתאם למדיניות אחידה, יעילה ומאוזנת שאינה פוגעת בחייב יתר על המידה, נקבע כי ייקבעו כללים שיסדירו את ההליכים במסלול המזונות. </w:t>
      </w:r>
      <w:r w:rsidR="00BA201E" w:rsidRPr="00EA2E80">
        <w:rPr>
          <w:rFonts w:cs="David" w:hint="cs"/>
          <w:sz w:val="24"/>
          <w:szCs w:val="24"/>
          <w:rtl/>
        </w:rPr>
        <w:t xml:space="preserve">בחוק נקבע כי ההסדר </w:t>
      </w:r>
      <w:r w:rsidR="0076017F" w:rsidRPr="00EA2E80">
        <w:rPr>
          <w:rFonts w:cs="David" w:hint="cs"/>
          <w:sz w:val="24"/>
          <w:szCs w:val="24"/>
          <w:rtl/>
        </w:rPr>
        <w:t>יחל לפעול</w:t>
      </w:r>
      <w:r w:rsidR="00BA201E" w:rsidRPr="00EA2E80">
        <w:rPr>
          <w:rFonts w:cs="David" w:hint="cs"/>
          <w:sz w:val="24"/>
          <w:szCs w:val="24"/>
          <w:rtl/>
        </w:rPr>
        <w:t xml:space="preserve"> בפברואר 2014, תחילה לעניין תיקים חדשים ובאופן מדורג </w:t>
      </w:r>
      <w:r w:rsidR="00457295" w:rsidRPr="00EA2E80">
        <w:rPr>
          <w:rFonts w:cs="David" w:hint="cs"/>
          <w:sz w:val="24"/>
          <w:szCs w:val="24"/>
          <w:rtl/>
        </w:rPr>
        <w:t>ניתן היה להעביר את כלל תיקי המזונות למסלול זה.</w:t>
      </w:r>
      <w:r w:rsidR="00BA201E" w:rsidRPr="00EA2E80">
        <w:rPr>
          <w:rFonts w:cs="David" w:hint="cs"/>
          <w:sz w:val="24"/>
          <w:szCs w:val="24"/>
          <w:rtl/>
        </w:rPr>
        <w:t xml:space="preserve"> ההסדר נקבע כהוראת שעה למשך שש שנים, במהלכן ידווח אחת לשנה על יישומו לוועדת החוקה, כדי שניתן יהיה לבחון את מידת הצלחתו וקביעתו כהוראת קבע.</w:t>
      </w:r>
      <w:r w:rsidR="00EF0C6A" w:rsidRPr="00EA2E80">
        <w:rPr>
          <w:rFonts w:cs="David" w:hint="cs"/>
          <w:sz w:val="24"/>
          <w:szCs w:val="24"/>
          <w:rtl/>
        </w:rPr>
        <w:t xml:space="preserve"> (תיקון מס' 42 משנת 2013).</w:t>
      </w:r>
    </w:p>
    <w:p w:rsidR="00F205DF" w:rsidRPr="00EA2E80" w:rsidRDefault="003D3630" w:rsidP="00620C30">
      <w:pPr>
        <w:pStyle w:val="a3"/>
        <w:numPr>
          <w:ilvl w:val="0"/>
          <w:numId w:val="2"/>
        </w:numPr>
        <w:spacing w:before="120" w:after="0" w:line="360" w:lineRule="auto"/>
        <w:jc w:val="both"/>
        <w:rPr>
          <w:rFonts w:cs="David"/>
          <w:sz w:val="24"/>
          <w:szCs w:val="24"/>
        </w:rPr>
      </w:pPr>
      <w:r w:rsidRPr="00EA2E80">
        <w:rPr>
          <w:rFonts w:cs="David" w:hint="cs"/>
          <w:b/>
          <w:bCs/>
          <w:sz w:val="24"/>
          <w:szCs w:val="24"/>
          <w:rtl/>
        </w:rPr>
        <w:t xml:space="preserve">תיקון מס' 29- </w:t>
      </w:r>
      <w:r w:rsidR="00EF0C6A" w:rsidRPr="00EA2E80">
        <w:rPr>
          <w:rFonts w:cs="David" w:hint="cs"/>
          <w:b/>
          <w:bCs/>
          <w:sz w:val="24"/>
          <w:szCs w:val="24"/>
          <w:rtl/>
        </w:rPr>
        <w:t>ניתוק מערכת ההוצאה לפועל מהנהלת בתי המשפט</w:t>
      </w:r>
      <w:r w:rsidR="003C46E0" w:rsidRPr="00EA2E80">
        <w:rPr>
          <w:rFonts w:cs="David" w:hint="cs"/>
          <w:b/>
          <w:bCs/>
          <w:sz w:val="24"/>
          <w:szCs w:val="24"/>
          <w:rtl/>
        </w:rPr>
        <w:t xml:space="preserve"> והוספת סמכויות</w:t>
      </w:r>
      <w:r w:rsidR="003C46E0" w:rsidRPr="00EA2E80">
        <w:rPr>
          <w:rFonts w:cs="David" w:hint="cs"/>
          <w:sz w:val="24"/>
          <w:szCs w:val="24"/>
          <w:rtl/>
        </w:rPr>
        <w:t xml:space="preserve"> </w:t>
      </w:r>
      <w:r w:rsidR="00EF0C6A" w:rsidRPr="00EA2E80">
        <w:rPr>
          <w:rFonts w:cs="David" w:hint="cs"/>
          <w:sz w:val="24"/>
          <w:szCs w:val="24"/>
          <w:rtl/>
        </w:rPr>
        <w:t>- בשנת 2008</w:t>
      </w:r>
      <w:r w:rsidR="003C46E0" w:rsidRPr="00EA2E80">
        <w:rPr>
          <w:rFonts w:cs="David" w:hint="cs"/>
          <w:sz w:val="24"/>
          <w:szCs w:val="24"/>
          <w:rtl/>
        </w:rPr>
        <w:t xml:space="preserve"> </w:t>
      </w:r>
      <w:r w:rsidR="00EF0C6A" w:rsidRPr="00EA2E80">
        <w:rPr>
          <w:rFonts w:cs="David" w:hint="cs"/>
          <w:sz w:val="24"/>
          <w:szCs w:val="24"/>
          <w:rtl/>
        </w:rPr>
        <w:t xml:space="preserve">אושר תיקון </w:t>
      </w:r>
      <w:r w:rsidR="003C46E0" w:rsidRPr="00EA2E80">
        <w:rPr>
          <w:rFonts w:cs="David" w:hint="cs"/>
          <w:sz w:val="24"/>
          <w:szCs w:val="24"/>
          <w:rtl/>
        </w:rPr>
        <w:t xml:space="preserve">אשר הפריד </w:t>
      </w:r>
      <w:r w:rsidR="00EF0C6A" w:rsidRPr="00EA2E80">
        <w:rPr>
          <w:rFonts w:cs="David" w:hint="cs"/>
          <w:sz w:val="24"/>
          <w:szCs w:val="24"/>
          <w:rtl/>
        </w:rPr>
        <w:t>את מערכת ההוצאה לפועל מהנהלת בתי המשפט</w:t>
      </w:r>
      <w:r w:rsidR="00F205DF" w:rsidRPr="00EA2E80">
        <w:rPr>
          <w:rFonts w:cs="David" w:hint="cs"/>
          <w:sz w:val="24"/>
          <w:szCs w:val="24"/>
          <w:rtl/>
        </w:rPr>
        <w:t xml:space="preserve">. במסגרת תיקון זה נעשה שינוי במעמדם של רשמי ההוצאה לפועל- עד לתיקון, </w:t>
      </w:r>
      <w:r w:rsidR="00F205DF" w:rsidRPr="00EA2E80">
        <w:rPr>
          <w:rFonts w:cs="David" w:hint="eastAsia"/>
          <w:sz w:val="24"/>
          <w:szCs w:val="24"/>
          <w:rtl/>
        </w:rPr>
        <w:t>כל</w:t>
      </w:r>
      <w:r w:rsidR="00F205DF" w:rsidRPr="00EA2E80">
        <w:rPr>
          <w:rFonts w:cs="David"/>
          <w:sz w:val="24"/>
          <w:szCs w:val="24"/>
          <w:rtl/>
        </w:rPr>
        <w:t xml:space="preserve"> </w:t>
      </w:r>
      <w:r w:rsidR="00F205DF" w:rsidRPr="00EA2E80">
        <w:rPr>
          <w:rFonts w:cs="David" w:hint="eastAsia"/>
          <w:sz w:val="24"/>
          <w:szCs w:val="24"/>
          <w:rtl/>
        </w:rPr>
        <w:t>שופט</w:t>
      </w:r>
      <w:r w:rsidR="00F205DF" w:rsidRPr="00EA2E80">
        <w:rPr>
          <w:rFonts w:cs="David"/>
          <w:sz w:val="24"/>
          <w:szCs w:val="24"/>
          <w:rtl/>
        </w:rPr>
        <w:t xml:space="preserve"> </w:t>
      </w:r>
      <w:r w:rsidR="00F205DF" w:rsidRPr="00EA2E80">
        <w:rPr>
          <w:rFonts w:cs="David" w:hint="cs"/>
          <w:sz w:val="24"/>
          <w:szCs w:val="24"/>
          <w:rtl/>
        </w:rPr>
        <w:t xml:space="preserve">ורשם </w:t>
      </w:r>
      <w:r w:rsidR="00F205DF" w:rsidRPr="00EA2E80">
        <w:rPr>
          <w:rFonts w:cs="David" w:hint="eastAsia"/>
          <w:sz w:val="24"/>
          <w:szCs w:val="24"/>
          <w:rtl/>
        </w:rPr>
        <w:t>של</w:t>
      </w:r>
      <w:r w:rsidR="00F205DF" w:rsidRPr="00EA2E80">
        <w:rPr>
          <w:rFonts w:cs="David"/>
          <w:sz w:val="24"/>
          <w:szCs w:val="24"/>
          <w:rtl/>
        </w:rPr>
        <w:t xml:space="preserve"> </w:t>
      </w:r>
      <w:r w:rsidR="00F205DF" w:rsidRPr="00EA2E80">
        <w:rPr>
          <w:rFonts w:cs="David" w:hint="eastAsia"/>
          <w:sz w:val="24"/>
          <w:szCs w:val="24"/>
          <w:rtl/>
        </w:rPr>
        <w:t>בית</w:t>
      </w:r>
      <w:r w:rsidR="00F205DF" w:rsidRPr="00EA2E80">
        <w:rPr>
          <w:rFonts w:cs="David"/>
          <w:sz w:val="24"/>
          <w:szCs w:val="24"/>
          <w:rtl/>
        </w:rPr>
        <w:t xml:space="preserve"> </w:t>
      </w:r>
      <w:r w:rsidR="00F205DF" w:rsidRPr="00EA2E80">
        <w:rPr>
          <w:rFonts w:cs="David" w:hint="eastAsia"/>
          <w:sz w:val="24"/>
          <w:szCs w:val="24"/>
          <w:rtl/>
        </w:rPr>
        <w:t>משפט</w:t>
      </w:r>
      <w:r w:rsidR="00F205DF" w:rsidRPr="00EA2E80">
        <w:rPr>
          <w:rFonts w:cs="David"/>
          <w:sz w:val="24"/>
          <w:szCs w:val="24"/>
          <w:rtl/>
        </w:rPr>
        <w:t xml:space="preserve"> </w:t>
      </w:r>
      <w:r w:rsidR="00F205DF" w:rsidRPr="00EA2E80">
        <w:rPr>
          <w:rFonts w:cs="David" w:hint="eastAsia"/>
          <w:sz w:val="24"/>
          <w:szCs w:val="24"/>
          <w:rtl/>
        </w:rPr>
        <w:t>שלום</w:t>
      </w:r>
      <w:r w:rsidR="00F205DF" w:rsidRPr="00EA2E80">
        <w:rPr>
          <w:rFonts w:cs="David"/>
          <w:sz w:val="24"/>
          <w:szCs w:val="24"/>
          <w:rtl/>
        </w:rPr>
        <w:t xml:space="preserve"> </w:t>
      </w:r>
      <w:r w:rsidR="00F205DF" w:rsidRPr="00EA2E80">
        <w:rPr>
          <w:rFonts w:cs="David" w:hint="eastAsia"/>
          <w:sz w:val="24"/>
          <w:szCs w:val="24"/>
          <w:rtl/>
        </w:rPr>
        <w:t>יכ</w:t>
      </w:r>
      <w:r w:rsidR="00F205DF" w:rsidRPr="00EA2E80">
        <w:rPr>
          <w:rFonts w:cs="David" w:hint="cs"/>
          <w:sz w:val="24"/>
          <w:szCs w:val="24"/>
          <w:rtl/>
        </w:rPr>
        <w:t>ו</w:t>
      </w:r>
      <w:r w:rsidR="00F205DF" w:rsidRPr="00EA2E80">
        <w:rPr>
          <w:rFonts w:cs="David" w:hint="eastAsia"/>
          <w:sz w:val="24"/>
          <w:szCs w:val="24"/>
          <w:rtl/>
        </w:rPr>
        <w:t>ל</w:t>
      </w:r>
      <w:r w:rsidR="00F205DF" w:rsidRPr="00EA2E80">
        <w:rPr>
          <w:rFonts w:cs="David" w:hint="cs"/>
          <w:sz w:val="24"/>
          <w:szCs w:val="24"/>
          <w:rtl/>
        </w:rPr>
        <w:t xml:space="preserve"> היה</w:t>
      </w:r>
      <w:r w:rsidR="00F205DF" w:rsidRPr="00EA2E80">
        <w:rPr>
          <w:rFonts w:cs="David"/>
          <w:sz w:val="24"/>
          <w:szCs w:val="24"/>
          <w:rtl/>
        </w:rPr>
        <w:t xml:space="preserve"> </w:t>
      </w:r>
      <w:r w:rsidR="00F205DF" w:rsidRPr="00EA2E80">
        <w:rPr>
          <w:rFonts w:cs="David" w:hint="eastAsia"/>
          <w:sz w:val="24"/>
          <w:szCs w:val="24"/>
          <w:rtl/>
        </w:rPr>
        <w:t>לכהן</w:t>
      </w:r>
      <w:r w:rsidR="00F205DF" w:rsidRPr="00EA2E80">
        <w:rPr>
          <w:rFonts w:cs="David"/>
          <w:sz w:val="24"/>
          <w:szCs w:val="24"/>
          <w:rtl/>
        </w:rPr>
        <w:t xml:space="preserve"> </w:t>
      </w:r>
      <w:r w:rsidR="00F205DF" w:rsidRPr="00EA2E80">
        <w:rPr>
          <w:rFonts w:cs="David" w:hint="eastAsia"/>
          <w:sz w:val="24"/>
          <w:szCs w:val="24"/>
          <w:rtl/>
        </w:rPr>
        <w:t>כרש</w:t>
      </w:r>
      <w:r w:rsidR="00F205DF" w:rsidRPr="00EA2E80">
        <w:rPr>
          <w:rFonts w:cs="David" w:hint="cs"/>
          <w:sz w:val="24"/>
          <w:szCs w:val="24"/>
          <w:rtl/>
        </w:rPr>
        <w:t>ם</w:t>
      </w:r>
      <w:r w:rsidR="00F205DF" w:rsidRPr="00EA2E80">
        <w:rPr>
          <w:rFonts w:cs="David"/>
          <w:sz w:val="24"/>
          <w:szCs w:val="24"/>
          <w:rtl/>
        </w:rPr>
        <w:t xml:space="preserve"> </w:t>
      </w:r>
      <w:r w:rsidR="00F205DF" w:rsidRPr="00EA2E80">
        <w:rPr>
          <w:rFonts w:cs="David" w:hint="eastAsia"/>
          <w:sz w:val="24"/>
          <w:szCs w:val="24"/>
          <w:rtl/>
        </w:rPr>
        <w:t>הוצאה</w:t>
      </w:r>
      <w:r w:rsidR="00F205DF" w:rsidRPr="00EA2E80">
        <w:rPr>
          <w:rFonts w:cs="David"/>
          <w:sz w:val="24"/>
          <w:szCs w:val="24"/>
          <w:rtl/>
        </w:rPr>
        <w:t xml:space="preserve"> </w:t>
      </w:r>
      <w:r w:rsidR="00F205DF" w:rsidRPr="00EA2E80">
        <w:rPr>
          <w:rFonts w:cs="David" w:hint="eastAsia"/>
          <w:sz w:val="24"/>
          <w:szCs w:val="24"/>
          <w:rtl/>
        </w:rPr>
        <w:t>לפועל</w:t>
      </w:r>
      <w:r w:rsidR="00F205DF" w:rsidRPr="00EA2E80">
        <w:rPr>
          <w:rFonts w:cs="David" w:hint="cs"/>
          <w:sz w:val="24"/>
          <w:szCs w:val="24"/>
          <w:rtl/>
        </w:rPr>
        <w:t>, ובפועל רוב רשמי ההוצאה לפועל כיהנו גם כרשמי בתי משפט. במסגרת ה</w:t>
      </w:r>
      <w:r w:rsidR="00F205DF" w:rsidRPr="00EA2E80">
        <w:rPr>
          <w:rFonts w:cs="David" w:hint="eastAsia"/>
          <w:sz w:val="24"/>
          <w:szCs w:val="24"/>
          <w:rtl/>
        </w:rPr>
        <w:t>תיקון</w:t>
      </w:r>
      <w:r w:rsidR="00F205DF" w:rsidRPr="00EA2E80">
        <w:rPr>
          <w:rFonts w:cs="David"/>
          <w:sz w:val="24"/>
          <w:szCs w:val="24"/>
          <w:rtl/>
        </w:rPr>
        <w:t xml:space="preserve"> </w:t>
      </w:r>
      <w:r w:rsidR="00F205DF" w:rsidRPr="00EA2E80">
        <w:rPr>
          <w:rFonts w:cs="David" w:hint="cs"/>
          <w:sz w:val="24"/>
          <w:szCs w:val="24"/>
          <w:rtl/>
        </w:rPr>
        <w:t>נ</w:t>
      </w:r>
      <w:r w:rsidR="00F205DF" w:rsidRPr="00EA2E80">
        <w:rPr>
          <w:rFonts w:cs="David" w:hint="eastAsia"/>
          <w:sz w:val="24"/>
          <w:szCs w:val="24"/>
          <w:rtl/>
        </w:rPr>
        <w:t>קבע</w:t>
      </w:r>
      <w:r w:rsidR="00F205DF" w:rsidRPr="00EA2E80">
        <w:rPr>
          <w:rFonts w:cs="David" w:hint="cs"/>
          <w:sz w:val="24"/>
          <w:szCs w:val="24"/>
          <w:rtl/>
        </w:rPr>
        <w:t xml:space="preserve"> "ייחוד כהונה" כך שמי שמונה </w:t>
      </w:r>
      <w:r w:rsidR="00F205DF" w:rsidRPr="00EA2E80">
        <w:rPr>
          <w:rFonts w:cs="David" w:hint="eastAsia"/>
          <w:sz w:val="24"/>
          <w:szCs w:val="24"/>
          <w:rtl/>
        </w:rPr>
        <w:t>לתפקיד</w:t>
      </w:r>
      <w:r w:rsidR="00F205DF" w:rsidRPr="00EA2E80">
        <w:rPr>
          <w:rFonts w:cs="David"/>
          <w:sz w:val="24"/>
          <w:szCs w:val="24"/>
          <w:rtl/>
        </w:rPr>
        <w:t xml:space="preserve"> </w:t>
      </w:r>
      <w:r w:rsidR="00F205DF" w:rsidRPr="00EA2E80">
        <w:rPr>
          <w:rFonts w:cs="David" w:hint="eastAsia"/>
          <w:sz w:val="24"/>
          <w:szCs w:val="24"/>
          <w:rtl/>
        </w:rPr>
        <w:t>רשם</w:t>
      </w:r>
      <w:r w:rsidR="00F205DF" w:rsidRPr="00EA2E80">
        <w:rPr>
          <w:rFonts w:cs="David"/>
          <w:sz w:val="24"/>
          <w:szCs w:val="24"/>
          <w:rtl/>
        </w:rPr>
        <w:t xml:space="preserve"> </w:t>
      </w:r>
      <w:r w:rsidR="00F205DF" w:rsidRPr="00EA2E80">
        <w:rPr>
          <w:rFonts w:cs="David" w:hint="eastAsia"/>
          <w:sz w:val="24"/>
          <w:szCs w:val="24"/>
          <w:rtl/>
        </w:rPr>
        <w:t>הוצאה</w:t>
      </w:r>
      <w:r w:rsidR="00F205DF" w:rsidRPr="00EA2E80">
        <w:rPr>
          <w:rFonts w:cs="David"/>
          <w:sz w:val="24"/>
          <w:szCs w:val="24"/>
          <w:rtl/>
        </w:rPr>
        <w:t xml:space="preserve"> </w:t>
      </w:r>
      <w:r w:rsidR="00F205DF" w:rsidRPr="00EA2E80">
        <w:rPr>
          <w:rFonts w:cs="David" w:hint="eastAsia"/>
          <w:sz w:val="24"/>
          <w:szCs w:val="24"/>
          <w:rtl/>
        </w:rPr>
        <w:t>לפועל</w:t>
      </w:r>
      <w:r w:rsidR="00F205DF" w:rsidRPr="00EA2E80">
        <w:rPr>
          <w:rFonts w:cs="David" w:hint="cs"/>
          <w:sz w:val="24"/>
          <w:szCs w:val="24"/>
          <w:rtl/>
        </w:rPr>
        <w:t xml:space="preserve"> יוכל לכהן בתפקיד זה בלבד. </w:t>
      </w:r>
      <w:r w:rsidR="00620C30">
        <w:rPr>
          <w:rFonts w:cs="David" w:hint="cs"/>
          <w:sz w:val="24"/>
          <w:szCs w:val="24"/>
          <w:rtl/>
        </w:rPr>
        <w:t xml:space="preserve">מטרת התיקון הייתה כי העיסוק בהוצאה לפועל לא יהיה עיסוק צדדי אלא ייעודם של הרשמים אשר גם יפתחו התמחות בנושא. </w:t>
      </w:r>
      <w:r w:rsidR="003C46E0" w:rsidRPr="00EA2E80">
        <w:rPr>
          <w:rFonts w:cs="David" w:hint="cs"/>
          <w:sz w:val="24"/>
          <w:szCs w:val="24"/>
          <w:rtl/>
        </w:rPr>
        <w:t xml:space="preserve"> </w:t>
      </w:r>
    </w:p>
    <w:p w:rsidR="006258C3" w:rsidRDefault="003C46E0" w:rsidP="00EA2E80">
      <w:pPr>
        <w:pStyle w:val="a3"/>
        <w:spacing w:before="120" w:after="0" w:line="360" w:lineRule="auto"/>
        <w:jc w:val="both"/>
        <w:rPr>
          <w:rFonts w:cs="David"/>
          <w:sz w:val="24"/>
          <w:szCs w:val="24"/>
          <w:rtl/>
        </w:rPr>
      </w:pPr>
      <w:r w:rsidRPr="00EA2E80">
        <w:rPr>
          <w:rFonts w:cs="David" w:hint="cs"/>
          <w:sz w:val="24"/>
          <w:szCs w:val="24"/>
          <w:rtl/>
        </w:rPr>
        <w:t xml:space="preserve">בנוסף, במסגרת תיקון זה נוספו </w:t>
      </w:r>
      <w:r w:rsidR="00EF0C6A" w:rsidRPr="00EA2E80">
        <w:rPr>
          <w:rFonts w:cs="David" w:hint="cs"/>
          <w:sz w:val="24"/>
          <w:szCs w:val="24"/>
          <w:rtl/>
        </w:rPr>
        <w:t xml:space="preserve">סמכויות למערכת ההוצאה לפועל- </w:t>
      </w:r>
      <w:r w:rsidR="003D3630" w:rsidRPr="00EA2E80">
        <w:rPr>
          <w:rFonts w:cs="David" w:hint="cs"/>
          <w:sz w:val="24"/>
          <w:szCs w:val="24"/>
          <w:rtl/>
        </w:rPr>
        <w:t>קבלת מידע על נכסי החייב, הטלת מגבלות שונות על חייבים כגון הכרזה על חייב כלקוח מוגבל מיוחד על כל ההשלכות הנובעות מכך ועוד</w:t>
      </w:r>
      <w:r w:rsidR="00EF0C6A" w:rsidRPr="00EA2E80">
        <w:rPr>
          <w:rFonts w:cs="David" w:hint="cs"/>
          <w:sz w:val="24"/>
          <w:szCs w:val="24"/>
          <w:rtl/>
        </w:rPr>
        <w:t>.</w:t>
      </w:r>
    </w:p>
    <w:p w:rsidR="00D360CA" w:rsidRPr="00D360CA" w:rsidRDefault="00EA2E80" w:rsidP="00F5682F">
      <w:pPr>
        <w:pStyle w:val="a3"/>
        <w:numPr>
          <w:ilvl w:val="0"/>
          <w:numId w:val="2"/>
        </w:numPr>
        <w:spacing w:before="240" w:line="360" w:lineRule="auto"/>
        <w:jc w:val="both"/>
        <w:rPr>
          <w:rFonts w:cs="David"/>
          <w:sz w:val="24"/>
          <w:szCs w:val="24"/>
          <w:rtl/>
        </w:rPr>
      </w:pPr>
      <w:r w:rsidRPr="002C25D3">
        <w:rPr>
          <w:rFonts w:cs="David" w:hint="cs"/>
          <w:b/>
          <w:bCs/>
          <w:sz w:val="24"/>
          <w:szCs w:val="24"/>
          <w:rtl/>
        </w:rPr>
        <w:t>מינוי חוקרי הוצאה לפועל-</w:t>
      </w:r>
      <w:r w:rsidRPr="00D360CA">
        <w:rPr>
          <w:rFonts w:cs="David" w:hint="cs"/>
          <w:sz w:val="24"/>
          <w:szCs w:val="24"/>
          <w:rtl/>
        </w:rPr>
        <w:t xml:space="preserve"> סעיף 68א לחוק ההוצאה לפועל, </w:t>
      </w:r>
      <w:proofErr w:type="spellStart"/>
      <w:r w:rsidRPr="00D360CA">
        <w:rPr>
          <w:rFonts w:cs="David" w:hint="cs"/>
          <w:sz w:val="24"/>
          <w:szCs w:val="24"/>
          <w:rtl/>
        </w:rPr>
        <w:t>התשכ"ז</w:t>
      </w:r>
      <w:proofErr w:type="spellEnd"/>
      <w:r w:rsidRPr="00D360CA">
        <w:rPr>
          <w:rFonts w:cs="David" w:hint="cs"/>
          <w:sz w:val="24"/>
          <w:szCs w:val="24"/>
          <w:rtl/>
        </w:rPr>
        <w:t xml:space="preserve">–1967, מאפשר </w:t>
      </w:r>
      <w:r w:rsidR="00647A65" w:rsidRPr="00D360CA">
        <w:rPr>
          <w:rFonts w:cs="David" w:hint="cs"/>
          <w:sz w:val="24"/>
          <w:szCs w:val="24"/>
          <w:rtl/>
        </w:rPr>
        <w:t xml:space="preserve">ביצוע חקירות יכולת על ידי </w:t>
      </w:r>
      <w:r w:rsidRPr="00D360CA">
        <w:rPr>
          <w:rFonts w:cs="David" w:hint="cs"/>
          <w:sz w:val="24"/>
          <w:szCs w:val="24"/>
          <w:rtl/>
        </w:rPr>
        <w:t>חוקרי הוצאה לפועל, שהינם עורכי דין או רואי חשבון</w:t>
      </w:r>
      <w:r w:rsidR="00647A65" w:rsidRPr="00D360CA">
        <w:rPr>
          <w:rFonts w:cs="David" w:hint="cs"/>
          <w:sz w:val="24"/>
          <w:szCs w:val="24"/>
          <w:rtl/>
        </w:rPr>
        <w:t>,</w:t>
      </w:r>
      <w:r w:rsidRPr="00D360CA">
        <w:rPr>
          <w:rFonts w:cs="David" w:hint="cs"/>
          <w:sz w:val="24"/>
          <w:szCs w:val="24"/>
          <w:rtl/>
        </w:rPr>
        <w:t xml:space="preserve"> שמונו על ידי שר המשפטים על פי המלצ</w:t>
      </w:r>
      <w:r w:rsidR="00F5682F">
        <w:rPr>
          <w:rFonts w:cs="David" w:hint="cs"/>
          <w:sz w:val="24"/>
          <w:szCs w:val="24"/>
          <w:rtl/>
        </w:rPr>
        <w:t>ת</w:t>
      </w:r>
      <w:r w:rsidRPr="00D360CA">
        <w:rPr>
          <w:rFonts w:cs="David" w:hint="cs"/>
          <w:sz w:val="24"/>
          <w:szCs w:val="24"/>
          <w:rtl/>
        </w:rPr>
        <w:t xml:space="preserve"> ועדה הממונה על ידו. במאי 2010 הוחלט על הפעלת החוקרים באופן זמני במטרה לענות על הצורך הגובר בחקירות יכולת ולהקל על העומס הקיים וההמתנה לביצוע חקירות כאמור. </w:t>
      </w:r>
      <w:r w:rsidR="00647A65" w:rsidRPr="00D360CA">
        <w:rPr>
          <w:rFonts w:cs="David" w:hint="cs"/>
          <w:sz w:val="24"/>
          <w:szCs w:val="24"/>
          <w:rtl/>
        </w:rPr>
        <w:t>הוועדה חששה מ</w:t>
      </w:r>
      <w:r w:rsidR="00D360CA">
        <w:rPr>
          <w:rFonts w:cs="David" w:hint="cs"/>
          <w:sz w:val="24"/>
          <w:szCs w:val="24"/>
          <w:rtl/>
        </w:rPr>
        <w:t xml:space="preserve">העברת סמכות הרשם </w:t>
      </w:r>
      <w:r w:rsidR="00D360CA">
        <w:rPr>
          <w:rFonts w:cs="David" w:hint="cs"/>
          <w:sz w:val="24"/>
          <w:szCs w:val="24"/>
          <w:rtl/>
        </w:rPr>
        <w:lastRenderedPageBreak/>
        <w:t xml:space="preserve">בחקירות יכולת </w:t>
      </w:r>
      <w:r w:rsidR="00D360CA" w:rsidRPr="00D360CA">
        <w:rPr>
          <w:rFonts w:cs="David" w:hint="cs"/>
          <w:sz w:val="24"/>
          <w:szCs w:val="24"/>
          <w:rtl/>
        </w:rPr>
        <w:t>לחוקרים פרטיים חיצוניים וכן מכך שרשם ההוצאה לפועל, אשר הוא שמקבל את ההחלטות בתיק, אינו מתרשם מהחייב באופן ישיר</w:t>
      </w:r>
      <w:r w:rsidR="00F5682F">
        <w:rPr>
          <w:rFonts w:cs="David" w:hint="cs"/>
          <w:sz w:val="24"/>
          <w:szCs w:val="24"/>
          <w:rtl/>
        </w:rPr>
        <w:t>,</w:t>
      </w:r>
      <w:r w:rsidR="00D360CA" w:rsidRPr="00D360CA">
        <w:rPr>
          <w:rFonts w:cs="David" w:hint="cs"/>
          <w:sz w:val="24"/>
          <w:szCs w:val="24"/>
          <w:rtl/>
        </w:rPr>
        <w:t xml:space="preserve"> ולכן קבעה מנגנונים שונים שנועדו לפקח ולצמצם את החששות- נקבעו הוראות לעניין דרך ביצוע הבדיקה על ידי חוקר ההוצל"פ, המידע שבסמכותו לבדוק, הוראות בדבר הדין וחשבון שיעביר לרשם ההוצל"פ ולאיזה נושאים יכול ונדרש הדוח להתייחס. עוד נקבעה חובה לערוך הכשרה מתאימה לחוקרי ההוצאה לפועל וכן, </w:t>
      </w:r>
      <w:r w:rsidR="00F5682F">
        <w:rPr>
          <w:rFonts w:cs="David" w:hint="cs"/>
          <w:sz w:val="24"/>
          <w:szCs w:val="24"/>
          <w:rtl/>
        </w:rPr>
        <w:t xml:space="preserve">עוגנה </w:t>
      </w:r>
      <w:r w:rsidR="00D360CA" w:rsidRPr="00D360CA">
        <w:rPr>
          <w:rFonts w:cs="David" w:hint="cs"/>
          <w:sz w:val="24"/>
          <w:szCs w:val="24"/>
          <w:rtl/>
        </w:rPr>
        <w:t>אפשרות לפנות לרשם ההוצאה לפועל בבקשה להתייצב בפניו לשם ביצוע חקירת יכולת על ידו.  בנוסף, נקבע כי תערך ביקורת על חוקרי ההוצאה לפועל, וכן, נקבעה חובה לדווח לוועדה על ביצוע ההוראות הנוגעות להפעלתם של חוקרי הוצאה לפועל.  בעל פה דווח לנו כי לאחר סיוע בחיסול עודפי תיקים משנים קודמות לא חודש מינויים של החוקרים.</w:t>
      </w:r>
    </w:p>
    <w:p w:rsidR="00D360CA" w:rsidRDefault="00D360CA" w:rsidP="00F81FF2">
      <w:pPr>
        <w:spacing w:before="120" w:after="0" w:line="360" w:lineRule="auto"/>
        <w:jc w:val="both"/>
        <w:rPr>
          <w:rFonts w:cs="David"/>
          <w:sz w:val="24"/>
          <w:szCs w:val="24"/>
          <w:rtl/>
        </w:rPr>
      </w:pPr>
    </w:p>
    <w:p w:rsidR="006258C3" w:rsidRPr="00EA2E80" w:rsidRDefault="006258C3" w:rsidP="00F81FF2">
      <w:pPr>
        <w:spacing w:before="120" w:after="0" w:line="360" w:lineRule="auto"/>
        <w:jc w:val="both"/>
        <w:rPr>
          <w:rFonts w:cs="David"/>
          <w:sz w:val="24"/>
          <w:szCs w:val="24"/>
          <w:rtl/>
        </w:rPr>
      </w:pPr>
      <w:r w:rsidRPr="00EA2E80">
        <w:rPr>
          <w:rFonts w:cs="David" w:hint="cs"/>
          <w:sz w:val="24"/>
          <w:szCs w:val="24"/>
          <w:rtl/>
        </w:rPr>
        <w:t>סוגיות לדיון:</w:t>
      </w:r>
    </w:p>
    <w:p w:rsidR="006258C3" w:rsidRPr="00EA2E80" w:rsidRDefault="00307C68" w:rsidP="00F5682F">
      <w:pPr>
        <w:pStyle w:val="a3"/>
        <w:numPr>
          <w:ilvl w:val="0"/>
          <w:numId w:val="1"/>
        </w:numPr>
        <w:spacing w:before="120" w:after="0" w:line="360" w:lineRule="auto"/>
        <w:jc w:val="both"/>
        <w:rPr>
          <w:rFonts w:cs="David"/>
          <w:sz w:val="24"/>
          <w:szCs w:val="24"/>
        </w:rPr>
      </w:pPr>
      <w:r w:rsidRPr="00EA2E80">
        <w:rPr>
          <w:rFonts w:cs="David" w:hint="cs"/>
          <w:sz w:val="24"/>
          <w:szCs w:val="24"/>
          <w:rtl/>
        </w:rPr>
        <w:t>האם הוגשו בקשות לקבלת מידע מ</w:t>
      </w:r>
      <w:r w:rsidR="00620C30">
        <w:rPr>
          <w:rFonts w:cs="David" w:hint="cs"/>
          <w:sz w:val="24"/>
          <w:szCs w:val="24"/>
          <w:rtl/>
        </w:rPr>
        <w:t>מרשם החייבים המשתמטים</w:t>
      </w:r>
      <w:r w:rsidRPr="00EA2E80">
        <w:rPr>
          <w:rFonts w:cs="David" w:hint="cs"/>
          <w:sz w:val="24"/>
          <w:szCs w:val="24"/>
          <w:rtl/>
        </w:rPr>
        <w:t>?</w:t>
      </w:r>
      <w:r w:rsidR="00620C30">
        <w:rPr>
          <w:rFonts w:cs="David" w:hint="cs"/>
          <w:sz w:val="24"/>
          <w:szCs w:val="24"/>
          <w:rtl/>
        </w:rPr>
        <w:t xml:space="preserve"> </w:t>
      </w:r>
      <w:r w:rsidR="00647A65">
        <w:rPr>
          <w:rFonts w:cs="David" w:hint="cs"/>
          <w:sz w:val="24"/>
          <w:szCs w:val="24"/>
          <w:rtl/>
        </w:rPr>
        <w:t xml:space="preserve">האם ניתן לאפיין את מגישי הבקשות ואת מטרת </w:t>
      </w:r>
      <w:r w:rsidR="00F5682F">
        <w:rPr>
          <w:rFonts w:cs="David" w:hint="cs"/>
          <w:sz w:val="24"/>
          <w:szCs w:val="24"/>
          <w:rtl/>
        </w:rPr>
        <w:t>בקשותיהם</w:t>
      </w:r>
      <w:r w:rsidR="00620C30">
        <w:rPr>
          <w:rFonts w:cs="David" w:hint="cs"/>
          <w:sz w:val="24"/>
          <w:szCs w:val="24"/>
          <w:rtl/>
        </w:rPr>
        <w:t>?</w:t>
      </w:r>
      <w:r w:rsidR="00D360CA">
        <w:rPr>
          <w:rFonts w:cs="David" w:hint="cs"/>
          <w:sz w:val="24"/>
          <w:szCs w:val="24"/>
          <w:rtl/>
        </w:rPr>
        <w:t xml:space="preserve"> </w:t>
      </w:r>
    </w:p>
    <w:p w:rsidR="00620C30" w:rsidRDefault="00620C30" w:rsidP="00647A65">
      <w:pPr>
        <w:pStyle w:val="a3"/>
        <w:numPr>
          <w:ilvl w:val="0"/>
          <w:numId w:val="1"/>
        </w:numPr>
        <w:spacing w:before="120" w:after="0" w:line="360" w:lineRule="auto"/>
        <w:jc w:val="both"/>
        <w:rPr>
          <w:rFonts w:cs="David"/>
          <w:sz w:val="24"/>
          <w:szCs w:val="24"/>
        </w:rPr>
      </w:pPr>
      <w:r w:rsidRPr="00620C30">
        <w:rPr>
          <w:rFonts w:cs="David" w:hint="cs"/>
          <w:sz w:val="24"/>
          <w:szCs w:val="24"/>
          <w:rtl/>
        </w:rPr>
        <w:t>המסלול המקוצר- מוצע לקבל נתונים כדי להתרשם אם המסלול ממלא את ייעוד</w:t>
      </w:r>
      <w:r w:rsidR="00647A65">
        <w:rPr>
          <w:rFonts w:cs="David" w:hint="cs"/>
          <w:sz w:val="24"/>
          <w:szCs w:val="24"/>
          <w:rtl/>
        </w:rPr>
        <w:t>ו</w:t>
      </w:r>
      <w:r w:rsidRPr="00620C30">
        <w:rPr>
          <w:rFonts w:cs="David" w:hint="cs"/>
          <w:sz w:val="24"/>
          <w:szCs w:val="24"/>
          <w:rtl/>
        </w:rPr>
        <w:t xml:space="preserve"> והאם יש לקחים שניתן להפיק מהשימוש בו עד כה</w:t>
      </w:r>
      <w:r w:rsidR="00647A65">
        <w:rPr>
          <w:rFonts w:cs="David" w:hint="cs"/>
          <w:sz w:val="24"/>
          <w:szCs w:val="24"/>
          <w:rtl/>
        </w:rPr>
        <w:t>, בחלוקה לזוכים "מוסדיים" אל מול זוכים פרטיים</w:t>
      </w:r>
      <w:r w:rsidRPr="00620C30">
        <w:rPr>
          <w:rFonts w:cs="David" w:hint="cs"/>
          <w:sz w:val="24"/>
          <w:szCs w:val="24"/>
          <w:rtl/>
        </w:rPr>
        <w:t>.</w:t>
      </w:r>
    </w:p>
    <w:p w:rsidR="006258C3" w:rsidRPr="00620C30" w:rsidRDefault="00620C30" w:rsidP="000D533B">
      <w:pPr>
        <w:pStyle w:val="a3"/>
        <w:numPr>
          <w:ilvl w:val="0"/>
          <w:numId w:val="1"/>
        </w:numPr>
        <w:spacing w:before="120" w:after="0" w:line="360" w:lineRule="auto"/>
        <w:jc w:val="both"/>
        <w:rPr>
          <w:rFonts w:cs="David"/>
          <w:sz w:val="24"/>
          <w:szCs w:val="24"/>
        </w:rPr>
      </w:pPr>
      <w:r>
        <w:rPr>
          <w:rFonts w:cs="David" w:hint="cs"/>
          <w:sz w:val="24"/>
          <w:szCs w:val="24"/>
          <w:rtl/>
        </w:rPr>
        <w:t>מסלול ה</w:t>
      </w:r>
      <w:r w:rsidR="006258C3" w:rsidRPr="00620C30">
        <w:rPr>
          <w:rFonts w:cs="David" w:hint="cs"/>
          <w:sz w:val="24"/>
          <w:szCs w:val="24"/>
          <w:rtl/>
        </w:rPr>
        <w:t xml:space="preserve">מזונות- </w:t>
      </w:r>
      <w:r w:rsidR="00D360CA">
        <w:rPr>
          <w:rFonts w:cs="David" w:hint="cs"/>
          <w:sz w:val="24"/>
          <w:szCs w:val="24"/>
          <w:rtl/>
        </w:rPr>
        <w:t>האם ישנה עלייה ב</w:t>
      </w:r>
      <w:r w:rsidR="00471E63">
        <w:rPr>
          <w:rFonts w:cs="David" w:hint="cs"/>
          <w:sz w:val="24"/>
          <w:szCs w:val="24"/>
          <w:rtl/>
        </w:rPr>
        <w:t>אחוז ה</w:t>
      </w:r>
      <w:r w:rsidR="00D360CA">
        <w:rPr>
          <w:rFonts w:cs="David" w:hint="cs"/>
          <w:sz w:val="24"/>
          <w:szCs w:val="24"/>
          <w:rtl/>
        </w:rPr>
        <w:t xml:space="preserve">גבייה </w:t>
      </w:r>
      <w:r>
        <w:rPr>
          <w:rFonts w:cs="David" w:hint="cs"/>
          <w:sz w:val="24"/>
          <w:szCs w:val="24"/>
          <w:rtl/>
        </w:rPr>
        <w:t>במסלול זה</w:t>
      </w:r>
      <w:r w:rsidR="006258C3" w:rsidRPr="00620C30">
        <w:rPr>
          <w:rFonts w:cs="David" w:hint="cs"/>
          <w:sz w:val="24"/>
          <w:szCs w:val="24"/>
          <w:rtl/>
        </w:rPr>
        <w:t xml:space="preserve">? </w:t>
      </w:r>
      <w:r w:rsidR="000D533B">
        <w:rPr>
          <w:rFonts w:cs="David" w:hint="cs"/>
          <w:sz w:val="24"/>
          <w:szCs w:val="24"/>
          <w:rtl/>
        </w:rPr>
        <w:t xml:space="preserve">האם ישנה הבחנה בין תיקי הביטוח הלאומי לתיקי זוכות פרטיות? </w:t>
      </w:r>
      <w:r>
        <w:rPr>
          <w:rFonts w:cs="David" w:hint="cs"/>
          <w:sz w:val="24"/>
          <w:szCs w:val="24"/>
          <w:rtl/>
        </w:rPr>
        <w:t xml:space="preserve">האם מרבית הזוכות </w:t>
      </w:r>
      <w:r w:rsidR="000D533B">
        <w:rPr>
          <w:rFonts w:cs="David" w:hint="cs"/>
          <w:sz w:val="24"/>
          <w:szCs w:val="24"/>
          <w:rtl/>
        </w:rPr>
        <w:t xml:space="preserve">הפרטיות </w:t>
      </w:r>
      <w:r>
        <w:rPr>
          <w:rFonts w:cs="David" w:hint="cs"/>
          <w:sz w:val="24"/>
          <w:szCs w:val="24"/>
          <w:rtl/>
        </w:rPr>
        <w:t xml:space="preserve">בוחרות במסלול </w:t>
      </w:r>
      <w:r w:rsidR="000D533B">
        <w:rPr>
          <w:rFonts w:cs="David" w:hint="cs"/>
          <w:sz w:val="24"/>
          <w:szCs w:val="24"/>
          <w:rtl/>
        </w:rPr>
        <w:t>המזונות</w:t>
      </w:r>
      <w:r>
        <w:rPr>
          <w:rFonts w:cs="David" w:hint="cs"/>
          <w:sz w:val="24"/>
          <w:szCs w:val="24"/>
          <w:rtl/>
        </w:rPr>
        <w:t xml:space="preserve">? </w:t>
      </w:r>
      <w:r w:rsidR="00647A65">
        <w:rPr>
          <w:rFonts w:cs="David" w:hint="cs"/>
          <w:sz w:val="24"/>
          <w:szCs w:val="24"/>
          <w:rtl/>
        </w:rPr>
        <w:t>האם ישנם תיקים ב</w:t>
      </w:r>
      <w:r w:rsidR="00D360CA">
        <w:rPr>
          <w:rFonts w:cs="David" w:hint="cs"/>
          <w:sz w:val="24"/>
          <w:szCs w:val="24"/>
          <w:rtl/>
        </w:rPr>
        <w:t>הם</w:t>
      </w:r>
      <w:r w:rsidR="00647A65">
        <w:rPr>
          <w:rFonts w:cs="David" w:hint="cs"/>
          <w:sz w:val="24"/>
          <w:szCs w:val="24"/>
          <w:rtl/>
        </w:rPr>
        <w:t xml:space="preserve"> נעשה מעבר ממסלול המזונות למסלול הרגיל ומדוע? </w:t>
      </w:r>
      <w:r>
        <w:rPr>
          <w:rFonts w:cs="David" w:hint="cs"/>
          <w:sz w:val="24"/>
          <w:szCs w:val="24"/>
          <w:rtl/>
        </w:rPr>
        <w:t>האם נתקלו בקשיים כלשהם ביישום מסלול זה?</w:t>
      </w:r>
    </w:p>
    <w:p w:rsidR="00620C30" w:rsidRPr="00D360CA" w:rsidRDefault="00620C30" w:rsidP="00263C7D">
      <w:pPr>
        <w:pStyle w:val="a3"/>
        <w:numPr>
          <w:ilvl w:val="0"/>
          <w:numId w:val="1"/>
        </w:numPr>
        <w:spacing w:before="120" w:after="0" w:line="360" w:lineRule="auto"/>
        <w:jc w:val="both"/>
        <w:rPr>
          <w:rFonts w:cs="David"/>
          <w:sz w:val="24"/>
          <w:szCs w:val="24"/>
        </w:rPr>
      </w:pPr>
      <w:r w:rsidRPr="00D360CA">
        <w:rPr>
          <w:rFonts w:cs="David" w:hint="cs"/>
          <w:sz w:val="24"/>
          <w:szCs w:val="24"/>
          <w:rtl/>
        </w:rPr>
        <w:t>מעמדם של רשמי ההוצאה לפועל- האם ייחוד הכהונה מילא את ייעודו</w:t>
      </w:r>
      <w:r w:rsidR="00647A65" w:rsidRPr="00D360CA">
        <w:rPr>
          <w:rFonts w:cs="David" w:hint="cs"/>
          <w:sz w:val="24"/>
          <w:szCs w:val="24"/>
          <w:rtl/>
        </w:rPr>
        <w:t>? האם יש סמכויות ונושאים נוספים בהם</w:t>
      </w:r>
      <w:r w:rsidRPr="00D360CA">
        <w:rPr>
          <w:rFonts w:cs="David" w:hint="cs"/>
          <w:sz w:val="24"/>
          <w:szCs w:val="24"/>
          <w:rtl/>
        </w:rPr>
        <w:t xml:space="preserve"> ניתן להיעזר ברשמים?</w:t>
      </w:r>
    </w:p>
    <w:p w:rsidR="006258C3" w:rsidRPr="00EA2E80" w:rsidRDefault="006258C3" w:rsidP="00F81FF2">
      <w:pPr>
        <w:pStyle w:val="a3"/>
        <w:spacing w:before="120" w:after="0" w:line="360" w:lineRule="auto"/>
        <w:jc w:val="both"/>
        <w:rPr>
          <w:rFonts w:cs="David"/>
          <w:sz w:val="24"/>
          <w:szCs w:val="24"/>
        </w:rPr>
      </w:pPr>
    </w:p>
    <w:sectPr w:rsidR="006258C3" w:rsidRPr="00EA2E80" w:rsidSect="00FD3A53">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1"/>
    <w:family w:val="swiss"/>
    <w:notTrueType/>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6D51BC"/>
    <w:multiLevelType w:val="hybridMultilevel"/>
    <w:tmpl w:val="77C8D0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521BA5"/>
    <w:multiLevelType w:val="hybridMultilevel"/>
    <w:tmpl w:val="56567894"/>
    <w:lvl w:ilvl="0" w:tplc="B478EEE4">
      <w:start w:val="1"/>
      <w:numFmt w:val="bullet"/>
      <w:lvlText w:val="-"/>
      <w:lvlJc w:val="left"/>
      <w:pPr>
        <w:ind w:left="720" w:hanging="360"/>
      </w:pPr>
      <w:rPr>
        <w:rFonts w:ascii="Times New Roman" w:eastAsia="Times New Roman" w:hAnsi="Times New Roman"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A190A79"/>
    <w:multiLevelType w:val="hybridMultilevel"/>
    <w:tmpl w:val="F92CBD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3471DED"/>
    <w:multiLevelType w:val="hybridMultilevel"/>
    <w:tmpl w:val="C1D47546"/>
    <w:lvl w:ilvl="0" w:tplc="23BE7EEC">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58C3"/>
    <w:rsid w:val="000B2759"/>
    <w:rsid w:val="000D533B"/>
    <w:rsid w:val="00105B8D"/>
    <w:rsid w:val="001A1EC0"/>
    <w:rsid w:val="001D19CF"/>
    <w:rsid w:val="0021082A"/>
    <w:rsid w:val="002C25D3"/>
    <w:rsid w:val="002E43FE"/>
    <w:rsid w:val="00307C68"/>
    <w:rsid w:val="003C46E0"/>
    <w:rsid w:val="003D3630"/>
    <w:rsid w:val="00446DC1"/>
    <w:rsid w:val="00457295"/>
    <w:rsid w:val="00471E63"/>
    <w:rsid w:val="004B64E5"/>
    <w:rsid w:val="00620C30"/>
    <w:rsid w:val="006258C3"/>
    <w:rsid w:val="00647A65"/>
    <w:rsid w:val="0067457A"/>
    <w:rsid w:val="006D3E4C"/>
    <w:rsid w:val="007124BB"/>
    <w:rsid w:val="0076017F"/>
    <w:rsid w:val="00891FF6"/>
    <w:rsid w:val="009F25B5"/>
    <w:rsid w:val="00AD0F1E"/>
    <w:rsid w:val="00BA201E"/>
    <w:rsid w:val="00BB0C74"/>
    <w:rsid w:val="00D360CA"/>
    <w:rsid w:val="00D924DA"/>
    <w:rsid w:val="00D964A7"/>
    <w:rsid w:val="00EA2E80"/>
    <w:rsid w:val="00EF0C6A"/>
    <w:rsid w:val="00F205DF"/>
    <w:rsid w:val="00F5682F"/>
    <w:rsid w:val="00F81FF2"/>
    <w:rsid w:val="00FD3A5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258C3"/>
    <w:pPr>
      <w:ind w:left="720"/>
      <w:contextualSpacing/>
    </w:pPr>
  </w:style>
  <w:style w:type="paragraph" w:customStyle="1" w:styleId="Hesber">
    <w:name w:val="Hesber"/>
    <w:basedOn w:val="a"/>
    <w:rsid w:val="00457295"/>
    <w:pPr>
      <w:widowControl w:val="0"/>
      <w:autoSpaceDE w:val="0"/>
      <w:autoSpaceDN w:val="0"/>
      <w:adjustRightInd w:val="0"/>
      <w:snapToGrid w:val="0"/>
      <w:spacing w:after="0" w:line="360" w:lineRule="auto"/>
      <w:ind w:firstLine="340"/>
      <w:jc w:val="both"/>
      <w:textAlignment w:val="center"/>
    </w:pPr>
    <w:rPr>
      <w:rFonts w:ascii="Arial" w:eastAsia="Arial Unicode MS" w:hAnsi="Arial" w:cs="David"/>
      <w:snapToGrid w:val="0"/>
      <w:color w:val="000000"/>
      <w:sz w:val="20"/>
      <w:szCs w:val="26"/>
      <w:lang w:eastAsia="ja-JP"/>
    </w:rPr>
  </w:style>
  <w:style w:type="paragraph" w:customStyle="1" w:styleId="HeadDivreiHesber">
    <w:name w:val="Head DivreiHesber"/>
    <w:basedOn w:val="a"/>
    <w:rsid w:val="00457295"/>
    <w:pPr>
      <w:widowControl w:val="0"/>
      <w:autoSpaceDE w:val="0"/>
      <w:autoSpaceDN w:val="0"/>
      <w:adjustRightInd w:val="0"/>
      <w:snapToGrid w:val="0"/>
      <w:spacing w:before="360" w:after="120" w:line="360" w:lineRule="auto"/>
      <w:jc w:val="center"/>
      <w:textAlignment w:val="center"/>
    </w:pPr>
    <w:rPr>
      <w:rFonts w:ascii="Arial" w:eastAsia="Arial Unicode MS" w:hAnsi="Arial" w:cs="David"/>
      <w:b/>
      <w:snapToGrid w:val="0"/>
      <w:color w:val="000000"/>
      <w:spacing w:val="40"/>
      <w:sz w:val="20"/>
      <w:szCs w:val="26"/>
      <w:lang w:eastAsia="ja-JP"/>
    </w:rPr>
  </w:style>
  <w:style w:type="paragraph" w:styleId="a4">
    <w:name w:val="Balloon Text"/>
    <w:basedOn w:val="a"/>
    <w:link w:val="a5"/>
    <w:uiPriority w:val="99"/>
    <w:semiHidden/>
    <w:unhideWhenUsed/>
    <w:rsid w:val="001D19CF"/>
    <w:pPr>
      <w:spacing w:after="0" w:line="240" w:lineRule="auto"/>
    </w:pPr>
    <w:rPr>
      <w:rFonts w:ascii="Tahoma" w:hAnsi="Tahoma" w:cs="Tahoma"/>
      <w:sz w:val="18"/>
      <w:szCs w:val="18"/>
    </w:rPr>
  </w:style>
  <w:style w:type="character" w:customStyle="1" w:styleId="a5">
    <w:name w:val="טקסט בלונים תו"/>
    <w:basedOn w:val="a0"/>
    <w:link w:val="a4"/>
    <w:uiPriority w:val="99"/>
    <w:semiHidden/>
    <w:rsid w:val="001D19CF"/>
    <w:rPr>
      <w:rFonts w:ascii="Tahoma" w:hAnsi="Tahoma" w:cs="Tahoma"/>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258C3"/>
    <w:pPr>
      <w:ind w:left="720"/>
      <w:contextualSpacing/>
    </w:pPr>
  </w:style>
  <w:style w:type="paragraph" w:customStyle="1" w:styleId="Hesber">
    <w:name w:val="Hesber"/>
    <w:basedOn w:val="a"/>
    <w:rsid w:val="00457295"/>
    <w:pPr>
      <w:widowControl w:val="0"/>
      <w:autoSpaceDE w:val="0"/>
      <w:autoSpaceDN w:val="0"/>
      <w:adjustRightInd w:val="0"/>
      <w:snapToGrid w:val="0"/>
      <w:spacing w:after="0" w:line="360" w:lineRule="auto"/>
      <w:ind w:firstLine="340"/>
      <w:jc w:val="both"/>
      <w:textAlignment w:val="center"/>
    </w:pPr>
    <w:rPr>
      <w:rFonts w:ascii="Arial" w:eastAsia="Arial Unicode MS" w:hAnsi="Arial" w:cs="David"/>
      <w:snapToGrid w:val="0"/>
      <w:color w:val="000000"/>
      <w:sz w:val="20"/>
      <w:szCs w:val="26"/>
      <w:lang w:eastAsia="ja-JP"/>
    </w:rPr>
  </w:style>
  <w:style w:type="paragraph" w:customStyle="1" w:styleId="HeadDivreiHesber">
    <w:name w:val="Head DivreiHesber"/>
    <w:basedOn w:val="a"/>
    <w:rsid w:val="00457295"/>
    <w:pPr>
      <w:widowControl w:val="0"/>
      <w:autoSpaceDE w:val="0"/>
      <w:autoSpaceDN w:val="0"/>
      <w:adjustRightInd w:val="0"/>
      <w:snapToGrid w:val="0"/>
      <w:spacing w:before="360" w:after="120" w:line="360" w:lineRule="auto"/>
      <w:jc w:val="center"/>
      <w:textAlignment w:val="center"/>
    </w:pPr>
    <w:rPr>
      <w:rFonts w:ascii="Arial" w:eastAsia="Arial Unicode MS" w:hAnsi="Arial" w:cs="David"/>
      <w:b/>
      <w:snapToGrid w:val="0"/>
      <w:color w:val="000000"/>
      <w:spacing w:val="40"/>
      <w:sz w:val="20"/>
      <w:szCs w:val="26"/>
      <w:lang w:eastAsia="ja-JP"/>
    </w:rPr>
  </w:style>
  <w:style w:type="paragraph" w:styleId="a4">
    <w:name w:val="Balloon Text"/>
    <w:basedOn w:val="a"/>
    <w:link w:val="a5"/>
    <w:uiPriority w:val="99"/>
    <w:semiHidden/>
    <w:unhideWhenUsed/>
    <w:rsid w:val="001D19CF"/>
    <w:pPr>
      <w:spacing w:after="0" w:line="240" w:lineRule="auto"/>
    </w:pPr>
    <w:rPr>
      <w:rFonts w:ascii="Tahoma" w:hAnsi="Tahoma" w:cs="Tahoma"/>
      <w:sz w:val="18"/>
      <w:szCs w:val="18"/>
    </w:rPr>
  </w:style>
  <w:style w:type="character" w:customStyle="1" w:styleId="a5">
    <w:name w:val="טקסט בלונים תו"/>
    <w:basedOn w:val="a0"/>
    <w:link w:val="a4"/>
    <w:uiPriority w:val="99"/>
    <w:semiHidden/>
    <w:rsid w:val="001D19CF"/>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427AA52-F4A0-4904-A632-D3FA719A32C9}"/>
</file>

<file path=customXml/itemProps2.xml><?xml version="1.0" encoding="utf-8"?>
<ds:datastoreItem xmlns:ds="http://schemas.openxmlformats.org/officeDocument/2006/customXml" ds:itemID="{C07A3C08-3830-4F4E-BF0D-203ADFD76DDE}"/>
</file>

<file path=customXml/itemProps3.xml><?xml version="1.0" encoding="utf-8"?>
<ds:datastoreItem xmlns:ds="http://schemas.openxmlformats.org/officeDocument/2006/customXml" ds:itemID="{B53CF245-8AB4-43C7-BFC2-42409E580771}"/>
</file>

<file path=docProps/app.xml><?xml version="1.0" encoding="utf-8"?>
<Properties xmlns="http://schemas.openxmlformats.org/officeDocument/2006/extended-properties" xmlns:vt="http://schemas.openxmlformats.org/officeDocument/2006/docPropsVTypes">
  <Template>Normal</Template>
  <TotalTime>0</TotalTime>
  <Pages>3</Pages>
  <Words>1040</Words>
  <Characters>5203</Characters>
  <Application>Microsoft Office Word</Application>
  <DocSecurity>4</DocSecurity>
  <Lines>43</Lines>
  <Paragraphs>12</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6231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נועה ברודסקי לוי</dc:creator>
  <cp:lastModifiedBy>עידן פז</cp:lastModifiedBy>
  <cp:revision>2</cp:revision>
  <cp:lastPrinted>2015-06-15T11:49:00Z</cp:lastPrinted>
  <dcterms:created xsi:type="dcterms:W3CDTF">2015-06-15T12:01:00Z</dcterms:created>
  <dcterms:modified xsi:type="dcterms:W3CDTF">2015-06-15T12:01:00Z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