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03B" w:rsidRPr="00D86CBC" w:rsidRDefault="00D86CBC" w:rsidP="0026403B">
      <w:pPr>
        <w:spacing w:line="240" w:lineRule="auto"/>
        <w:jc w:val="right"/>
        <w:rPr>
          <w:rFonts w:ascii="David" w:hAnsi="David" w:cs="David"/>
          <w:szCs w:val="22"/>
          <w:rtl/>
        </w:rPr>
      </w:pPr>
      <w:bookmarkStart w:id="0" w:name="_GoBack"/>
      <w:bookmarkEnd w:id="0"/>
      <w:r w:rsidRPr="00D86CBC">
        <w:rPr>
          <w:rFonts w:ascii="David" w:hAnsi="David" w:cs="David" w:hint="cs"/>
          <w:szCs w:val="22"/>
          <w:rtl/>
        </w:rPr>
        <w:t>ה</w:t>
      </w:r>
      <w:r w:rsidR="0026403B" w:rsidRPr="00D86CBC">
        <w:rPr>
          <w:rFonts w:ascii="David" w:hAnsi="David" w:cs="David" w:hint="cs"/>
          <w:szCs w:val="22"/>
          <w:rtl/>
        </w:rPr>
        <w:t xml:space="preserve">' בתמוז </w:t>
      </w:r>
      <w:proofErr w:type="spellStart"/>
      <w:r w:rsidR="0026403B" w:rsidRPr="00D86CBC">
        <w:rPr>
          <w:rFonts w:ascii="David" w:hAnsi="David" w:cs="David" w:hint="cs"/>
          <w:szCs w:val="22"/>
          <w:rtl/>
        </w:rPr>
        <w:t>התשע"ה</w:t>
      </w:r>
      <w:proofErr w:type="spellEnd"/>
    </w:p>
    <w:p w:rsidR="0026403B" w:rsidRPr="00D86CBC" w:rsidRDefault="00D86CBC" w:rsidP="0026403B">
      <w:pPr>
        <w:spacing w:line="240" w:lineRule="auto"/>
        <w:jc w:val="right"/>
        <w:rPr>
          <w:rFonts w:ascii="David" w:hAnsi="David" w:cs="David"/>
          <w:szCs w:val="22"/>
          <w:rtl/>
        </w:rPr>
      </w:pPr>
      <w:r w:rsidRPr="00D86CBC">
        <w:rPr>
          <w:rFonts w:ascii="David" w:hAnsi="David" w:cs="David" w:hint="cs"/>
          <w:szCs w:val="22"/>
          <w:rtl/>
        </w:rPr>
        <w:t>22</w:t>
      </w:r>
      <w:r w:rsidR="0026403B" w:rsidRPr="00D86CBC">
        <w:rPr>
          <w:rFonts w:ascii="David" w:hAnsi="David" w:cs="David" w:hint="cs"/>
          <w:szCs w:val="22"/>
          <w:rtl/>
        </w:rPr>
        <w:t xml:space="preserve"> ביוני 2015</w:t>
      </w:r>
    </w:p>
    <w:p w:rsidR="0026403B" w:rsidRPr="00D86CBC" w:rsidRDefault="0026403B" w:rsidP="0026403B">
      <w:pPr>
        <w:spacing w:line="240" w:lineRule="auto"/>
        <w:rPr>
          <w:rFonts w:cs="David"/>
          <w:u w:val="single"/>
          <w:rtl/>
        </w:rPr>
      </w:pPr>
    </w:p>
    <w:p w:rsidR="0026403B" w:rsidRPr="00475FDB" w:rsidRDefault="0026403B" w:rsidP="0026403B">
      <w:pPr>
        <w:spacing w:line="240" w:lineRule="auto"/>
        <w:rPr>
          <w:rFonts w:cs="David"/>
          <w:rtl/>
        </w:rPr>
      </w:pPr>
      <w:r w:rsidRPr="00D86CBC">
        <w:rPr>
          <w:rFonts w:cs="David" w:hint="cs"/>
          <w:u w:val="single"/>
          <w:rtl/>
        </w:rPr>
        <w:t>אל</w:t>
      </w:r>
      <w:r w:rsidRPr="00D86CBC">
        <w:rPr>
          <w:rFonts w:cs="David" w:hint="cs"/>
          <w:rtl/>
        </w:rPr>
        <w:t>: חברי ועדת החוקה, חוק ומשפט</w:t>
      </w:r>
    </w:p>
    <w:p w:rsidR="0026403B" w:rsidRDefault="0026403B" w:rsidP="0026403B">
      <w:pPr>
        <w:spacing w:line="240" w:lineRule="auto"/>
        <w:rPr>
          <w:rFonts w:cs="David"/>
          <w:rtl/>
        </w:rPr>
      </w:pPr>
      <w:r w:rsidRPr="00475FDB">
        <w:rPr>
          <w:rFonts w:cs="David" w:hint="cs"/>
          <w:u w:val="single"/>
          <w:rtl/>
        </w:rPr>
        <w:t>מאת</w:t>
      </w:r>
      <w:r w:rsidRPr="00475FDB">
        <w:rPr>
          <w:rFonts w:cs="David" w:hint="cs"/>
          <w:rtl/>
        </w:rPr>
        <w:t>: הייעוץ המשפטי לוועדה</w:t>
      </w:r>
    </w:p>
    <w:p w:rsidR="0026403B" w:rsidRDefault="0026403B" w:rsidP="0026403B">
      <w:pPr>
        <w:spacing w:line="240" w:lineRule="auto"/>
        <w:rPr>
          <w:rFonts w:cs="David"/>
          <w:rtl/>
        </w:rPr>
      </w:pPr>
    </w:p>
    <w:p w:rsidR="0026403B" w:rsidRDefault="0026403B" w:rsidP="0026403B">
      <w:pPr>
        <w:spacing w:line="240" w:lineRule="auto"/>
        <w:rPr>
          <w:rFonts w:cs="David"/>
          <w:rtl/>
        </w:rPr>
      </w:pPr>
    </w:p>
    <w:p w:rsidR="0026403B" w:rsidRDefault="004713DA" w:rsidP="004713DA">
      <w:pPr>
        <w:spacing w:after="240" w:line="276" w:lineRule="auto"/>
        <w:jc w:val="center"/>
        <w:rPr>
          <w:rFonts w:cs="David"/>
          <w:b/>
          <w:bCs/>
          <w:sz w:val="28"/>
          <w:szCs w:val="28"/>
          <w:u w:val="single"/>
          <w:rtl/>
        </w:rPr>
      </w:pPr>
      <w:r>
        <w:rPr>
          <w:rFonts w:cs="David" w:hint="cs"/>
          <w:b/>
          <w:bCs/>
          <w:sz w:val="28"/>
          <w:szCs w:val="28"/>
          <w:u w:val="single"/>
          <w:rtl/>
        </w:rPr>
        <w:t xml:space="preserve">יישום </w:t>
      </w:r>
      <w:r w:rsidR="0026403B" w:rsidRPr="0052078D">
        <w:rPr>
          <w:rFonts w:cs="David" w:hint="cs"/>
          <w:b/>
          <w:bCs/>
          <w:sz w:val="28"/>
          <w:szCs w:val="28"/>
          <w:u w:val="single"/>
          <w:rtl/>
        </w:rPr>
        <w:t xml:space="preserve">חוק </w:t>
      </w:r>
      <w:r>
        <w:rPr>
          <w:rFonts w:cs="David" w:hint="cs"/>
          <w:b/>
          <w:bCs/>
          <w:sz w:val="28"/>
          <w:szCs w:val="28"/>
          <w:u w:val="single"/>
          <w:rtl/>
        </w:rPr>
        <w:t xml:space="preserve">חופש המידע: המצוי והרצוי </w:t>
      </w:r>
      <w:r>
        <w:rPr>
          <w:rFonts w:cs="David"/>
          <w:b/>
          <w:bCs/>
          <w:sz w:val="28"/>
          <w:szCs w:val="28"/>
          <w:u w:val="single"/>
          <w:rtl/>
        </w:rPr>
        <w:t>–</w:t>
      </w:r>
      <w:r>
        <w:rPr>
          <w:rFonts w:cs="David" w:hint="cs"/>
          <w:b/>
          <w:bCs/>
          <w:sz w:val="28"/>
          <w:szCs w:val="28"/>
          <w:u w:val="single"/>
          <w:rtl/>
        </w:rPr>
        <w:t xml:space="preserve"> רקע לדיון מעקב</w:t>
      </w:r>
    </w:p>
    <w:p w:rsidR="0026403B" w:rsidRPr="00DE70EB" w:rsidRDefault="0026403B" w:rsidP="0026403B">
      <w:pPr>
        <w:spacing w:after="120" w:line="240" w:lineRule="auto"/>
        <w:rPr>
          <w:rFonts w:cs="David"/>
          <w:b/>
          <w:bCs/>
          <w:u w:val="single"/>
          <w:rtl/>
        </w:rPr>
      </w:pPr>
      <w:r w:rsidRPr="00DE70EB">
        <w:rPr>
          <w:rFonts w:cs="David" w:hint="cs"/>
          <w:b/>
          <w:bCs/>
          <w:u w:val="single"/>
          <w:rtl/>
        </w:rPr>
        <w:t xml:space="preserve">חופש המידע </w:t>
      </w:r>
      <w:r w:rsidRPr="00DE70EB">
        <w:rPr>
          <w:rFonts w:cs="David"/>
          <w:b/>
          <w:bCs/>
          <w:u w:val="single"/>
          <w:rtl/>
        </w:rPr>
        <w:t>–</w:t>
      </w:r>
      <w:r w:rsidRPr="00DE70EB">
        <w:rPr>
          <w:rFonts w:cs="David" w:hint="cs"/>
          <w:b/>
          <w:bCs/>
          <w:u w:val="single"/>
          <w:rtl/>
        </w:rPr>
        <w:t xml:space="preserve"> כללי </w:t>
      </w:r>
    </w:p>
    <w:p w:rsidR="0026403B" w:rsidRPr="00DE70EB" w:rsidRDefault="0026403B" w:rsidP="0026403B">
      <w:pPr>
        <w:rPr>
          <w:rFonts w:cs="David"/>
          <w:rtl/>
        </w:rPr>
      </w:pPr>
      <w:r w:rsidRPr="00DE70EB">
        <w:rPr>
          <w:rFonts w:cs="David" w:hint="cs"/>
          <w:rtl/>
        </w:rPr>
        <w:t xml:space="preserve">זכות הציבור לדעת היא זכות בעלת חשיבות מרכזית בשיטתנו המשפטית, זכות הנגזרת ממהותו של המשטר הדמוקרטי, ומהווה תנאי הכרחי למנהל תקין וערובה מרכזית מפני שרירות שלטונית. עוד קודם לחקיקת חוק חופש המידע, הודגשה בפסיקת בית המשפט העליון חשיבותה הרבה של זכות הציבור לדעת ולקבל מידע מרשויות השלטון. בפסיקה ובספרות המשפטית </w:t>
      </w:r>
      <w:r>
        <w:rPr>
          <w:rFonts w:cs="David" w:hint="cs"/>
          <w:rtl/>
        </w:rPr>
        <w:t>מ</w:t>
      </w:r>
      <w:r w:rsidRPr="00DE70EB">
        <w:rPr>
          <w:rFonts w:cs="David" w:hint="cs"/>
          <w:rtl/>
        </w:rPr>
        <w:t>דובר על 4 תכליות שונות העומדות ביסוד ההכרה בזכות היסוד של הציבור לדעת</w:t>
      </w:r>
      <w:r w:rsidRPr="00DE70EB">
        <w:rPr>
          <w:rStyle w:val="a6"/>
          <w:rFonts w:cs="David"/>
          <w:sz w:val="18"/>
          <w:szCs w:val="20"/>
          <w:rtl/>
        </w:rPr>
        <w:footnoteReference w:id="1"/>
      </w:r>
      <w:r w:rsidRPr="00DE70EB">
        <w:rPr>
          <w:rFonts w:cs="David" w:hint="cs"/>
          <w:rtl/>
        </w:rPr>
        <w:t>:</w:t>
      </w:r>
    </w:p>
    <w:p w:rsidR="0026403B" w:rsidRPr="00DE70EB" w:rsidRDefault="0026403B" w:rsidP="0026403B">
      <w:pPr>
        <w:numPr>
          <w:ilvl w:val="0"/>
          <w:numId w:val="1"/>
        </w:numPr>
        <w:autoSpaceDE/>
        <w:autoSpaceDN/>
        <w:rPr>
          <w:rFonts w:cs="David"/>
        </w:rPr>
      </w:pPr>
      <w:r w:rsidRPr="00DE70EB">
        <w:rPr>
          <w:rFonts w:cs="David" w:hint="cs"/>
          <w:b/>
          <w:bCs/>
          <w:rtl/>
        </w:rPr>
        <w:t>פיקוח ובקרה</w:t>
      </w:r>
      <w:r w:rsidRPr="00DE70EB">
        <w:rPr>
          <w:rFonts w:cs="David" w:hint="cs"/>
          <w:rtl/>
        </w:rPr>
        <w:t xml:space="preserve">: הצורך במתן מידע מלא לציבור, הוא כדי שזה יוכל לדעת אודות הפעילות של רשויות המדינה השונות, לגבש עמדה בקשר אליה, לבקר ולפקח עליה ובמקרה הצורך אף לפעול לשינויה. </w:t>
      </w:r>
    </w:p>
    <w:p w:rsidR="0026403B" w:rsidRPr="00DE70EB" w:rsidRDefault="0026403B" w:rsidP="0026403B">
      <w:pPr>
        <w:numPr>
          <w:ilvl w:val="0"/>
          <w:numId w:val="1"/>
        </w:numPr>
        <w:autoSpaceDE/>
        <w:autoSpaceDN/>
        <w:rPr>
          <w:rFonts w:cs="David"/>
        </w:rPr>
      </w:pPr>
      <w:r w:rsidRPr="00DE70EB">
        <w:rPr>
          <w:rFonts w:cs="David" w:hint="cs"/>
          <w:b/>
          <w:bCs/>
          <w:rtl/>
        </w:rPr>
        <w:t>בעלות-נאמנות</w:t>
      </w:r>
      <w:r w:rsidRPr="00DE70EB">
        <w:rPr>
          <w:rFonts w:cs="David" w:hint="cs"/>
          <w:rtl/>
        </w:rPr>
        <w:t>: ההכרה בכך שהרשות השלטונית והמנהל הציבורי הם נאמני הציבור, ואין להם אינטרס משל עצמם. המידע שבידיהם הינו מידע השייך לציבור.</w:t>
      </w:r>
    </w:p>
    <w:p w:rsidR="0026403B" w:rsidRPr="00DE70EB" w:rsidRDefault="0026403B" w:rsidP="0026403B">
      <w:pPr>
        <w:numPr>
          <w:ilvl w:val="0"/>
          <w:numId w:val="1"/>
        </w:numPr>
        <w:autoSpaceDE/>
        <w:autoSpaceDN/>
        <w:rPr>
          <w:rFonts w:cs="David"/>
        </w:rPr>
      </w:pPr>
      <w:r w:rsidRPr="00DE70EB">
        <w:rPr>
          <w:rFonts w:cs="David" w:hint="cs"/>
          <w:b/>
          <w:bCs/>
          <w:rtl/>
        </w:rPr>
        <w:t>השתתפות</w:t>
      </w:r>
      <w:r w:rsidRPr="00DE70EB">
        <w:rPr>
          <w:rFonts w:cs="David" w:hint="cs"/>
          <w:rtl/>
        </w:rPr>
        <w:t xml:space="preserve">: השתתפות הציבור בהליך הדמוקרטי מחייבת </w:t>
      </w:r>
      <w:r>
        <w:rPr>
          <w:rFonts w:cs="David" w:hint="cs"/>
          <w:rtl/>
        </w:rPr>
        <w:t xml:space="preserve">השתתפות </w:t>
      </w:r>
      <w:r w:rsidRPr="00DE70EB">
        <w:rPr>
          <w:rFonts w:cs="David" w:hint="cs"/>
          <w:rtl/>
        </w:rPr>
        <w:t>מיודעת ומחושבת של האזרח, ולשם כך הוא זקוק למידע הרלוונטי אודות פעילות הרשויות.</w:t>
      </w:r>
    </w:p>
    <w:p w:rsidR="0026403B" w:rsidRPr="00DE70EB" w:rsidRDefault="0026403B" w:rsidP="0026403B">
      <w:pPr>
        <w:numPr>
          <w:ilvl w:val="0"/>
          <w:numId w:val="1"/>
        </w:numPr>
        <w:autoSpaceDE/>
        <w:autoSpaceDN/>
        <w:spacing w:after="120"/>
        <w:rPr>
          <w:rFonts w:cs="David"/>
        </w:rPr>
      </w:pPr>
      <w:r w:rsidRPr="00DE70EB">
        <w:rPr>
          <w:rFonts w:cs="David" w:hint="cs"/>
          <w:b/>
          <w:bCs/>
          <w:rtl/>
        </w:rPr>
        <w:t>חופש ביטוי</w:t>
      </w:r>
      <w:r w:rsidRPr="00DE70EB">
        <w:rPr>
          <w:rFonts w:cs="David" w:hint="cs"/>
          <w:rtl/>
        </w:rPr>
        <w:t xml:space="preserve">: לשם הגשמה של חופש הביטוי נדרש כי  לפרט תהיה גישה למידע כבסיס ליכולתו לגבש עמדה אישית משלו. </w:t>
      </w:r>
    </w:p>
    <w:p w:rsidR="0026403B" w:rsidRPr="00DE70EB" w:rsidRDefault="00EA35A3" w:rsidP="008C1EB1">
      <w:pPr>
        <w:spacing w:after="120"/>
        <w:rPr>
          <w:rFonts w:cs="David"/>
          <w:rtl/>
        </w:rPr>
      </w:pPr>
      <w:r>
        <w:rPr>
          <w:rFonts w:cs="David" w:hint="cs"/>
          <w:rtl/>
        </w:rPr>
        <w:t>ה</w:t>
      </w:r>
      <w:r w:rsidR="0026403B" w:rsidRPr="00326DE1">
        <w:rPr>
          <w:rFonts w:cs="David" w:hint="cs"/>
          <w:rtl/>
        </w:rPr>
        <w:t xml:space="preserve">זכות </w:t>
      </w:r>
      <w:r>
        <w:rPr>
          <w:rFonts w:cs="David" w:hint="cs"/>
          <w:rtl/>
        </w:rPr>
        <w:t xml:space="preserve">לחופש מידע </w:t>
      </w:r>
      <w:r w:rsidR="0026403B" w:rsidRPr="00326DE1">
        <w:rPr>
          <w:rFonts w:cs="David" w:hint="cs"/>
          <w:rtl/>
        </w:rPr>
        <w:t>קיבלה משנה תוקף עם חקיקתו של חוק חופש המידע, התש</w:t>
      </w:r>
      <w:r w:rsidR="0026403B" w:rsidRPr="00DE70EB">
        <w:rPr>
          <w:rFonts w:cs="David" w:hint="cs"/>
          <w:rtl/>
        </w:rPr>
        <w:t xml:space="preserve">נ"ח-1998 (להלן </w:t>
      </w:r>
      <w:r w:rsidR="0026403B" w:rsidRPr="00DE70EB">
        <w:rPr>
          <w:rFonts w:cs="David"/>
          <w:rtl/>
        </w:rPr>
        <w:t>–</w:t>
      </w:r>
      <w:r w:rsidR="0026403B" w:rsidRPr="00DE70EB">
        <w:rPr>
          <w:rFonts w:cs="David" w:hint="cs"/>
          <w:rtl/>
        </w:rPr>
        <w:t xml:space="preserve"> החוק או חוק חופש המידע) הקובע, בס' 1 לחוק, את </w:t>
      </w:r>
      <w:r w:rsidR="0026403B" w:rsidRPr="00DE70EB">
        <w:rPr>
          <w:rFonts w:cs="David" w:hint="cs"/>
          <w:u w:val="single"/>
          <w:rtl/>
        </w:rPr>
        <w:t>העיקרו</w:t>
      </w:r>
      <w:r w:rsidR="0026403B" w:rsidRPr="00DE70EB">
        <w:rPr>
          <w:rFonts w:cs="David" w:hint="eastAsia"/>
          <w:u w:val="single"/>
          <w:rtl/>
        </w:rPr>
        <w:t>ן</w:t>
      </w:r>
      <w:r w:rsidR="0026403B" w:rsidRPr="00DE70EB">
        <w:rPr>
          <w:rFonts w:cs="David" w:hint="cs"/>
          <w:u w:val="single"/>
          <w:rtl/>
        </w:rPr>
        <w:t xml:space="preserve"> בדבר זכות הציבור לקבל  מידע מרשות ציבורית</w:t>
      </w:r>
      <w:r w:rsidR="0026403B" w:rsidRPr="00DE70EB">
        <w:rPr>
          <w:rFonts w:cs="David" w:hint="cs"/>
          <w:rtl/>
        </w:rPr>
        <w:t>. סעיף זה מעניק לאזרח זכות קנויה לקבל מידע מ"הרשות הציבורית". בס</w:t>
      </w:r>
      <w:r w:rsidR="00B06BF0">
        <w:rPr>
          <w:rFonts w:cs="David" w:hint="cs"/>
          <w:rtl/>
        </w:rPr>
        <w:t>עיף</w:t>
      </w:r>
      <w:r w:rsidR="0026403B" w:rsidRPr="00DE70EB">
        <w:rPr>
          <w:rFonts w:cs="David" w:hint="cs"/>
          <w:rtl/>
        </w:rPr>
        <w:t xml:space="preserve"> 2 לחוק, ישנה רשימה סגורה של גופים המוגדרים כ"רשות ציבורית" שעליה חלות הוראות החוק. מנגד, ס</w:t>
      </w:r>
      <w:r w:rsidR="00B06BF0">
        <w:rPr>
          <w:rFonts w:cs="David" w:hint="cs"/>
          <w:rtl/>
        </w:rPr>
        <w:t>עיף</w:t>
      </w:r>
      <w:r w:rsidR="0026403B" w:rsidRPr="00DE70EB">
        <w:rPr>
          <w:rFonts w:cs="David" w:hint="cs"/>
          <w:rtl/>
        </w:rPr>
        <w:t xml:space="preserve"> 14 לחוק מונה רשימה של גופים, שעל אף שבהגדרתם הם "רשות ציבורית", הוראות החוק לא יחולו עליהם. מרבית הגופים המוחרגים הם כאלה שפעילותם היא בתחום הביטחון או יחסי החוץ של מדינת ישראל, כגון: מערך המודיעין של צה"ל, השב"כ, המוסד, הוועדה לאנרגיה אטומית ועוד. </w:t>
      </w:r>
    </w:p>
    <w:p w:rsidR="0026403B" w:rsidRDefault="0026403B" w:rsidP="00B06BF0">
      <w:pPr>
        <w:rPr>
          <w:rFonts w:cs="David"/>
          <w:rtl/>
        </w:rPr>
      </w:pPr>
      <w:r w:rsidRPr="00DE70EB">
        <w:rPr>
          <w:rFonts w:cs="David" w:hint="cs"/>
          <w:rtl/>
        </w:rPr>
        <w:t>החוק מאפשר לרשות ציבורית, שלא למסור מידע למבקש, מטעמים מנהליים-טכניים מסוימים הקבועים בחוק</w:t>
      </w:r>
      <w:r w:rsidR="00E42815">
        <w:rPr>
          <w:rFonts w:cs="David" w:hint="cs"/>
          <w:rtl/>
        </w:rPr>
        <w:t xml:space="preserve"> </w:t>
      </w:r>
      <w:r w:rsidRPr="00DE70EB">
        <w:rPr>
          <w:rFonts w:cs="David" w:hint="cs"/>
          <w:rtl/>
        </w:rPr>
        <w:t>(ס</w:t>
      </w:r>
      <w:r w:rsidR="00B06BF0">
        <w:rPr>
          <w:rFonts w:cs="David" w:hint="cs"/>
          <w:rtl/>
        </w:rPr>
        <w:t>עיף</w:t>
      </w:r>
      <w:r w:rsidRPr="00DE70EB">
        <w:rPr>
          <w:rFonts w:cs="David" w:hint="cs"/>
          <w:rtl/>
        </w:rPr>
        <w:t xml:space="preserve"> 8 לחוק)</w:t>
      </w:r>
      <w:r w:rsidR="00630858">
        <w:rPr>
          <w:rStyle w:val="a6"/>
          <w:rFonts w:cs="David"/>
          <w:rtl/>
        </w:rPr>
        <w:footnoteReference w:id="2"/>
      </w:r>
      <w:r w:rsidRPr="00DE70EB">
        <w:rPr>
          <w:rFonts w:cs="David" w:hint="cs"/>
          <w:rtl/>
        </w:rPr>
        <w:t>. כמו כן, קובע החוק סוגים שונים של מידע, שלגביהם חל על הרשות איסור מוחלט למסור אותם (ס</w:t>
      </w:r>
      <w:r w:rsidR="00B06BF0">
        <w:rPr>
          <w:rFonts w:cs="David" w:hint="cs"/>
          <w:rtl/>
        </w:rPr>
        <w:t>עיף</w:t>
      </w:r>
      <w:r w:rsidRPr="00DE70EB">
        <w:rPr>
          <w:rFonts w:cs="David" w:hint="cs"/>
          <w:rtl/>
        </w:rPr>
        <w:t xml:space="preserve"> 9(א) לחוק): </w:t>
      </w:r>
    </w:p>
    <w:p w:rsidR="0026403B" w:rsidRPr="00DE70EB" w:rsidRDefault="0026403B" w:rsidP="0026403B">
      <w:pPr>
        <w:numPr>
          <w:ilvl w:val="0"/>
          <w:numId w:val="2"/>
        </w:numPr>
        <w:autoSpaceDE/>
        <w:autoSpaceDN/>
        <w:ind w:left="714" w:hanging="357"/>
        <w:rPr>
          <w:rFonts w:cs="David"/>
          <w:rtl/>
        </w:rPr>
      </w:pPr>
      <w:r w:rsidRPr="00DE70EB">
        <w:rPr>
          <w:rFonts w:cs="David" w:hint="cs"/>
          <w:rtl/>
        </w:rPr>
        <w:lastRenderedPageBreak/>
        <w:t xml:space="preserve">מידע שבגילויו יש חשש לפגיעה בביטחון המדינה, ביחסי החוץ שלה, בביטחון הציבור או בביטחונו או בשלומו של אדם; </w:t>
      </w:r>
    </w:p>
    <w:p w:rsidR="0026403B" w:rsidRPr="00DE70EB" w:rsidRDefault="0026403B" w:rsidP="0026403B">
      <w:pPr>
        <w:numPr>
          <w:ilvl w:val="0"/>
          <w:numId w:val="2"/>
        </w:numPr>
        <w:autoSpaceDE/>
        <w:autoSpaceDN/>
        <w:ind w:left="714" w:hanging="357"/>
        <w:rPr>
          <w:rFonts w:cs="David"/>
        </w:rPr>
      </w:pPr>
      <w:r w:rsidRPr="00DE70EB">
        <w:rPr>
          <w:rFonts w:cs="David" w:hint="cs"/>
          <w:rtl/>
        </w:rPr>
        <w:t xml:space="preserve">מידע בנושאים ששר הביטחון, מטעמים של שמירה על ביטחון המדינה, קבע אותם בצו, באישור הוועדה המשותפת; </w:t>
      </w:r>
    </w:p>
    <w:p w:rsidR="0026403B" w:rsidRPr="00DE70EB" w:rsidRDefault="0026403B" w:rsidP="0026403B">
      <w:pPr>
        <w:numPr>
          <w:ilvl w:val="0"/>
          <w:numId w:val="2"/>
        </w:numPr>
        <w:autoSpaceDE/>
        <w:autoSpaceDN/>
        <w:ind w:left="714" w:hanging="357"/>
        <w:rPr>
          <w:rFonts w:cs="David"/>
        </w:rPr>
      </w:pPr>
      <w:r w:rsidRPr="00DE70EB">
        <w:rPr>
          <w:rFonts w:cs="David" w:hint="cs"/>
          <w:rtl/>
        </w:rPr>
        <w:t xml:space="preserve">מידע שגילויו מהווה פגיעה בפרטיות; </w:t>
      </w:r>
    </w:p>
    <w:p w:rsidR="0026403B" w:rsidRPr="00DE70EB" w:rsidRDefault="0026403B" w:rsidP="0026403B">
      <w:pPr>
        <w:numPr>
          <w:ilvl w:val="0"/>
          <w:numId w:val="2"/>
        </w:numPr>
        <w:autoSpaceDE/>
        <w:autoSpaceDN/>
        <w:spacing w:after="120"/>
        <w:rPr>
          <w:rFonts w:cs="David"/>
        </w:rPr>
      </w:pPr>
      <w:r w:rsidRPr="00DE70EB">
        <w:rPr>
          <w:rFonts w:cs="David" w:hint="cs"/>
          <w:rtl/>
        </w:rPr>
        <w:t>מידע אשר אין לגלותו על פי כל דין.</w:t>
      </w:r>
    </w:p>
    <w:p w:rsidR="0026403B" w:rsidRPr="00DE70EB" w:rsidRDefault="0026403B" w:rsidP="00B06BF0">
      <w:pPr>
        <w:spacing w:after="120"/>
        <w:rPr>
          <w:rFonts w:cs="David"/>
          <w:rtl/>
        </w:rPr>
      </w:pPr>
      <w:r w:rsidRPr="00DE70EB">
        <w:rPr>
          <w:rFonts w:cs="David" w:hint="cs"/>
          <w:rtl/>
        </w:rPr>
        <w:t>בנוסף, סעיף 9(ב) קובע סוגי</w:t>
      </w:r>
      <w:r w:rsidR="00B06BF0">
        <w:rPr>
          <w:rFonts w:cs="David" w:hint="cs"/>
          <w:rtl/>
        </w:rPr>
        <w:t xml:space="preserve">ם שונים של </w:t>
      </w:r>
      <w:r w:rsidRPr="00DE70EB">
        <w:rPr>
          <w:rFonts w:cs="David" w:hint="cs"/>
          <w:rtl/>
        </w:rPr>
        <w:t>מידע</w:t>
      </w:r>
      <w:r w:rsidR="00C97C1D">
        <w:rPr>
          <w:rFonts w:cs="David" w:hint="cs"/>
          <w:rtl/>
        </w:rPr>
        <w:t>,</w:t>
      </w:r>
      <w:r w:rsidRPr="00DE70EB">
        <w:rPr>
          <w:rFonts w:cs="David" w:hint="cs"/>
          <w:rtl/>
        </w:rPr>
        <w:t xml:space="preserve"> שלגבי</w:t>
      </w:r>
      <w:r w:rsidR="00B06BF0">
        <w:rPr>
          <w:rFonts w:cs="David" w:hint="cs"/>
          <w:rtl/>
        </w:rPr>
        <w:t>הם</w:t>
      </w:r>
      <w:r w:rsidRPr="00DE70EB">
        <w:rPr>
          <w:rFonts w:cs="David" w:hint="cs"/>
          <w:rtl/>
        </w:rPr>
        <w:t xml:space="preserve"> יש לרשות שיקול דעת להחליט האם </w:t>
      </w:r>
      <w:r w:rsidR="00B06BF0">
        <w:rPr>
          <w:rFonts w:cs="David" w:hint="cs"/>
          <w:rtl/>
        </w:rPr>
        <w:t>למסור</w:t>
      </w:r>
      <w:r w:rsidRPr="00DE70EB">
        <w:rPr>
          <w:rFonts w:cs="David" w:hint="cs"/>
          <w:rtl/>
        </w:rPr>
        <w:t xml:space="preserve"> אותו, אם לאו. כך, למשל, הרשות רשאית שלא למסור מידע </w:t>
      </w:r>
      <w:r w:rsidRPr="00DE70EB">
        <w:rPr>
          <w:rStyle w:val="default"/>
          <w:rFonts w:cs="David" w:hint="cs"/>
          <w:sz w:val="24"/>
          <w:rtl/>
        </w:rPr>
        <w:t>שגילויו עלול לשבש את התפקוד התקין של הרשות הציבורית או את יכולתה לבצע את תפקידיה (ס</w:t>
      </w:r>
      <w:r w:rsidR="00B06BF0">
        <w:rPr>
          <w:rStyle w:val="default"/>
          <w:rFonts w:cs="David" w:hint="cs"/>
          <w:sz w:val="24"/>
          <w:rtl/>
        </w:rPr>
        <w:t>עיף</w:t>
      </w:r>
      <w:r w:rsidRPr="00DE70EB">
        <w:rPr>
          <w:rStyle w:val="default"/>
          <w:rFonts w:cs="David" w:hint="cs"/>
          <w:sz w:val="24"/>
          <w:rtl/>
        </w:rPr>
        <w:t xml:space="preserve"> 9(ב)(1)) לחוק); מידע על אודות מדיניות הנמצאת בשלבי עיצוב (ס</w:t>
      </w:r>
      <w:r w:rsidR="00B06BF0">
        <w:rPr>
          <w:rStyle w:val="default"/>
          <w:rFonts w:cs="David" w:hint="cs"/>
          <w:sz w:val="24"/>
          <w:rtl/>
        </w:rPr>
        <w:t>עיף</w:t>
      </w:r>
      <w:r w:rsidRPr="00DE70EB">
        <w:rPr>
          <w:rStyle w:val="default"/>
          <w:rFonts w:cs="David" w:hint="cs"/>
          <w:sz w:val="24"/>
          <w:rtl/>
        </w:rPr>
        <w:t xml:space="preserve"> 9(ב)(</w:t>
      </w:r>
      <w:r w:rsidR="00B06BF0">
        <w:rPr>
          <w:rStyle w:val="default"/>
          <w:rFonts w:cs="David" w:hint="cs"/>
          <w:sz w:val="24"/>
          <w:rtl/>
        </w:rPr>
        <w:t>2</w:t>
      </w:r>
      <w:r w:rsidRPr="00DE70EB">
        <w:rPr>
          <w:rStyle w:val="default"/>
          <w:rFonts w:cs="David" w:hint="cs"/>
          <w:sz w:val="24"/>
          <w:rtl/>
        </w:rPr>
        <w:t>) לחוק); מידע על אודות פרטי משא ומתן עם גוף או עם אדם שמחוץ לרשות (ס</w:t>
      </w:r>
      <w:r w:rsidR="00B06BF0">
        <w:rPr>
          <w:rStyle w:val="default"/>
          <w:rFonts w:cs="David" w:hint="cs"/>
          <w:sz w:val="24"/>
          <w:rtl/>
        </w:rPr>
        <w:t>עיף</w:t>
      </w:r>
      <w:r w:rsidRPr="00DE70EB">
        <w:rPr>
          <w:rStyle w:val="default"/>
          <w:rFonts w:cs="David" w:hint="cs"/>
          <w:sz w:val="24"/>
          <w:rtl/>
        </w:rPr>
        <w:t xml:space="preserve"> 9(ב)(3) לחוק); מידע בדבר דיונים פנימיים, חוות דעת, טיוטות, עצות או המלצות שניתנו לצורך קבלת החלטה (ס</w:t>
      </w:r>
      <w:r w:rsidR="00B06BF0">
        <w:rPr>
          <w:rStyle w:val="default"/>
          <w:rFonts w:cs="David" w:hint="cs"/>
          <w:sz w:val="24"/>
          <w:rtl/>
        </w:rPr>
        <w:t>עיף</w:t>
      </w:r>
      <w:r w:rsidRPr="00DE70EB">
        <w:rPr>
          <w:rStyle w:val="default"/>
          <w:rFonts w:cs="David" w:hint="cs"/>
          <w:sz w:val="24"/>
          <w:rtl/>
        </w:rPr>
        <w:t xml:space="preserve"> 9(ב)(4) לחוק), וסוגי מידע נוספים. </w:t>
      </w:r>
      <w:r w:rsidRPr="00DE70EB">
        <w:rPr>
          <w:rFonts w:cs="David" w:hint="cs"/>
          <w:rtl/>
        </w:rPr>
        <w:t xml:space="preserve">יוער, כי </w:t>
      </w:r>
      <w:r w:rsidRPr="00DE70EB">
        <w:rPr>
          <w:rFonts w:cs="David" w:hint="cs"/>
          <w:b/>
          <w:bCs/>
          <w:rtl/>
        </w:rPr>
        <w:t xml:space="preserve">הנטייה הברורה של בתי המשפט היא לפרש חריגים אלו באופן דווקני ומצומצם ביותר, </w:t>
      </w:r>
      <w:r w:rsidRPr="00DE70EB">
        <w:rPr>
          <w:rFonts w:cs="David" w:hint="cs"/>
          <w:rtl/>
        </w:rPr>
        <w:t>ובמרבית המקרים לחייב את הרשות במסירת המידע.</w:t>
      </w:r>
    </w:p>
    <w:p w:rsidR="0026403B" w:rsidRPr="00DE70EB" w:rsidRDefault="0026403B" w:rsidP="0026403B">
      <w:pPr>
        <w:spacing w:after="120"/>
        <w:rPr>
          <w:rFonts w:cs="David"/>
          <w:rtl/>
        </w:rPr>
      </w:pPr>
      <w:r w:rsidRPr="00DE70EB">
        <w:rPr>
          <w:rFonts w:cs="David" w:hint="cs"/>
          <w:rtl/>
        </w:rPr>
        <w:t>גם כאשר מדובר במקרים בהם המידע המבוקש הוא כזה שהרשות הציבורית רשאית או חייבת שלא למסור אותו</w:t>
      </w:r>
      <w:r w:rsidR="006D5271">
        <w:rPr>
          <w:rFonts w:cs="David" w:hint="cs"/>
          <w:rtl/>
        </w:rPr>
        <w:t>,</w:t>
      </w:r>
      <w:r w:rsidRPr="00DE70EB">
        <w:rPr>
          <w:rFonts w:cs="David" w:hint="cs"/>
          <w:rtl/>
        </w:rPr>
        <w:t xml:space="preserve"> כאמור בסעיף 9, אך ניתן לגלות את המידע ללא הקצאת משאבים בלתי סבירה או הכבדה ניכרת על פעולתה של הרשות, תוך השמטת הפרטים, עריכת שינויים או תוך התניית תנאים בדבר דרך קבלת המידע והשימוש בו, הרשות חייבת לעשות כן (סעיף 11).</w:t>
      </w:r>
    </w:p>
    <w:p w:rsidR="0026403B" w:rsidRPr="00DE70EB" w:rsidRDefault="0026403B" w:rsidP="0026403B">
      <w:pPr>
        <w:rPr>
          <w:rFonts w:cs="David"/>
          <w:rtl/>
        </w:rPr>
      </w:pPr>
    </w:p>
    <w:p w:rsidR="0026403B" w:rsidRPr="00DE70EB" w:rsidRDefault="0026403B" w:rsidP="0026403B">
      <w:pPr>
        <w:spacing w:after="120" w:line="240" w:lineRule="auto"/>
        <w:rPr>
          <w:rFonts w:cs="David"/>
          <w:b/>
          <w:bCs/>
          <w:u w:val="single"/>
          <w:rtl/>
        </w:rPr>
      </w:pPr>
      <w:r>
        <w:rPr>
          <w:rFonts w:cs="David" w:hint="cs"/>
          <w:b/>
          <w:bCs/>
          <w:u w:val="single"/>
          <w:rtl/>
        </w:rPr>
        <w:t>"רשות ציבורית" לעניין חוק חופש המידע</w:t>
      </w:r>
    </w:p>
    <w:p w:rsidR="0026403B" w:rsidRPr="00DE70EB" w:rsidRDefault="0026403B" w:rsidP="006D5271">
      <w:pPr>
        <w:spacing w:after="120"/>
        <w:rPr>
          <w:rFonts w:cs="David"/>
          <w:rtl/>
        </w:rPr>
      </w:pPr>
      <w:r w:rsidRPr="00DE70EB">
        <w:rPr>
          <w:rFonts w:cs="David" w:hint="cs"/>
          <w:rtl/>
        </w:rPr>
        <w:t>ס</w:t>
      </w:r>
      <w:r w:rsidR="006D5271">
        <w:rPr>
          <w:rFonts w:cs="David" w:hint="cs"/>
          <w:rtl/>
        </w:rPr>
        <w:t>עיף</w:t>
      </w:r>
      <w:r w:rsidRPr="00DE70EB">
        <w:rPr>
          <w:rFonts w:cs="David" w:hint="cs"/>
          <w:rtl/>
        </w:rPr>
        <w:t xml:space="preserve"> 2 לחוק מונה רשימה סגורה של גופים המוגדרים כ"רשות ציבורית" שעליה חלות הוראות החוק. </w:t>
      </w:r>
      <w:proofErr w:type="spellStart"/>
      <w:r w:rsidRPr="00DE70EB">
        <w:rPr>
          <w:rFonts w:cs="David" w:hint="cs"/>
          <w:rtl/>
        </w:rPr>
        <w:t>הנפקויות</w:t>
      </w:r>
      <w:proofErr w:type="spellEnd"/>
      <w:r w:rsidRPr="00DE70EB">
        <w:rPr>
          <w:rFonts w:cs="David" w:hint="cs"/>
          <w:rtl/>
        </w:rPr>
        <w:t xml:space="preserve"> המרכזיות להגדרת גוף כ"רשות ציבורית" לפי החוק, הן: החובה למנות מקרב עובדי הרשות ממונה על מסירת מידע (ס</w:t>
      </w:r>
      <w:r w:rsidR="006D5271">
        <w:rPr>
          <w:rFonts w:cs="David" w:hint="cs"/>
          <w:rtl/>
        </w:rPr>
        <w:t>עיף</w:t>
      </w:r>
      <w:r w:rsidRPr="00DE70EB">
        <w:rPr>
          <w:rFonts w:cs="David" w:hint="cs"/>
          <w:rtl/>
        </w:rPr>
        <w:t xml:space="preserve"> 3 לחוק); החובה לפרסם דין וחשבון שנתי (ס</w:t>
      </w:r>
      <w:r w:rsidR="006D5271">
        <w:rPr>
          <w:rFonts w:cs="David" w:hint="cs"/>
          <w:rtl/>
        </w:rPr>
        <w:t>עיף</w:t>
      </w:r>
      <w:r w:rsidRPr="00DE70EB">
        <w:rPr>
          <w:rFonts w:cs="David" w:hint="cs"/>
          <w:rtl/>
        </w:rPr>
        <w:t xml:space="preserve"> 5(א) לחוק); החובה להעמיד לעיון הציבור הנחיות מנהליות שיש להן נגיעה לציבור (ס</w:t>
      </w:r>
      <w:r w:rsidR="006D5271">
        <w:rPr>
          <w:rFonts w:cs="David" w:hint="cs"/>
          <w:rtl/>
        </w:rPr>
        <w:t>עיף</w:t>
      </w:r>
      <w:r w:rsidRPr="00DE70EB">
        <w:rPr>
          <w:rFonts w:cs="David" w:hint="cs"/>
          <w:rtl/>
        </w:rPr>
        <w:t xml:space="preserve"> 6(א) לחוק); והחובה המרכזית: החובה לתת מידע לכל אזרח או תושב המבקש זאת (ס</w:t>
      </w:r>
      <w:r w:rsidR="006D5271">
        <w:rPr>
          <w:rFonts w:cs="David" w:hint="cs"/>
          <w:rtl/>
        </w:rPr>
        <w:t>עיף</w:t>
      </w:r>
      <w:r w:rsidRPr="00DE70EB">
        <w:rPr>
          <w:rFonts w:cs="David" w:hint="cs"/>
          <w:rtl/>
        </w:rPr>
        <w:t xml:space="preserve"> 1 לחוק).</w:t>
      </w:r>
    </w:p>
    <w:p w:rsidR="0026403B" w:rsidRPr="00DE70EB" w:rsidRDefault="0026403B" w:rsidP="0026403B">
      <w:pPr>
        <w:rPr>
          <w:rFonts w:cs="David"/>
          <w:rtl/>
        </w:rPr>
      </w:pPr>
      <w:r w:rsidRPr="00DE70EB">
        <w:rPr>
          <w:rFonts w:cs="David" w:hint="cs"/>
          <w:rtl/>
        </w:rPr>
        <w:t>הגופים המוגדרים כ"רשות ציבורית" הם הגופים הבאים:</w:t>
      </w:r>
    </w:p>
    <w:p w:rsidR="0026403B" w:rsidRPr="00DE70EB" w:rsidRDefault="0026403B" w:rsidP="0026403B">
      <w:pPr>
        <w:pStyle w:val="a3"/>
        <w:numPr>
          <w:ilvl w:val="0"/>
          <w:numId w:val="3"/>
        </w:numPr>
        <w:rPr>
          <w:rFonts w:cs="David"/>
        </w:rPr>
      </w:pPr>
      <w:r w:rsidRPr="00DE70EB">
        <w:rPr>
          <w:rFonts w:cs="David" w:hint="cs"/>
          <w:rtl/>
        </w:rPr>
        <w:t>הממשלה ומשרדי הממשלה, לרבות יחידותיהם ויחידות הסמך שלהם;</w:t>
      </w:r>
    </w:p>
    <w:p w:rsidR="0026403B" w:rsidRPr="00DE70EB" w:rsidRDefault="0026403B" w:rsidP="0026403B">
      <w:pPr>
        <w:pStyle w:val="a3"/>
        <w:numPr>
          <w:ilvl w:val="0"/>
          <w:numId w:val="3"/>
        </w:numPr>
        <w:rPr>
          <w:rFonts w:cs="David"/>
        </w:rPr>
      </w:pPr>
      <w:r w:rsidRPr="00DE70EB">
        <w:rPr>
          <w:rFonts w:cs="David" w:hint="cs"/>
          <w:rtl/>
        </w:rPr>
        <w:t>לשכת נשיא המדינה;</w:t>
      </w:r>
    </w:p>
    <w:p w:rsidR="0026403B" w:rsidRPr="00DE70EB" w:rsidRDefault="0026403B" w:rsidP="0026403B">
      <w:pPr>
        <w:pStyle w:val="a3"/>
        <w:numPr>
          <w:ilvl w:val="0"/>
          <w:numId w:val="3"/>
        </w:numPr>
        <w:rPr>
          <w:rFonts w:cs="David"/>
        </w:rPr>
      </w:pPr>
      <w:r w:rsidRPr="00DE70EB">
        <w:rPr>
          <w:rFonts w:cs="David" w:hint="cs"/>
          <w:rtl/>
        </w:rPr>
        <w:t>הכנסת;</w:t>
      </w:r>
    </w:p>
    <w:p w:rsidR="0026403B" w:rsidRPr="00DE70EB" w:rsidRDefault="0026403B" w:rsidP="0026403B">
      <w:pPr>
        <w:pStyle w:val="a3"/>
        <w:numPr>
          <w:ilvl w:val="0"/>
          <w:numId w:val="3"/>
        </w:numPr>
        <w:rPr>
          <w:rFonts w:cs="David"/>
        </w:rPr>
      </w:pPr>
      <w:r w:rsidRPr="00DE70EB">
        <w:rPr>
          <w:rFonts w:cs="David" w:hint="cs"/>
          <w:rtl/>
        </w:rPr>
        <w:t>מבקר המדינה, למעט לגבי מידע שהגיע אליו לצורך פעולות הביקורת ובירור תלונות הציבור;</w:t>
      </w:r>
    </w:p>
    <w:p w:rsidR="0026403B" w:rsidRPr="00DE70EB" w:rsidRDefault="0026403B" w:rsidP="0026403B">
      <w:pPr>
        <w:pStyle w:val="a3"/>
        <w:numPr>
          <w:ilvl w:val="0"/>
          <w:numId w:val="3"/>
        </w:numPr>
        <w:rPr>
          <w:rFonts w:cs="David"/>
        </w:rPr>
      </w:pPr>
      <w:r w:rsidRPr="00DE70EB">
        <w:rPr>
          <w:rFonts w:cs="David" w:hint="cs"/>
          <w:rtl/>
        </w:rPr>
        <w:t>בתי משפט, בתי דין, לשכות הוצאה לפועל, וגופים אחרים בעלי סמכות שפיטה על פי דין, למעט לגבי תוכנו של הליך משפטי;</w:t>
      </w:r>
    </w:p>
    <w:p w:rsidR="0026403B" w:rsidRPr="00DE70EB" w:rsidRDefault="0026403B" w:rsidP="0026403B">
      <w:pPr>
        <w:pStyle w:val="a3"/>
        <w:numPr>
          <w:ilvl w:val="0"/>
          <w:numId w:val="3"/>
        </w:numPr>
        <w:rPr>
          <w:rFonts w:cs="David"/>
        </w:rPr>
      </w:pPr>
      <w:r w:rsidRPr="00DE70EB">
        <w:rPr>
          <w:rFonts w:cs="David" w:hint="cs"/>
          <w:rtl/>
        </w:rPr>
        <w:t>רשות מקומית;</w:t>
      </w:r>
    </w:p>
    <w:p w:rsidR="0026403B" w:rsidRPr="00DE70EB" w:rsidRDefault="0026403B" w:rsidP="0026403B">
      <w:pPr>
        <w:pStyle w:val="a3"/>
        <w:numPr>
          <w:ilvl w:val="0"/>
          <w:numId w:val="3"/>
        </w:numPr>
        <w:rPr>
          <w:rFonts w:cs="David"/>
        </w:rPr>
      </w:pPr>
      <w:r w:rsidRPr="00DE70EB">
        <w:rPr>
          <w:rFonts w:cs="David" w:hint="cs"/>
          <w:rtl/>
        </w:rPr>
        <w:t>חברה עירונית;</w:t>
      </w:r>
    </w:p>
    <w:p w:rsidR="0026403B" w:rsidRPr="00DE70EB" w:rsidRDefault="0026403B" w:rsidP="0026403B">
      <w:pPr>
        <w:pStyle w:val="a3"/>
        <w:numPr>
          <w:ilvl w:val="0"/>
          <w:numId w:val="3"/>
        </w:numPr>
        <w:rPr>
          <w:rFonts w:cs="David"/>
        </w:rPr>
      </w:pPr>
      <w:r w:rsidRPr="00DE70EB">
        <w:rPr>
          <w:rFonts w:cs="David" w:hint="cs"/>
          <w:rtl/>
        </w:rPr>
        <w:lastRenderedPageBreak/>
        <w:t>תאגיד שהוקם בחוק;</w:t>
      </w:r>
    </w:p>
    <w:p w:rsidR="0026403B" w:rsidRDefault="0026403B" w:rsidP="0026403B">
      <w:pPr>
        <w:pStyle w:val="a3"/>
        <w:numPr>
          <w:ilvl w:val="0"/>
          <w:numId w:val="3"/>
        </w:numPr>
        <w:rPr>
          <w:rFonts w:cs="David"/>
        </w:rPr>
      </w:pPr>
      <w:r w:rsidRPr="00DE70EB">
        <w:rPr>
          <w:rFonts w:cs="David" w:hint="cs"/>
          <w:rtl/>
        </w:rPr>
        <w:t>חברות ממשלתיות וחברות בת ממשלתיות, למעט חברות שקבע שר המשפטים, באישור וועדת החוקה, חוק ומשפט;</w:t>
      </w:r>
    </w:p>
    <w:p w:rsidR="0026403B" w:rsidRDefault="0026403B" w:rsidP="0026403B">
      <w:pPr>
        <w:pStyle w:val="a3"/>
        <w:numPr>
          <w:ilvl w:val="0"/>
          <w:numId w:val="3"/>
        </w:numPr>
        <w:rPr>
          <w:rFonts w:cs="David"/>
        </w:rPr>
      </w:pPr>
      <w:r>
        <w:rPr>
          <w:rFonts w:cs="David" w:hint="cs"/>
          <w:rtl/>
        </w:rPr>
        <w:t>התאחדות ואיגוד ספורט;</w:t>
      </w:r>
    </w:p>
    <w:p w:rsidR="00C97C1D" w:rsidRPr="00DE70EB" w:rsidRDefault="00C97C1D" w:rsidP="0026403B">
      <w:pPr>
        <w:pStyle w:val="a3"/>
        <w:numPr>
          <w:ilvl w:val="0"/>
          <w:numId w:val="3"/>
        </w:numPr>
        <w:rPr>
          <w:rFonts w:cs="David"/>
        </w:rPr>
      </w:pPr>
      <w:r>
        <w:rPr>
          <w:rFonts w:cs="David" w:hint="cs"/>
          <w:rtl/>
        </w:rPr>
        <w:t>מוסדות להשכלה גבוהה שהמדינה משתתפת בתקציבן;</w:t>
      </w:r>
    </w:p>
    <w:p w:rsidR="0026403B" w:rsidRPr="00DE70EB" w:rsidRDefault="0026403B" w:rsidP="00C97C1D">
      <w:pPr>
        <w:pStyle w:val="a3"/>
        <w:numPr>
          <w:ilvl w:val="0"/>
          <w:numId w:val="3"/>
        </w:numPr>
        <w:spacing w:after="120"/>
        <w:rPr>
          <w:rFonts w:cs="David"/>
          <w:rtl/>
        </w:rPr>
      </w:pPr>
      <w:r w:rsidRPr="00DE70EB">
        <w:rPr>
          <w:rFonts w:cs="David" w:hint="cs"/>
          <w:rtl/>
        </w:rPr>
        <w:t xml:space="preserve">גוף אחר, הממלא תפקיד ציבורי, שהוא גוף מבוקר על ידי מבקר המדינה, שקבע שר המשפטים, באישור וועדת החוקה, חוק ומשפט. </w:t>
      </w:r>
    </w:p>
    <w:p w:rsidR="0026403B" w:rsidRDefault="0026403B" w:rsidP="007A6225">
      <w:pPr>
        <w:spacing w:after="120"/>
        <w:rPr>
          <w:rFonts w:cs="David"/>
          <w:rtl/>
        </w:rPr>
      </w:pPr>
      <w:r>
        <w:rPr>
          <w:rFonts w:cs="David" w:hint="cs"/>
          <w:rtl/>
        </w:rPr>
        <w:t>לפי הקטגוריה האחרונה,</w:t>
      </w:r>
      <w:r w:rsidRPr="00816821">
        <w:rPr>
          <w:rFonts w:cs="David" w:hint="cs"/>
          <w:rtl/>
        </w:rPr>
        <w:t xml:space="preserve"> כל גוף הממלא תפקיד ציבורי, ייחשב ל"רשות ציבורית" ויחול עליו חוק חופש המידע, אם התקיימו לגביו שני תנאים מצטברים: </w:t>
      </w:r>
      <w:r w:rsidRPr="00816821">
        <w:rPr>
          <w:rFonts w:cs="David" w:hint="cs"/>
          <w:u w:val="single"/>
          <w:rtl/>
        </w:rPr>
        <w:t>האחד</w:t>
      </w:r>
      <w:r w:rsidRPr="00816821">
        <w:rPr>
          <w:rFonts w:cs="David" w:hint="cs"/>
          <w:rtl/>
        </w:rPr>
        <w:t xml:space="preserve">, הגוף הוא גוף מבוקר לפי חוק מבקר המדינה, התשי"ח-1958; </w:t>
      </w:r>
      <w:r w:rsidRPr="00816821">
        <w:rPr>
          <w:rFonts w:cs="David" w:hint="cs"/>
          <w:u w:val="single"/>
          <w:rtl/>
        </w:rPr>
        <w:t>השני</w:t>
      </w:r>
      <w:r w:rsidRPr="00816821">
        <w:rPr>
          <w:rFonts w:cs="David" w:hint="cs"/>
          <w:rtl/>
        </w:rPr>
        <w:t xml:space="preserve">, שר המשפטים, באישור ועדת החוקה, חוק ומשפט של הכנסת, קבע לגביו כי הוא ייחשב כ"רשות ציבורית" (לגבי כל פעילותו או לגבי פעילויות מסוימות). מדובר ב"קטגוריית סל" של ההגדרה של "רשות ציבורית", שמטרתה לאפשר </w:t>
      </w:r>
      <w:r w:rsidR="00A5722E">
        <w:rPr>
          <w:rFonts w:cs="David" w:hint="cs"/>
          <w:rtl/>
        </w:rPr>
        <w:t>הוספת</w:t>
      </w:r>
      <w:r w:rsidRPr="00816821">
        <w:rPr>
          <w:rFonts w:cs="David" w:hint="cs"/>
          <w:rtl/>
        </w:rPr>
        <w:t xml:space="preserve"> גופים ציבוריים </w:t>
      </w:r>
      <w:r w:rsidR="00A5722E">
        <w:rPr>
          <w:rFonts w:cs="David" w:hint="cs"/>
          <w:rtl/>
        </w:rPr>
        <w:t xml:space="preserve">לרשימת הרשויות הציבוריות שחל עליהן </w:t>
      </w:r>
      <w:r w:rsidRPr="00816821">
        <w:rPr>
          <w:rFonts w:cs="David" w:hint="cs"/>
          <w:rtl/>
        </w:rPr>
        <w:t xml:space="preserve">חוק חופש המידע, בטכניקת חקיקה גמישה, וזאת, כדי למנוע את הצורך ברשימה ארוכה ומסורבלת של כל הגופים שהם "רשות ציבורית". </w:t>
      </w:r>
    </w:p>
    <w:p w:rsidR="0026403B" w:rsidRDefault="0026403B" w:rsidP="005156DF">
      <w:pPr>
        <w:spacing w:after="120"/>
        <w:rPr>
          <w:rFonts w:cs="David"/>
          <w:rtl/>
        </w:rPr>
      </w:pPr>
      <w:r w:rsidRPr="00816821">
        <w:rPr>
          <w:rFonts w:cs="David" w:hint="cs"/>
          <w:rtl/>
        </w:rPr>
        <w:t xml:space="preserve">ואמנם, במהלך השנים, קבעו שרי משפטים, מכוח הסעיף האמור, כי הגופים הבאים הם "רשויות ציבוריות" לעניין תחולת </w:t>
      </w:r>
      <w:r w:rsidR="005156DF">
        <w:rPr>
          <w:rFonts w:cs="David" w:hint="cs"/>
          <w:rtl/>
        </w:rPr>
        <w:t>ה</w:t>
      </w:r>
      <w:r w:rsidRPr="00816821">
        <w:rPr>
          <w:rFonts w:cs="David" w:hint="cs"/>
          <w:rtl/>
        </w:rPr>
        <w:t xml:space="preserve">חוק: מועצות דתיות; קופות חולים; מפעל הפיס; </w:t>
      </w:r>
      <w:r>
        <w:rPr>
          <w:rFonts w:cs="David" w:hint="cs"/>
          <w:rtl/>
        </w:rPr>
        <w:t>ו</w:t>
      </w:r>
      <w:r w:rsidRPr="00816821">
        <w:rPr>
          <w:rFonts w:cs="David" w:hint="cs"/>
          <w:rtl/>
        </w:rPr>
        <w:t>החברה לאיתור והשבת נכסים של נספי השואה</w:t>
      </w:r>
      <w:r>
        <w:rPr>
          <w:rFonts w:cs="David" w:hint="cs"/>
          <w:rtl/>
        </w:rPr>
        <w:t xml:space="preserve">. </w:t>
      </w:r>
    </w:p>
    <w:p w:rsidR="00A5722E" w:rsidRDefault="00A5722E" w:rsidP="00A5722E">
      <w:pPr>
        <w:spacing w:after="120"/>
        <w:rPr>
          <w:rFonts w:cs="David"/>
          <w:rtl/>
        </w:rPr>
      </w:pPr>
    </w:p>
    <w:p w:rsidR="00A2408A" w:rsidRPr="00A2408A" w:rsidRDefault="00A2408A" w:rsidP="00A5722E">
      <w:pPr>
        <w:spacing w:after="120"/>
        <w:rPr>
          <w:rFonts w:cs="David"/>
          <w:b/>
          <w:bCs/>
          <w:u w:val="single"/>
          <w:rtl/>
        </w:rPr>
      </w:pPr>
      <w:r w:rsidRPr="00A2408A">
        <w:rPr>
          <w:rFonts w:cs="David" w:hint="cs"/>
          <w:b/>
          <w:bCs/>
          <w:u w:val="single"/>
          <w:rtl/>
        </w:rPr>
        <w:t>היחידה לחופש המידע במשרד המשפטים</w:t>
      </w:r>
    </w:p>
    <w:p w:rsidR="00974C55" w:rsidRPr="00974C55" w:rsidRDefault="007A6225" w:rsidP="00476A39">
      <w:pPr>
        <w:rPr>
          <w:rFonts w:cs="David"/>
        </w:rPr>
      </w:pPr>
      <w:r>
        <w:rPr>
          <w:rFonts w:cs="David" w:hint="cs"/>
          <w:rtl/>
        </w:rPr>
        <w:t xml:space="preserve">היחידה הממשלתית לחופש מידע (להלן </w:t>
      </w:r>
      <w:r>
        <w:rPr>
          <w:rFonts w:cs="David"/>
          <w:rtl/>
        </w:rPr>
        <w:t>–</w:t>
      </w:r>
      <w:r>
        <w:rPr>
          <w:rFonts w:cs="David" w:hint="cs"/>
          <w:rtl/>
        </w:rPr>
        <w:t xml:space="preserve"> היחידה) </w:t>
      </w:r>
      <w:r w:rsidR="00974C55" w:rsidRPr="00974C55">
        <w:rPr>
          <w:rFonts w:cs="David" w:hint="cs"/>
          <w:rtl/>
        </w:rPr>
        <w:t>הוקמה בהחלטת ממשלה</w:t>
      </w:r>
      <w:r w:rsidR="004D3FC6" w:rsidRPr="006F24DF">
        <w:rPr>
          <w:rFonts w:cs="David" w:hint="cs"/>
          <w:rtl/>
        </w:rPr>
        <w:t>, מיום 6 במרץ 2011</w:t>
      </w:r>
      <w:r w:rsidR="006F24DF">
        <w:rPr>
          <w:rStyle w:val="a6"/>
          <w:rFonts w:cs="David"/>
          <w:rtl/>
        </w:rPr>
        <w:footnoteReference w:id="3"/>
      </w:r>
      <w:r w:rsidR="00974C55" w:rsidRPr="00974C55">
        <w:rPr>
          <w:rFonts w:cs="David" w:hint="cs"/>
          <w:rtl/>
        </w:rPr>
        <w:t>, על מנת לקדם את יישום הוראות חוק חופש המידע, התשנ"ח-1998, באמצעות הנחיה, הדרכה ובקרה, וכן להגביר את כמות ואיכות המידע שיפורסם לציבור באופן ייזום.</w:t>
      </w:r>
      <w:r w:rsidR="00476A39">
        <w:rPr>
          <w:rFonts w:cs="David" w:hint="cs"/>
          <w:rtl/>
        </w:rPr>
        <w:t xml:space="preserve"> בהחלטת הממשלה נקבע, כי </w:t>
      </w:r>
      <w:r w:rsidR="00974C55" w:rsidRPr="00974C55">
        <w:rPr>
          <w:rFonts w:cs="David" w:hint="cs"/>
          <w:rtl/>
        </w:rPr>
        <w:t>לשם השגת מטרותיה ויעדיה, תפעל היחידה, בין היתר, באופן הבא:</w:t>
      </w:r>
    </w:p>
    <w:p w:rsidR="003D28F4" w:rsidRDefault="003D28F4" w:rsidP="00476A39">
      <w:pPr>
        <w:numPr>
          <w:ilvl w:val="0"/>
          <w:numId w:val="5"/>
        </w:numPr>
        <w:autoSpaceDE/>
        <w:autoSpaceDN/>
        <w:rPr>
          <w:rFonts w:cs="David"/>
        </w:rPr>
      </w:pPr>
      <w:r w:rsidRPr="00974C55">
        <w:rPr>
          <w:rFonts w:cs="David" w:hint="cs"/>
          <w:rtl/>
        </w:rPr>
        <w:t>תקים אתר אינטרנט מרכזי לכלל משרדי הממשלה ויחידות הסמך באופן שיקל על הציבור לפנות בבקשות לקבלת מידע; </w:t>
      </w:r>
    </w:p>
    <w:p w:rsidR="003D28F4" w:rsidRDefault="003D28F4" w:rsidP="00476A39">
      <w:pPr>
        <w:numPr>
          <w:ilvl w:val="0"/>
          <w:numId w:val="5"/>
        </w:numPr>
        <w:autoSpaceDE/>
        <w:autoSpaceDN/>
        <w:rPr>
          <w:rFonts w:cs="David"/>
        </w:rPr>
      </w:pPr>
      <w:r w:rsidRPr="00974C55">
        <w:rPr>
          <w:rFonts w:cs="David" w:hint="cs"/>
          <w:rtl/>
        </w:rPr>
        <w:t>תעדכן ותפיץ את רשימת הרשויות הציבוריות כנדרש מכ</w:t>
      </w:r>
      <w:r w:rsidRPr="00476A39">
        <w:rPr>
          <w:rFonts w:cs="David" w:hint="cs"/>
          <w:rtl/>
        </w:rPr>
        <w:t>ו</w:t>
      </w:r>
      <w:r w:rsidRPr="00974C55">
        <w:rPr>
          <w:rFonts w:cs="David" w:hint="cs"/>
          <w:rtl/>
        </w:rPr>
        <w:t>ח חוק חופש המידע; </w:t>
      </w:r>
    </w:p>
    <w:p w:rsidR="00057552" w:rsidRDefault="00057552" w:rsidP="00476A39">
      <w:pPr>
        <w:numPr>
          <w:ilvl w:val="0"/>
          <w:numId w:val="5"/>
        </w:numPr>
        <w:autoSpaceDE/>
        <w:autoSpaceDN/>
        <w:rPr>
          <w:rFonts w:cs="David"/>
        </w:rPr>
      </w:pPr>
      <w:r w:rsidRPr="00974C55">
        <w:rPr>
          <w:rFonts w:cs="David" w:hint="cs"/>
          <w:rtl/>
        </w:rPr>
        <w:t>תיזום ותקדם פרויקטים להפצת מידע המצוי בידי משרדי הממשלה ויחידות הסמך באופן ייזום.</w:t>
      </w:r>
    </w:p>
    <w:p w:rsidR="00645A49" w:rsidRDefault="00645A49" w:rsidP="00476A39">
      <w:pPr>
        <w:numPr>
          <w:ilvl w:val="0"/>
          <w:numId w:val="5"/>
        </w:numPr>
        <w:autoSpaceDE/>
        <w:autoSpaceDN/>
        <w:rPr>
          <w:rFonts w:cs="David"/>
        </w:rPr>
      </w:pPr>
      <w:r>
        <w:rPr>
          <w:rFonts w:cs="David" w:hint="cs"/>
          <w:rtl/>
        </w:rPr>
        <w:t>קביעת תבניות אחידות למשרדי הממשלה לפרסום דוחות שנתיים, דוחות של ממוני חופש מידע וטפסים לבקשה לקבלת מידע.</w:t>
      </w:r>
    </w:p>
    <w:p w:rsidR="00645A49" w:rsidRDefault="00645A49" w:rsidP="00476A39">
      <w:pPr>
        <w:numPr>
          <w:ilvl w:val="0"/>
          <w:numId w:val="5"/>
        </w:numPr>
        <w:autoSpaceDE/>
        <w:autoSpaceDN/>
        <w:rPr>
          <w:rFonts w:cs="David"/>
        </w:rPr>
      </w:pPr>
      <w:r>
        <w:rPr>
          <w:rFonts w:cs="David" w:hint="cs"/>
          <w:rtl/>
        </w:rPr>
        <w:t>קביעת נוהל לתהליך הטיפול בבקשות לקבלת מידע לפי החוק במשרדי הממשלה;</w:t>
      </w:r>
    </w:p>
    <w:p w:rsidR="00645A49" w:rsidRDefault="00645A49" w:rsidP="00476A39">
      <w:pPr>
        <w:numPr>
          <w:ilvl w:val="0"/>
          <w:numId w:val="5"/>
        </w:numPr>
        <w:autoSpaceDE/>
        <w:autoSpaceDN/>
        <w:rPr>
          <w:rFonts w:cs="David"/>
        </w:rPr>
      </w:pPr>
      <w:r>
        <w:rPr>
          <w:rFonts w:cs="David" w:hint="cs"/>
          <w:rtl/>
        </w:rPr>
        <w:t>ביצוע מעקב אחר אופן יישומו של החוק ואיסוף נתונים סטטיסטיים הדרושים לשם כך;</w:t>
      </w:r>
    </w:p>
    <w:p w:rsidR="00974C55" w:rsidRPr="00974C55" w:rsidRDefault="00974C55" w:rsidP="00476A39">
      <w:pPr>
        <w:numPr>
          <w:ilvl w:val="0"/>
          <w:numId w:val="5"/>
        </w:numPr>
        <w:autoSpaceDE/>
        <w:autoSpaceDN/>
        <w:rPr>
          <w:rFonts w:cs="David"/>
          <w:rtl/>
        </w:rPr>
      </w:pPr>
      <w:r w:rsidRPr="00974C55">
        <w:rPr>
          <w:rFonts w:cs="David" w:hint="cs"/>
          <w:rtl/>
        </w:rPr>
        <w:lastRenderedPageBreak/>
        <w:t>תטפל בתלונות ציבור אודות התנהלות הממונים על חופש המידע במשרדים וביחידות הסמך; </w:t>
      </w:r>
    </w:p>
    <w:p w:rsidR="00645A49" w:rsidRDefault="00645A49" w:rsidP="00476A39">
      <w:pPr>
        <w:numPr>
          <w:ilvl w:val="0"/>
          <w:numId w:val="5"/>
        </w:numPr>
        <w:autoSpaceDE/>
        <w:autoSpaceDN/>
        <w:rPr>
          <w:rFonts w:cs="David"/>
        </w:rPr>
      </w:pPr>
      <w:r w:rsidRPr="00974C55">
        <w:rPr>
          <w:rFonts w:cs="David" w:hint="cs"/>
          <w:rtl/>
        </w:rPr>
        <w:t>ת</w:t>
      </w:r>
      <w:r>
        <w:rPr>
          <w:rFonts w:cs="David" w:hint="cs"/>
          <w:rtl/>
        </w:rPr>
        <w:t>י</w:t>
      </w:r>
      <w:r w:rsidRPr="00974C55">
        <w:rPr>
          <w:rFonts w:cs="David" w:hint="cs"/>
          <w:rtl/>
        </w:rPr>
        <w:t>תן הוראות לתיקון ליקויים שנתגלו בעבודת משרד ממשלתי או יחידת סמך, לאחר מתן זכות שימוע לאותה רשות; </w:t>
      </w:r>
    </w:p>
    <w:p w:rsidR="00645A49" w:rsidRDefault="00645A49" w:rsidP="00645A49">
      <w:pPr>
        <w:numPr>
          <w:ilvl w:val="0"/>
          <w:numId w:val="5"/>
        </w:numPr>
        <w:autoSpaceDE/>
        <w:autoSpaceDN/>
        <w:rPr>
          <w:rFonts w:cs="David"/>
        </w:rPr>
      </w:pPr>
      <w:r>
        <w:rPr>
          <w:rFonts w:cs="David" w:hint="cs"/>
          <w:rtl/>
        </w:rPr>
        <w:t>ריכוז מידע אודות עתירות בעניין חופש מידע;</w:t>
      </w:r>
    </w:p>
    <w:p w:rsidR="00974C55" w:rsidRPr="00974C55" w:rsidRDefault="00645A49" w:rsidP="00645A49">
      <w:pPr>
        <w:numPr>
          <w:ilvl w:val="0"/>
          <w:numId w:val="5"/>
        </w:numPr>
        <w:autoSpaceDE/>
        <w:autoSpaceDN/>
        <w:rPr>
          <w:rFonts w:cs="David"/>
          <w:rtl/>
        </w:rPr>
      </w:pPr>
      <w:r>
        <w:rPr>
          <w:rFonts w:cs="David" w:hint="cs"/>
          <w:rtl/>
        </w:rPr>
        <w:t>תסייע ל</w:t>
      </w:r>
      <w:r w:rsidR="00974C55" w:rsidRPr="00974C55">
        <w:rPr>
          <w:rFonts w:cs="David" w:hint="cs"/>
          <w:rtl/>
        </w:rPr>
        <w:t xml:space="preserve">משרדי הממשלה ויחידות הסמך </w:t>
      </w:r>
      <w:r>
        <w:rPr>
          <w:rFonts w:cs="David" w:hint="cs"/>
          <w:rtl/>
        </w:rPr>
        <w:t>ב</w:t>
      </w:r>
      <w:r w:rsidR="00974C55" w:rsidRPr="00974C55">
        <w:rPr>
          <w:rFonts w:cs="David" w:hint="cs"/>
          <w:rtl/>
        </w:rPr>
        <w:t>יישום הוראות החוק, בהתאם להוראות החוק, לפסיקה ו</w:t>
      </w:r>
      <w:r>
        <w:rPr>
          <w:rFonts w:cs="David" w:hint="cs"/>
          <w:rtl/>
        </w:rPr>
        <w:t>ל</w:t>
      </w:r>
      <w:r w:rsidR="00974C55" w:rsidRPr="00974C55">
        <w:rPr>
          <w:rFonts w:cs="David" w:hint="cs"/>
          <w:rtl/>
        </w:rPr>
        <w:t>הנחיות היועץ המשפטי לממשלה הרלוונטית; </w:t>
      </w:r>
    </w:p>
    <w:p w:rsidR="00974C55" w:rsidRPr="00974C55" w:rsidRDefault="00974C55" w:rsidP="00476A39">
      <w:pPr>
        <w:numPr>
          <w:ilvl w:val="0"/>
          <w:numId w:val="5"/>
        </w:numPr>
        <w:autoSpaceDE/>
        <w:autoSpaceDN/>
        <w:rPr>
          <w:rFonts w:cs="David"/>
          <w:rtl/>
        </w:rPr>
      </w:pPr>
      <w:r w:rsidRPr="00974C55">
        <w:rPr>
          <w:rFonts w:cs="David" w:hint="cs"/>
          <w:rtl/>
        </w:rPr>
        <w:t>תבצע הכשרות והדרכות לכלל הממונים על חופש המידע ברשויות הציבוריות; </w:t>
      </w:r>
    </w:p>
    <w:p w:rsidR="00974C55" w:rsidRPr="00974C55" w:rsidRDefault="00645A49" w:rsidP="00FE7F60">
      <w:pPr>
        <w:numPr>
          <w:ilvl w:val="0"/>
          <w:numId w:val="5"/>
        </w:numPr>
        <w:autoSpaceDE/>
        <w:autoSpaceDN/>
        <w:spacing w:after="120"/>
        <w:rPr>
          <w:rFonts w:cs="David"/>
          <w:rtl/>
        </w:rPr>
      </w:pPr>
      <w:r>
        <w:rPr>
          <w:rFonts w:cs="David" w:hint="cs"/>
          <w:rtl/>
        </w:rPr>
        <w:t>קיום פעילות ציבורית להגברת המודעות לזכויות הציבור לפי החוק.</w:t>
      </w:r>
    </w:p>
    <w:p w:rsidR="005156DF" w:rsidRDefault="005156DF" w:rsidP="00FE7F60">
      <w:pPr>
        <w:spacing w:after="120"/>
        <w:rPr>
          <w:rFonts w:cs="David"/>
          <w:rtl/>
        </w:rPr>
      </w:pPr>
    </w:p>
    <w:p w:rsidR="00517712" w:rsidRPr="00641DE0" w:rsidRDefault="00641DE0" w:rsidP="00A5722E">
      <w:pPr>
        <w:spacing w:after="120"/>
        <w:rPr>
          <w:rFonts w:cs="David"/>
          <w:b/>
          <w:bCs/>
          <w:u w:val="single"/>
          <w:rtl/>
        </w:rPr>
      </w:pPr>
      <w:r w:rsidRPr="00641DE0">
        <w:rPr>
          <w:rFonts w:cs="David" w:hint="cs"/>
          <w:b/>
          <w:bCs/>
          <w:u w:val="single"/>
          <w:rtl/>
        </w:rPr>
        <w:t>נקודות מוצעות לדיון</w:t>
      </w:r>
    </w:p>
    <w:p w:rsidR="00A2408A" w:rsidRPr="00FE7F60" w:rsidRDefault="00A2408A" w:rsidP="00645A49">
      <w:pPr>
        <w:pStyle w:val="a3"/>
        <w:numPr>
          <w:ilvl w:val="0"/>
          <w:numId w:val="4"/>
        </w:numPr>
        <w:rPr>
          <w:rFonts w:cs="David"/>
        </w:rPr>
      </w:pPr>
      <w:r w:rsidRPr="00FE7F60">
        <w:rPr>
          <w:rFonts w:cs="David" w:hint="cs"/>
          <w:rtl/>
        </w:rPr>
        <w:t xml:space="preserve">מה </w:t>
      </w:r>
      <w:r w:rsidR="00645A49" w:rsidRPr="00FE7F60">
        <w:rPr>
          <w:rFonts w:cs="David" w:hint="cs"/>
          <w:rtl/>
        </w:rPr>
        <w:t>מבין היעדים שנקבעו בהחלטת הממשלה יושם עד עכשיו</w:t>
      </w:r>
      <w:r w:rsidRPr="00FE7F60">
        <w:rPr>
          <w:rFonts w:cs="David" w:hint="cs"/>
          <w:rtl/>
        </w:rPr>
        <w:t>?</w:t>
      </w:r>
    </w:p>
    <w:p w:rsidR="00496A35" w:rsidRPr="00FE7F60" w:rsidRDefault="00A2408A" w:rsidP="00645A49">
      <w:pPr>
        <w:pStyle w:val="a3"/>
        <w:numPr>
          <w:ilvl w:val="0"/>
          <w:numId w:val="4"/>
        </w:numPr>
        <w:rPr>
          <w:rFonts w:cs="David"/>
        </w:rPr>
      </w:pPr>
      <w:r w:rsidRPr="00FE7F60">
        <w:rPr>
          <w:rFonts w:cs="David" w:hint="cs"/>
          <w:rtl/>
        </w:rPr>
        <w:t>מה</w:t>
      </w:r>
      <w:r w:rsidR="00645A49" w:rsidRPr="00FE7F60">
        <w:rPr>
          <w:rFonts w:cs="David" w:hint="cs"/>
          <w:rtl/>
        </w:rPr>
        <w:t>ן תכניות העבודה העתידיות של היחידה לשנים הקרובות</w:t>
      </w:r>
      <w:r w:rsidRPr="00FE7F60">
        <w:rPr>
          <w:rFonts w:cs="David" w:hint="cs"/>
          <w:rtl/>
        </w:rPr>
        <w:t>?</w:t>
      </w:r>
    </w:p>
    <w:p w:rsidR="00645A49" w:rsidRPr="00FE7F60" w:rsidRDefault="00645A49" w:rsidP="00B86CD5">
      <w:pPr>
        <w:pStyle w:val="a3"/>
        <w:numPr>
          <w:ilvl w:val="0"/>
          <w:numId w:val="4"/>
        </w:numPr>
        <w:rPr>
          <w:rFonts w:cs="David"/>
        </w:rPr>
      </w:pPr>
      <w:r w:rsidRPr="00FE7F60">
        <w:rPr>
          <w:rFonts w:cs="David" w:hint="cs"/>
          <w:rtl/>
        </w:rPr>
        <w:t>עד כמה מיושם החוק במשרדי הממשלה השונים? האם יש הבדלים בין משרדים שונים</w:t>
      </w:r>
      <w:r w:rsidR="00B86CD5" w:rsidRPr="00FE7F60">
        <w:rPr>
          <w:rFonts w:cs="David" w:hint="cs"/>
          <w:rtl/>
        </w:rPr>
        <w:t xml:space="preserve"> לגבי מידת יישום החוק, ואם כן </w:t>
      </w:r>
      <w:r w:rsidR="00B86CD5" w:rsidRPr="00FE7F60">
        <w:rPr>
          <w:rFonts w:cs="David"/>
          <w:rtl/>
        </w:rPr>
        <w:t>–</w:t>
      </w:r>
      <w:r w:rsidR="00B86CD5" w:rsidRPr="00FE7F60">
        <w:rPr>
          <w:rFonts w:cs="David" w:hint="cs"/>
          <w:rtl/>
        </w:rPr>
        <w:t xml:space="preserve"> ממה נובעים ההבדלים</w:t>
      </w:r>
      <w:r w:rsidRPr="00FE7F60">
        <w:rPr>
          <w:rFonts w:cs="David" w:hint="cs"/>
          <w:rtl/>
        </w:rPr>
        <w:t xml:space="preserve">? </w:t>
      </w:r>
    </w:p>
    <w:p w:rsidR="00A2408A" w:rsidRPr="00FE7F60" w:rsidRDefault="00B86CD5" w:rsidP="002C5C2A">
      <w:pPr>
        <w:pStyle w:val="a3"/>
        <w:numPr>
          <w:ilvl w:val="0"/>
          <w:numId w:val="4"/>
        </w:numPr>
        <w:rPr>
          <w:rFonts w:cs="David"/>
        </w:rPr>
      </w:pPr>
      <w:r w:rsidRPr="00FE7F60">
        <w:rPr>
          <w:rFonts w:cs="David" w:hint="cs"/>
          <w:rtl/>
        </w:rPr>
        <w:t xml:space="preserve">האם יש סוגיות שבאופן עקבי ניתן להצביע עליהן כטעונות שיפור </w:t>
      </w:r>
      <w:r w:rsidR="00A2408A" w:rsidRPr="00FE7F60">
        <w:rPr>
          <w:rFonts w:cs="David" w:hint="cs"/>
          <w:rtl/>
        </w:rPr>
        <w:t>במשרדי הממשלה?</w:t>
      </w:r>
      <w:r w:rsidR="00062944" w:rsidRPr="00FE7F60">
        <w:rPr>
          <w:rFonts w:cs="David" w:hint="cs"/>
          <w:rtl/>
        </w:rPr>
        <w:t xml:space="preserve"> כיצד מתכ</w:t>
      </w:r>
      <w:r w:rsidR="002C5C2A">
        <w:rPr>
          <w:rFonts w:cs="David" w:hint="cs"/>
          <w:rtl/>
        </w:rPr>
        <w:t>נ</w:t>
      </w:r>
      <w:r w:rsidR="00062944" w:rsidRPr="00FE7F60">
        <w:rPr>
          <w:rFonts w:cs="David" w:hint="cs"/>
          <w:rtl/>
        </w:rPr>
        <w:t>נ</w:t>
      </w:r>
      <w:r w:rsidRPr="00FE7F60">
        <w:rPr>
          <w:rFonts w:cs="David" w:hint="cs"/>
          <w:rtl/>
        </w:rPr>
        <w:t>ת היחידה</w:t>
      </w:r>
      <w:r w:rsidR="00062944" w:rsidRPr="00FE7F60">
        <w:rPr>
          <w:rFonts w:cs="David" w:hint="cs"/>
          <w:rtl/>
        </w:rPr>
        <w:t xml:space="preserve"> להתמודד איתם?</w:t>
      </w:r>
    </w:p>
    <w:p w:rsidR="00D85E8E" w:rsidRPr="00FE7F60" w:rsidRDefault="00D85E8E" w:rsidP="00967D99">
      <w:pPr>
        <w:pStyle w:val="a3"/>
        <w:numPr>
          <w:ilvl w:val="0"/>
          <w:numId w:val="4"/>
        </w:numPr>
        <w:rPr>
          <w:rFonts w:cs="David"/>
        </w:rPr>
      </w:pPr>
      <w:r w:rsidRPr="00FE7F60">
        <w:rPr>
          <w:rFonts w:cs="David" w:hint="cs"/>
          <w:rtl/>
        </w:rPr>
        <w:t xml:space="preserve">מעמדו של הממונה על העמדת מידע לציבור </w:t>
      </w:r>
      <w:r w:rsidRPr="00FE7F60">
        <w:rPr>
          <w:rFonts w:cs="David"/>
          <w:rtl/>
        </w:rPr>
        <w:t>–</w:t>
      </w:r>
      <w:r w:rsidRPr="00FE7F60">
        <w:rPr>
          <w:rFonts w:cs="David" w:hint="cs"/>
          <w:rtl/>
        </w:rPr>
        <w:t xml:space="preserve"> </w:t>
      </w:r>
      <w:r w:rsidR="00967D99" w:rsidRPr="00FE7F60">
        <w:rPr>
          <w:rFonts w:cs="David" w:hint="cs"/>
          <w:rtl/>
        </w:rPr>
        <w:t>מהו חתך האנשים שמתמנה לתפקיד (גורמים בכירים במשרד או דרגי ביניים)? האם הם עוברים הכשרות והדרכות?</w:t>
      </w:r>
      <w:r w:rsidR="00B86CD5" w:rsidRPr="00FE7F60">
        <w:rPr>
          <w:rFonts w:cs="David" w:hint="cs"/>
          <w:rtl/>
        </w:rPr>
        <w:t xml:space="preserve"> </w:t>
      </w:r>
      <w:r w:rsidR="00FE7F60" w:rsidRPr="00FE7F60">
        <w:rPr>
          <w:rFonts w:cs="David" w:hint="cs"/>
          <w:rtl/>
        </w:rPr>
        <w:t xml:space="preserve">בחלק מהמשרדים דובר המשרד מתמנה להיות גם הממונה </w:t>
      </w:r>
      <w:r w:rsidR="00FE7F60" w:rsidRPr="00FE7F60">
        <w:rPr>
          <w:rFonts w:cs="David"/>
          <w:rtl/>
        </w:rPr>
        <w:t>–</w:t>
      </w:r>
      <w:r w:rsidR="00FE7F60" w:rsidRPr="00FE7F60">
        <w:rPr>
          <w:rFonts w:cs="David" w:hint="cs"/>
          <w:rtl/>
        </w:rPr>
        <w:t xml:space="preserve"> האם אין בכך ניגוד מובנה בין התפקידים?</w:t>
      </w:r>
    </w:p>
    <w:p w:rsidR="00A2408A" w:rsidRPr="00FE7F60" w:rsidRDefault="00645A49" w:rsidP="00FE7F60">
      <w:pPr>
        <w:pStyle w:val="a3"/>
        <w:numPr>
          <w:ilvl w:val="0"/>
          <w:numId w:val="4"/>
        </w:numPr>
        <w:rPr>
          <w:rFonts w:cs="David"/>
        </w:rPr>
      </w:pPr>
      <w:r w:rsidRPr="00FE7F60">
        <w:rPr>
          <w:rFonts w:cs="David" w:hint="cs"/>
          <w:rtl/>
        </w:rPr>
        <w:t xml:space="preserve">בפרספקטיבה של 17 שנה מחקיקת החוק, </w:t>
      </w:r>
      <w:r w:rsidR="00A2408A" w:rsidRPr="00FE7F60">
        <w:rPr>
          <w:rFonts w:cs="David" w:hint="cs"/>
          <w:rtl/>
        </w:rPr>
        <w:t xml:space="preserve">מהם הלקחים </w:t>
      </w:r>
      <w:r w:rsidRPr="00FE7F60">
        <w:rPr>
          <w:rFonts w:cs="David" w:hint="cs"/>
          <w:rtl/>
        </w:rPr>
        <w:t xml:space="preserve">שניתן להצביע עליהם </w:t>
      </w:r>
      <w:r w:rsidR="00A2408A" w:rsidRPr="00FE7F60">
        <w:rPr>
          <w:rFonts w:cs="David" w:hint="cs"/>
          <w:rtl/>
        </w:rPr>
        <w:t>מהפעלת החוק? האם יש מקום לתיקונים ושינויים בהוראות החוק?</w:t>
      </w:r>
    </w:p>
    <w:p w:rsidR="00A2408A" w:rsidRPr="00FE7F60" w:rsidRDefault="00A2408A" w:rsidP="00A2408A">
      <w:pPr>
        <w:pStyle w:val="a3"/>
        <w:rPr>
          <w:rFonts w:cs="David"/>
          <w:rtl/>
        </w:rPr>
      </w:pPr>
    </w:p>
    <w:p w:rsidR="00A2408A" w:rsidRPr="00A2408A" w:rsidRDefault="00A2408A" w:rsidP="00A2408A">
      <w:pPr>
        <w:rPr>
          <w:color w:val="FF0000"/>
          <w:sz w:val="19"/>
          <w:szCs w:val="19"/>
          <w:rtl/>
        </w:rPr>
      </w:pPr>
    </w:p>
    <w:p w:rsidR="00A2408A" w:rsidRPr="00A2408A" w:rsidRDefault="00A2408A" w:rsidP="00A2408A">
      <w:pPr>
        <w:pStyle w:val="a3"/>
        <w:rPr>
          <w:color w:val="FF0000"/>
        </w:rPr>
      </w:pPr>
    </w:p>
    <w:sectPr w:rsidR="00A2408A" w:rsidRPr="00A2408A" w:rsidSect="00D276EF">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03B" w:rsidRDefault="0026403B" w:rsidP="0026403B">
      <w:pPr>
        <w:spacing w:line="240" w:lineRule="auto"/>
      </w:pPr>
      <w:r>
        <w:separator/>
      </w:r>
    </w:p>
  </w:endnote>
  <w:endnote w:type="continuationSeparator" w:id="0">
    <w:p w:rsidR="0026403B" w:rsidRDefault="0026403B" w:rsidP="002640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tl/>
      </w:rPr>
      <w:id w:val="1644612628"/>
      <w:docPartObj>
        <w:docPartGallery w:val="Page Numbers (Bottom of Page)"/>
        <w:docPartUnique/>
      </w:docPartObj>
    </w:sdtPr>
    <w:sdtEndPr>
      <w:rPr>
        <w:cs/>
      </w:rPr>
    </w:sdtEndPr>
    <w:sdtContent>
      <w:p w:rsidR="00630858" w:rsidRPr="00630858" w:rsidRDefault="00630858">
        <w:pPr>
          <w:pStyle w:val="a9"/>
          <w:jc w:val="center"/>
          <w:rPr>
            <w:sz w:val="16"/>
            <w:szCs w:val="16"/>
            <w:rtl/>
            <w:cs/>
          </w:rPr>
        </w:pPr>
        <w:r w:rsidRPr="00630858">
          <w:rPr>
            <w:sz w:val="16"/>
            <w:szCs w:val="16"/>
          </w:rPr>
          <w:fldChar w:fldCharType="begin"/>
        </w:r>
        <w:r w:rsidRPr="00630858">
          <w:rPr>
            <w:sz w:val="16"/>
            <w:szCs w:val="16"/>
            <w:rtl/>
            <w:cs/>
          </w:rPr>
          <w:instrText>PAGE   \* MERGEFORMAT</w:instrText>
        </w:r>
        <w:r w:rsidRPr="00630858">
          <w:rPr>
            <w:sz w:val="16"/>
            <w:szCs w:val="16"/>
          </w:rPr>
          <w:fldChar w:fldCharType="separate"/>
        </w:r>
        <w:r w:rsidR="00DE0F22" w:rsidRPr="00DE0F22">
          <w:rPr>
            <w:noProof/>
            <w:sz w:val="16"/>
            <w:szCs w:val="16"/>
            <w:rtl/>
            <w:lang w:val="he-IL"/>
          </w:rPr>
          <w:t>1</w:t>
        </w:r>
        <w:r w:rsidRPr="00630858">
          <w:rPr>
            <w:sz w:val="16"/>
            <w:szCs w:val="16"/>
          </w:rPr>
          <w:fldChar w:fldCharType="end"/>
        </w:r>
      </w:p>
    </w:sdtContent>
  </w:sdt>
  <w:p w:rsidR="00630858" w:rsidRDefault="0063085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03B" w:rsidRDefault="0026403B" w:rsidP="0026403B">
      <w:pPr>
        <w:spacing w:line="240" w:lineRule="auto"/>
      </w:pPr>
      <w:r>
        <w:separator/>
      </w:r>
    </w:p>
  </w:footnote>
  <w:footnote w:type="continuationSeparator" w:id="0">
    <w:p w:rsidR="0026403B" w:rsidRDefault="0026403B" w:rsidP="0026403B">
      <w:pPr>
        <w:spacing w:line="240" w:lineRule="auto"/>
      </w:pPr>
      <w:r>
        <w:continuationSeparator/>
      </w:r>
    </w:p>
  </w:footnote>
  <w:footnote w:id="1">
    <w:p w:rsidR="0026403B" w:rsidRPr="003544DF" w:rsidRDefault="0026403B" w:rsidP="00CC6DB3">
      <w:pPr>
        <w:pStyle w:val="a4"/>
        <w:rPr>
          <w:rFonts w:cs="David"/>
        </w:rPr>
      </w:pPr>
      <w:r w:rsidRPr="003544DF">
        <w:rPr>
          <w:rStyle w:val="a6"/>
          <w:rFonts w:cs="David"/>
        </w:rPr>
        <w:footnoteRef/>
      </w:r>
      <w:r w:rsidRPr="003544DF">
        <w:rPr>
          <w:rFonts w:cs="David"/>
          <w:rtl/>
        </w:rPr>
        <w:t xml:space="preserve"> </w:t>
      </w:r>
      <w:r w:rsidRPr="003544DF">
        <w:rPr>
          <w:rFonts w:cs="David" w:hint="cs"/>
          <w:rtl/>
        </w:rPr>
        <w:t>יונתן ארבל ותהילה שוורץ-</w:t>
      </w:r>
      <w:proofErr w:type="spellStart"/>
      <w:r w:rsidRPr="003544DF">
        <w:rPr>
          <w:rFonts w:cs="David" w:hint="cs"/>
          <w:rtl/>
        </w:rPr>
        <w:t>אלטשולר</w:t>
      </w:r>
      <w:proofErr w:type="spellEnd"/>
      <w:r w:rsidRPr="003544DF">
        <w:rPr>
          <w:rFonts w:cs="David" w:hint="cs"/>
          <w:rtl/>
        </w:rPr>
        <w:t xml:space="preserve"> (בהנחיית מרדכי </w:t>
      </w:r>
      <w:proofErr w:type="spellStart"/>
      <w:r w:rsidRPr="003544DF">
        <w:rPr>
          <w:rFonts w:cs="David" w:hint="cs"/>
          <w:rtl/>
        </w:rPr>
        <w:t>קרמניצר</w:t>
      </w:r>
      <w:proofErr w:type="spellEnd"/>
      <w:r w:rsidRPr="003544DF">
        <w:rPr>
          <w:rFonts w:cs="David" w:hint="cs"/>
          <w:rtl/>
        </w:rPr>
        <w:t xml:space="preserve">) </w:t>
      </w:r>
      <w:r w:rsidRPr="003544DF">
        <w:rPr>
          <w:rFonts w:cs="David" w:hint="cs"/>
          <w:b/>
          <w:bCs/>
          <w:rtl/>
        </w:rPr>
        <w:t xml:space="preserve">מידע רוצה להיות חופשי </w:t>
      </w:r>
      <w:r w:rsidRPr="003544DF">
        <w:rPr>
          <w:rFonts w:cs="David"/>
          <w:b/>
          <w:bCs/>
          <w:rtl/>
        </w:rPr>
        <w:t>–</w:t>
      </w:r>
      <w:r w:rsidRPr="003544DF">
        <w:rPr>
          <w:rFonts w:cs="David" w:hint="cs"/>
          <w:b/>
          <w:bCs/>
          <w:rtl/>
        </w:rPr>
        <w:t xml:space="preserve"> הטמעת חוק חופש המידע בישראל</w:t>
      </w:r>
      <w:r w:rsidRPr="003544DF">
        <w:rPr>
          <w:rFonts w:cs="David" w:hint="cs"/>
          <w:rtl/>
        </w:rPr>
        <w:t xml:space="preserve"> מחקר מדיניות מס' 74, המכון הישראלי לדמוקרטיה (תשס"ט-2008), עמ' 16-22.</w:t>
      </w:r>
    </w:p>
  </w:footnote>
  <w:footnote w:id="2">
    <w:p w:rsidR="00630858" w:rsidRDefault="00630858">
      <w:pPr>
        <w:pStyle w:val="a4"/>
      </w:pPr>
      <w:r>
        <w:rPr>
          <w:rStyle w:val="a6"/>
        </w:rPr>
        <w:footnoteRef/>
      </w:r>
      <w:r>
        <w:rPr>
          <w:rtl/>
        </w:rPr>
        <w:t xml:space="preserve"> </w:t>
      </w:r>
      <w:r w:rsidRPr="00630858">
        <w:rPr>
          <w:rFonts w:cs="David" w:hint="cs"/>
          <w:sz w:val="18"/>
          <w:rtl/>
        </w:rPr>
        <w:t xml:space="preserve">הטעמים המנויים בסעיף </w:t>
      </w:r>
      <w:r>
        <w:rPr>
          <w:rFonts w:cs="David" w:hint="cs"/>
          <w:sz w:val="18"/>
          <w:rtl/>
        </w:rPr>
        <w:t xml:space="preserve">8 לחוק </w:t>
      </w:r>
      <w:r w:rsidRPr="00630858">
        <w:rPr>
          <w:rFonts w:cs="David" w:hint="cs"/>
          <w:sz w:val="18"/>
          <w:rtl/>
        </w:rPr>
        <w:t>הם: אם הטיפול בבקשה מצריך הקצאת משאבים בלתי סבירה; אם המידע נוצר יותר מ-7 שנים לפני הגשת הבקשה ואיתורו כרוך בקושי של ממש, וטעמים נוספים; אם התברר לרשות, לאחר שנקטה אמצעים סבירים, כי לא ניתן לאתר את המידע או שהוא אינו מצוי ברשותה; המידע פורסם ועומד לרשות הציבור או לעיונו; המידע נוצר בידי רשות ציבורית אחרת ואין בהפניית המבקש לאותה רשות כדי להכביד הכבדה בלתי סבירה על קבלת המידע</w:t>
      </w:r>
      <w:r>
        <w:rPr>
          <w:rFonts w:cs="David" w:hint="cs"/>
          <w:sz w:val="18"/>
          <w:rtl/>
        </w:rPr>
        <w:t>.</w:t>
      </w:r>
    </w:p>
  </w:footnote>
  <w:footnote w:id="3">
    <w:p w:rsidR="006F24DF" w:rsidRDefault="006F24DF">
      <w:pPr>
        <w:pStyle w:val="a4"/>
        <w:rPr>
          <w:rtl/>
        </w:rPr>
      </w:pPr>
      <w:r>
        <w:rPr>
          <w:rStyle w:val="a6"/>
        </w:rPr>
        <w:footnoteRef/>
      </w:r>
      <w:r>
        <w:rPr>
          <w:rtl/>
        </w:rPr>
        <w:t xml:space="preserve"> </w:t>
      </w:r>
      <w:r w:rsidRPr="004D3FC6">
        <w:rPr>
          <w:rFonts w:cs="David" w:hint="cs"/>
          <w:rtl/>
          <w:lang w:eastAsia="en-US"/>
        </w:rPr>
        <w:t xml:space="preserve">החלטה מס' 2950, </w:t>
      </w:r>
      <w:r w:rsidRPr="00974C55">
        <w:rPr>
          <w:rFonts w:cs="David" w:hint="cs"/>
          <w:rtl/>
          <w:lang w:eastAsia="en-US"/>
        </w:rPr>
        <w:t>בנושא "יישום חוק חופש המידע, התשנ"ח-1998: הגברת השקיפות ברשויות ציבוריות"</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163D5"/>
    <w:multiLevelType w:val="multilevel"/>
    <w:tmpl w:val="3AA2A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A607AF"/>
    <w:multiLevelType w:val="hybridMultilevel"/>
    <w:tmpl w:val="DAF0C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126996"/>
    <w:multiLevelType w:val="hybridMultilevel"/>
    <w:tmpl w:val="B6C4F766"/>
    <w:lvl w:ilvl="0" w:tplc="040D0013">
      <w:start w:val="1"/>
      <w:numFmt w:val="hebrew1"/>
      <w:lvlText w:val="%1."/>
      <w:lvlJc w:val="center"/>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488236E"/>
    <w:multiLevelType w:val="hybridMultilevel"/>
    <w:tmpl w:val="D608A514"/>
    <w:lvl w:ilvl="0" w:tplc="D41E23E8">
      <w:start w:val="1"/>
      <w:numFmt w:val="bullet"/>
      <w:lvlText w:val=""/>
      <w:lvlJc w:val="left"/>
      <w:pPr>
        <w:tabs>
          <w:tab w:val="num" w:pos="720"/>
        </w:tabs>
        <w:ind w:left="720" w:hanging="360"/>
      </w:pPr>
      <w:rPr>
        <w:rFonts w:ascii="Symbol" w:eastAsia="Times New Roman" w:hAnsi="Symbol" w:cs="David"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D7E0181"/>
    <w:multiLevelType w:val="hybridMultilevel"/>
    <w:tmpl w:val="BFC2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03B"/>
    <w:rsid w:val="00057552"/>
    <w:rsid w:val="00062944"/>
    <w:rsid w:val="0026403B"/>
    <w:rsid w:val="002C5C2A"/>
    <w:rsid w:val="003D28F4"/>
    <w:rsid w:val="004174D5"/>
    <w:rsid w:val="00460512"/>
    <w:rsid w:val="004713DA"/>
    <w:rsid w:val="00476A39"/>
    <w:rsid w:val="004D3FC6"/>
    <w:rsid w:val="005156DF"/>
    <w:rsid w:val="00517712"/>
    <w:rsid w:val="0053366E"/>
    <w:rsid w:val="00630858"/>
    <w:rsid w:val="00641DE0"/>
    <w:rsid w:val="00645A49"/>
    <w:rsid w:val="006D5271"/>
    <w:rsid w:val="006F24DF"/>
    <w:rsid w:val="007A6225"/>
    <w:rsid w:val="00862282"/>
    <w:rsid w:val="008C1EB1"/>
    <w:rsid w:val="008F1E7A"/>
    <w:rsid w:val="00923DE8"/>
    <w:rsid w:val="00967D99"/>
    <w:rsid w:val="00974C55"/>
    <w:rsid w:val="00A2408A"/>
    <w:rsid w:val="00A5722E"/>
    <w:rsid w:val="00B06BF0"/>
    <w:rsid w:val="00B86CD5"/>
    <w:rsid w:val="00BA2144"/>
    <w:rsid w:val="00C97C1D"/>
    <w:rsid w:val="00CC6DB3"/>
    <w:rsid w:val="00D276EF"/>
    <w:rsid w:val="00D85E8E"/>
    <w:rsid w:val="00D86CBC"/>
    <w:rsid w:val="00DE0F22"/>
    <w:rsid w:val="00E42815"/>
    <w:rsid w:val="00EA35A3"/>
    <w:rsid w:val="00EC6626"/>
    <w:rsid w:val="00FE7F6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03B"/>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basedOn w:val="a0"/>
    <w:rsid w:val="0026403B"/>
    <w:rPr>
      <w:rFonts w:ascii="Times New Roman" w:hAnsi="Times New Roman" w:cs="Times New Roman"/>
      <w:sz w:val="26"/>
      <w:szCs w:val="26"/>
    </w:rPr>
  </w:style>
  <w:style w:type="paragraph" w:styleId="a3">
    <w:name w:val="List Paragraph"/>
    <w:basedOn w:val="a"/>
    <w:uiPriority w:val="34"/>
    <w:qFormat/>
    <w:rsid w:val="0026403B"/>
    <w:pPr>
      <w:ind w:left="720"/>
      <w:contextualSpacing/>
    </w:pPr>
  </w:style>
  <w:style w:type="paragraph" w:styleId="a4">
    <w:name w:val="footnote text"/>
    <w:basedOn w:val="a"/>
    <w:link w:val="a5"/>
    <w:semiHidden/>
    <w:unhideWhenUsed/>
    <w:rsid w:val="0026403B"/>
    <w:pPr>
      <w:spacing w:line="240" w:lineRule="auto"/>
    </w:pPr>
    <w:rPr>
      <w:sz w:val="20"/>
      <w:szCs w:val="20"/>
    </w:rPr>
  </w:style>
  <w:style w:type="character" w:customStyle="1" w:styleId="a5">
    <w:name w:val="טקסט הערת שוליים תו"/>
    <w:basedOn w:val="a0"/>
    <w:link w:val="a4"/>
    <w:semiHidden/>
    <w:rsid w:val="0026403B"/>
    <w:rPr>
      <w:rFonts w:ascii="Times New Roman" w:eastAsia="Times New Roman" w:hAnsi="Times New Roman" w:cs="Times New Roman"/>
      <w:sz w:val="20"/>
      <w:szCs w:val="20"/>
      <w:lang w:eastAsia="he-IL"/>
    </w:rPr>
  </w:style>
  <w:style w:type="character" w:styleId="a6">
    <w:name w:val="footnote reference"/>
    <w:basedOn w:val="a0"/>
    <w:semiHidden/>
    <w:unhideWhenUsed/>
    <w:rsid w:val="0026403B"/>
    <w:rPr>
      <w:vertAlign w:val="superscript"/>
    </w:rPr>
  </w:style>
  <w:style w:type="paragraph" w:customStyle="1" w:styleId="P11">
    <w:name w:val="P11"/>
    <w:basedOn w:val="a"/>
    <w:rsid w:val="008F1E7A"/>
    <w:pPr>
      <w:widowControl w:val="0"/>
      <w:tabs>
        <w:tab w:val="left" w:pos="1021"/>
        <w:tab w:val="left" w:pos="1474"/>
        <w:tab w:val="left" w:pos="1928"/>
        <w:tab w:val="left" w:pos="2381"/>
        <w:tab w:val="left" w:pos="2835"/>
        <w:tab w:val="right" w:leader="dot" w:pos="6259"/>
      </w:tabs>
      <w:suppressAutoHyphens/>
      <w:spacing w:before="60" w:line="240" w:lineRule="auto"/>
      <w:ind w:left="2835" w:right="624"/>
    </w:pPr>
    <w:rPr>
      <w:noProof/>
      <w:sz w:val="20"/>
      <w:szCs w:val="26"/>
    </w:rPr>
  </w:style>
  <w:style w:type="paragraph" w:styleId="a7">
    <w:name w:val="header"/>
    <w:basedOn w:val="a"/>
    <w:link w:val="a8"/>
    <w:uiPriority w:val="99"/>
    <w:unhideWhenUsed/>
    <w:rsid w:val="00630858"/>
    <w:pPr>
      <w:tabs>
        <w:tab w:val="center" w:pos="4153"/>
        <w:tab w:val="right" w:pos="8306"/>
      </w:tabs>
      <w:spacing w:line="240" w:lineRule="auto"/>
    </w:pPr>
  </w:style>
  <w:style w:type="character" w:customStyle="1" w:styleId="a8">
    <w:name w:val="כותרת עליונה תו"/>
    <w:basedOn w:val="a0"/>
    <w:link w:val="a7"/>
    <w:uiPriority w:val="99"/>
    <w:rsid w:val="00630858"/>
    <w:rPr>
      <w:rFonts w:ascii="Times New Roman" w:eastAsia="Times New Roman" w:hAnsi="Times New Roman" w:cs="Times New Roman"/>
      <w:szCs w:val="24"/>
      <w:lang w:eastAsia="he-IL"/>
    </w:rPr>
  </w:style>
  <w:style w:type="paragraph" w:styleId="a9">
    <w:name w:val="footer"/>
    <w:basedOn w:val="a"/>
    <w:link w:val="aa"/>
    <w:uiPriority w:val="99"/>
    <w:unhideWhenUsed/>
    <w:rsid w:val="00630858"/>
    <w:pPr>
      <w:tabs>
        <w:tab w:val="center" w:pos="4153"/>
        <w:tab w:val="right" w:pos="8306"/>
      </w:tabs>
      <w:spacing w:line="240" w:lineRule="auto"/>
    </w:pPr>
  </w:style>
  <w:style w:type="character" w:customStyle="1" w:styleId="aa">
    <w:name w:val="כותרת תחתונה תו"/>
    <w:basedOn w:val="a0"/>
    <w:link w:val="a9"/>
    <w:uiPriority w:val="99"/>
    <w:rsid w:val="00630858"/>
    <w:rPr>
      <w:rFonts w:ascii="Times New Roman" w:eastAsia="Times New Roman" w:hAnsi="Times New Roman" w:cs="Times New Roman"/>
      <w:szCs w:val="24"/>
      <w:lang w:eastAsia="he-IL"/>
    </w:rPr>
  </w:style>
  <w:style w:type="paragraph" w:styleId="NormalWeb">
    <w:name w:val="Normal (Web)"/>
    <w:basedOn w:val="a"/>
    <w:uiPriority w:val="99"/>
    <w:semiHidden/>
    <w:unhideWhenUsed/>
    <w:rsid w:val="00974C55"/>
    <w:pPr>
      <w:autoSpaceDE/>
      <w:autoSpaceDN/>
      <w:bidi w:val="0"/>
      <w:spacing w:before="100" w:beforeAutospacing="1" w:after="100" w:afterAutospacing="1" w:line="240" w:lineRule="auto"/>
      <w:jc w:val="left"/>
    </w:pPr>
    <w:rPr>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03B"/>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basedOn w:val="a0"/>
    <w:rsid w:val="0026403B"/>
    <w:rPr>
      <w:rFonts w:ascii="Times New Roman" w:hAnsi="Times New Roman" w:cs="Times New Roman"/>
      <w:sz w:val="26"/>
      <w:szCs w:val="26"/>
    </w:rPr>
  </w:style>
  <w:style w:type="paragraph" w:styleId="a3">
    <w:name w:val="List Paragraph"/>
    <w:basedOn w:val="a"/>
    <w:uiPriority w:val="34"/>
    <w:qFormat/>
    <w:rsid w:val="0026403B"/>
    <w:pPr>
      <w:ind w:left="720"/>
      <w:contextualSpacing/>
    </w:pPr>
  </w:style>
  <w:style w:type="paragraph" w:styleId="a4">
    <w:name w:val="footnote text"/>
    <w:basedOn w:val="a"/>
    <w:link w:val="a5"/>
    <w:semiHidden/>
    <w:unhideWhenUsed/>
    <w:rsid w:val="0026403B"/>
    <w:pPr>
      <w:spacing w:line="240" w:lineRule="auto"/>
    </w:pPr>
    <w:rPr>
      <w:sz w:val="20"/>
      <w:szCs w:val="20"/>
    </w:rPr>
  </w:style>
  <w:style w:type="character" w:customStyle="1" w:styleId="a5">
    <w:name w:val="טקסט הערת שוליים תו"/>
    <w:basedOn w:val="a0"/>
    <w:link w:val="a4"/>
    <w:semiHidden/>
    <w:rsid w:val="0026403B"/>
    <w:rPr>
      <w:rFonts w:ascii="Times New Roman" w:eastAsia="Times New Roman" w:hAnsi="Times New Roman" w:cs="Times New Roman"/>
      <w:sz w:val="20"/>
      <w:szCs w:val="20"/>
      <w:lang w:eastAsia="he-IL"/>
    </w:rPr>
  </w:style>
  <w:style w:type="character" w:styleId="a6">
    <w:name w:val="footnote reference"/>
    <w:basedOn w:val="a0"/>
    <w:semiHidden/>
    <w:unhideWhenUsed/>
    <w:rsid w:val="0026403B"/>
    <w:rPr>
      <w:vertAlign w:val="superscript"/>
    </w:rPr>
  </w:style>
  <w:style w:type="paragraph" w:customStyle="1" w:styleId="P11">
    <w:name w:val="P11"/>
    <w:basedOn w:val="a"/>
    <w:rsid w:val="008F1E7A"/>
    <w:pPr>
      <w:widowControl w:val="0"/>
      <w:tabs>
        <w:tab w:val="left" w:pos="1021"/>
        <w:tab w:val="left" w:pos="1474"/>
        <w:tab w:val="left" w:pos="1928"/>
        <w:tab w:val="left" w:pos="2381"/>
        <w:tab w:val="left" w:pos="2835"/>
        <w:tab w:val="right" w:leader="dot" w:pos="6259"/>
      </w:tabs>
      <w:suppressAutoHyphens/>
      <w:spacing w:before="60" w:line="240" w:lineRule="auto"/>
      <w:ind w:left="2835" w:right="624"/>
    </w:pPr>
    <w:rPr>
      <w:noProof/>
      <w:sz w:val="20"/>
      <w:szCs w:val="26"/>
    </w:rPr>
  </w:style>
  <w:style w:type="paragraph" w:styleId="a7">
    <w:name w:val="header"/>
    <w:basedOn w:val="a"/>
    <w:link w:val="a8"/>
    <w:uiPriority w:val="99"/>
    <w:unhideWhenUsed/>
    <w:rsid w:val="00630858"/>
    <w:pPr>
      <w:tabs>
        <w:tab w:val="center" w:pos="4153"/>
        <w:tab w:val="right" w:pos="8306"/>
      </w:tabs>
      <w:spacing w:line="240" w:lineRule="auto"/>
    </w:pPr>
  </w:style>
  <w:style w:type="character" w:customStyle="1" w:styleId="a8">
    <w:name w:val="כותרת עליונה תו"/>
    <w:basedOn w:val="a0"/>
    <w:link w:val="a7"/>
    <w:uiPriority w:val="99"/>
    <w:rsid w:val="00630858"/>
    <w:rPr>
      <w:rFonts w:ascii="Times New Roman" w:eastAsia="Times New Roman" w:hAnsi="Times New Roman" w:cs="Times New Roman"/>
      <w:szCs w:val="24"/>
      <w:lang w:eastAsia="he-IL"/>
    </w:rPr>
  </w:style>
  <w:style w:type="paragraph" w:styleId="a9">
    <w:name w:val="footer"/>
    <w:basedOn w:val="a"/>
    <w:link w:val="aa"/>
    <w:uiPriority w:val="99"/>
    <w:unhideWhenUsed/>
    <w:rsid w:val="00630858"/>
    <w:pPr>
      <w:tabs>
        <w:tab w:val="center" w:pos="4153"/>
        <w:tab w:val="right" w:pos="8306"/>
      </w:tabs>
      <w:spacing w:line="240" w:lineRule="auto"/>
    </w:pPr>
  </w:style>
  <w:style w:type="character" w:customStyle="1" w:styleId="aa">
    <w:name w:val="כותרת תחתונה תו"/>
    <w:basedOn w:val="a0"/>
    <w:link w:val="a9"/>
    <w:uiPriority w:val="99"/>
    <w:rsid w:val="00630858"/>
    <w:rPr>
      <w:rFonts w:ascii="Times New Roman" w:eastAsia="Times New Roman" w:hAnsi="Times New Roman" w:cs="Times New Roman"/>
      <w:szCs w:val="24"/>
      <w:lang w:eastAsia="he-IL"/>
    </w:rPr>
  </w:style>
  <w:style w:type="paragraph" w:styleId="NormalWeb">
    <w:name w:val="Normal (Web)"/>
    <w:basedOn w:val="a"/>
    <w:uiPriority w:val="99"/>
    <w:semiHidden/>
    <w:unhideWhenUsed/>
    <w:rsid w:val="00974C55"/>
    <w:pPr>
      <w:autoSpaceDE/>
      <w:autoSpaceDN/>
      <w:bidi w:val="0"/>
      <w:spacing w:before="100" w:beforeAutospacing="1" w:after="100" w:afterAutospacing="1" w:line="240" w:lineRule="auto"/>
      <w:jc w:val="left"/>
    </w:pPr>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207102">
      <w:bodyDiv w:val="1"/>
      <w:marLeft w:val="0"/>
      <w:marRight w:val="0"/>
      <w:marTop w:val="0"/>
      <w:marBottom w:val="0"/>
      <w:divBdr>
        <w:top w:val="none" w:sz="0" w:space="0" w:color="auto"/>
        <w:left w:val="none" w:sz="0" w:space="0" w:color="auto"/>
        <w:bottom w:val="none" w:sz="0" w:space="0" w:color="auto"/>
        <w:right w:val="none" w:sz="0" w:space="0" w:color="auto"/>
      </w:divBdr>
      <w:divsChild>
        <w:div w:id="1398360446">
          <w:marLeft w:val="0"/>
          <w:marRight w:val="0"/>
          <w:marTop w:val="0"/>
          <w:marBottom w:val="0"/>
          <w:divBdr>
            <w:top w:val="none" w:sz="0" w:space="0" w:color="auto"/>
            <w:left w:val="none" w:sz="0" w:space="0" w:color="auto"/>
            <w:bottom w:val="none" w:sz="0" w:space="0" w:color="auto"/>
            <w:right w:val="none" w:sz="0" w:space="0" w:color="auto"/>
          </w:divBdr>
          <w:divsChild>
            <w:div w:id="1097797418">
              <w:marLeft w:val="0"/>
              <w:marRight w:val="0"/>
              <w:marTop w:val="0"/>
              <w:marBottom w:val="0"/>
              <w:divBdr>
                <w:top w:val="none" w:sz="0" w:space="0" w:color="auto"/>
                <w:left w:val="none" w:sz="0" w:space="0" w:color="auto"/>
                <w:bottom w:val="none" w:sz="0" w:space="0" w:color="auto"/>
                <w:right w:val="none" w:sz="0" w:space="0" w:color="auto"/>
              </w:divBdr>
              <w:divsChild>
                <w:div w:id="615478992">
                  <w:marLeft w:val="0"/>
                  <w:marRight w:val="0"/>
                  <w:marTop w:val="0"/>
                  <w:marBottom w:val="0"/>
                  <w:divBdr>
                    <w:top w:val="none" w:sz="0" w:space="0" w:color="auto"/>
                    <w:left w:val="none" w:sz="0" w:space="0" w:color="auto"/>
                    <w:bottom w:val="none" w:sz="0" w:space="0" w:color="auto"/>
                    <w:right w:val="none" w:sz="0" w:space="0" w:color="auto"/>
                  </w:divBdr>
                  <w:divsChild>
                    <w:div w:id="1817717243">
                      <w:marLeft w:val="0"/>
                      <w:marRight w:val="0"/>
                      <w:marTop w:val="0"/>
                      <w:marBottom w:val="0"/>
                      <w:divBdr>
                        <w:top w:val="none" w:sz="0" w:space="0" w:color="auto"/>
                        <w:left w:val="none" w:sz="0" w:space="0" w:color="auto"/>
                        <w:bottom w:val="none" w:sz="0" w:space="0" w:color="auto"/>
                        <w:right w:val="none" w:sz="0" w:space="0" w:color="auto"/>
                      </w:divBdr>
                      <w:divsChild>
                        <w:div w:id="275793961">
                          <w:marLeft w:val="0"/>
                          <w:marRight w:val="0"/>
                          <w:marTop w:val="0"/>
                          <w:marBottom w:val="0"/>
                          <w:divBdr>
                            <w:top w:val="none" w:sz="0" w:space="0" w:color="auto"/>
                            <w:left w:val="none" w:sz="0" w:space="0" w:color="auto"/>
                            <w:bottom w:val="none" w:sz="0" w:space="0" w:color="auto"/>
                            <w:right w:val="none" w:sz="0" w:space="0" w:color="auto"/>
                          </w:divBdr>
                          <w:divsChild>
                            <w:div w:id="231041752">
                              <w:marLeft w:val="0"/>
                              <w:marRight w:val="0"/>
                              <w:marTop w:val="0"/>
                              <w:marBottom w:val="0"/>
                              <w:divBdr>
                                <w:top w:val="none" w:sz="0" w:space="0" w:color="auto"/>
                                <w:left w:val="none" w:sz="0" w:space="0" w:color="auto"/>
                                <w:bottom w:val="none" w:sz="0" w:space="0" w:color="auto"/>
                                <w:right w:val="none" w:sz="0" w:space="0" w:color="auto"/>
                              </w:divBdr>
                              <w:divsChild>
                                <w:div w:id="162549145">
                                  <w:marLeft w:val="0"/>
                                  <w:marRight w:val="0"/>
                                  <w:marTop w:val="0"/>
                                  <w:marBottom w:val="0"/>
                                  <w:divBdr>
                                    <w:top w:val="none" w:sz="0" w:space="0" w:color="auto"/>
                                    <w:left w:val="none" w:sz="0" w:space="0" w:color="auto"/>
                                    <w:bottom w:val="none" w:sz="0" w:space="0" w:color="auto"/>
                                    <w:right w:val="none" w:sz="0" w:space="0" w:color="auto"/>
                                  </w:divBdr>
                                  <w:divsChild>
                                    <w:div w:id="815148385">
                                      <w:marLeft w:val="0"/>
                                      <w:marRight w:val="0"/>
                                      <w:marTop w:val="0"/>
                                      <w:marBottom w:val="0"/>
                                      <w:divBdr>
                                        <w:top w:val="none" w:sz="0" w:space="0" w:color="auto"/>
                                        <w:left w:val="none" w:sz="0" w:space="0" w:color="auto"/>
                                        <w:bottom w:val="none" w:sz="0" w:space="0" w:color="auto"/>
                                        <w:right w:val="none" w:sz="0" w:space="0" w:color="auto"/>
                                      </w:divBdr>
                                      <w:divsChild>
                                        <w:div w:id="1370841183">
                                          <w:marLeft w:val="0"/>
                                          <w:marRight w:val="0"/>
                                          <w:marTop w:val="0"/>
                                          <w:marBottom w:val="0"/>
                                          <w:divBdr>
                                            <w:top w:val="none" w:sz="0" w:space="0" w:color="auto"/>
                                            <w:left w:val="none" w:sz="0" w:space="0" w:color="auto"/>
                                            <w:bottom w:val="none" w:sz="0" w:space="0" w:color="auto"/>
                                            <w:right w:val="none" w:sz="0" w:space="0" w:color="auto"/>
                                          </w:divBdr>
                                          <w:divsChild>
                                            <w:div w:id="1009328359">
                                              <w:marLeft w:val="0"/>
                                              <w:marRight w:val="0"/>
                                              <w:marTop w:val="0"/>
                                              <w:marBottom w:val="0"/>
                                              <w:divBdr>
                                                <w:top w:val="none" w:sz="0" w:space="0" w:color="auto"/>
                                                <w:left w:val="none" w:sz="0" w:space="0" w:color="auto"/>
                                                <w:bottom w:val="none" w:sz="0" w:space="0" w:color="auto"/>
                                                <w:right w:val="none" w:sz="0" w:space="0" w:color="auto"/>
                                              </w:divBdr>
                                              <w:divsChild>
                                                <w:div w:id="1474785182">
                                                  <w:marLeft w:val="0"/>
                                                  <w:marRight w:val="0"/>
                                                  <w:marTop w:val="0"/>
                                                  <w:marBottom w:val="0"/>
                                                  <w:divBdr>
                                                    <w:top w:val="none" w:sz="0" w:space="0" w:color="auto"/>
                                                    <w:left w:val="none" w:sz="0" w:space="0" w:color="auto"/>
                                                    <w:bottom w:val="none" w:sz="0" w:space="0" w:color="auto"/>
                                                    <w:right w:val="none" w:sz="0" w:space="0" w:color="auto"/>
                                                  </w:divBdr>
                                                  <w:divsChild>
                                                    <w:div w:id="186212511">
                                                      <w:marLeft w:val="0"/>
                                                      <w:marRight w:val="0"/>
                                                      <w:marTop w:val="0"/>
                                                      <w:marBottom w:val="0"/>
                                                      <w:divBdr>
                                                        <w:top w:val="none" w:sz="0" w:space="0" w:color="auto"/>
                                                        <w:left w:val="none" w:sz="0" w:space="0" w:color="auto"/>
                                                        <w:bottom w:val="none" w:sz="0" w:space="0" w:color="auto"/>
                                                        <w:right w:val="none" w:sz="0" w:space="0" w:color="auto"/>
                                                      </w:divBdr>
                                                      <w:divsChild>
                                                        <w:div w:id="630131289">
                                                          <w:marLeft w:val="0"/>
                                                          <w:marRight w:val="0"/>
                                                          <w:marTop w:val="0"/>
                                                          <w:marBottom w:val="0"/>
                                                          <w:divBdr>
                                                            <w:top w:val="none" w:sz="0" w:space="0" w:color="auto"/>
                                                            <w:left w:val="none" w:sz="0" w:space="0" w:color="auto"/>
                                                            <w:bottom w:val="none" w:sz="0" w:space="0" w:color="auto"/>
                                                            <w:right w:val="none" w:sz="0" w:space="0" w:color="auto"/>
                                                          </w:divBdr>
                                                          <w:divsChild>
                                                            <w:div w:id="220019183">
                                                              <w:marLeft w:val="0"/>
                                                              <w:marRight w:val="0"/>
                                                              <w:marTop w:val="0"/>
                                                              <w:marBottom w:val="0"/>
                                                              <w:divBdr>
                                                                <w:top w:val="none" w:sz="0" w:space="0" w:color="auto"/>
                                                                <w:left w:val="none" w:sz="0" w:space="0" w:color="auto"/>
                                                                <w:bottom w:val="none" w:sz="0" w:space="0" w:color="auto"/>
                                                                <w:right w:val="none" w:sz="0" w:space="0" w:color="auto"/>
                                                              </w:divBdr>
                                                              <w:divsChild>
                                                                <w:div w:id="1312246186">
                                                                  <w:marLeft w:val="0"/>
                                                                  <w:marRight w:val="0"/>
                                                                  <w:marTop w:val="0"/>
                                                                  <w:marBottom w:val="0"/>
                                                                  <w:divBdr>
                                                                    <w:top w:val="none" w:sz="0" w:space="0" w:color="auto"/>
                                                                    <w:left w:val="none" w:sz="0" w:space="0" w:color="auto"/>
                                                                    <w:bottom w:val="none" w:sz="0" w:space="0" w:color="auto"/>
                                                                    <w:right w:val="none" w:sz="0" w:space="0" w:color="auto"/>
                                                                  </w:divBdr>
                                                                  <w:divsChild>
                                                                    <w:div w:id="999847729">
                                                                      <w:marLeft w:val="0"/>
                                                                      <w:marRight w:val="0"/>
                                                                      <w:marTop w:val="0"/>
                                                                      <w:marBottom w:val="0"/>
                                                                      <w:divBdr>
                                                                        <w:top w:val="none" w:sz="0" w:space="0" w:color="auto"/>
                                                                        <w:left w:val="none" w:sz="0" w:space="0" w:color="auto"/>
                                                                        <w:bottom w:val="none" w:sz="0" w:space="0" w:color="auto"/>
                                                                        <w:right w:val="none" w:sz="0" w:space="0" w:color="auto"/>
                                                                      </w:divBdr>
                                                                      <w:divsChild>
                                                                        <w:div w:id="409236696">
                                                                          <w:marLeft w:val="0"/>
                                                                          <w:marRight w:val="0"/>
                                                                          <w:marTop w:val="0"/>
                                                                          <w:marBottom w:val="0"/>
                                                                          <w:divBdr>
                                                                            <w:top w:val="none" w:sz="0" w:space="0" w:color="auto"/>
                                                                            <w:left w:val="none" w:sz="0" w:space="0" w:color="auto"/>
                                                                            <w:bottom w:val="none" w:sz="0" w:space="0" w:color="auto"/>
                                                                            <w:right w:val="none" w:sz="0" w:space="0" w:color="auto"/>
                                                                          </w:divBdr>
                                                                          <w:divsChild>
                                                                            <w:div w:id="182865379">
                                                                              <w:marLeft w:val="0"/>
                                                                              <w:marRight w:val="0"/>
                                                                              <w:marTop w:val="0"/>
                                                                              <w:marBottom w:val="0"/>
                                                                              <w:divBdr>
                                                                                <w:top w:val="none" w:sz="0" w:space="0" w:color="auto"/>
                                                                                <w:left w:val="none" w:sz="0" w:space="0" w:color="auto"/>
                                                                                <w:bottom w:val="none" w:sz="0" w:space="0" w:color="auto"/>
                                                                                <w:right w:val="none" w:sz="0" w:space="0" w:color="auto"/>
                                                                              </w:divBdr>
                                                                              <w:divsChild>
                                                                                <w:div w:id="170586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6724162">
      <w:bodyDiv w:val="1"/>
      <w:marLeft w:val="0"/>
      <w:marRight w:val="0"/>
      <w:marTop w:val="0"/>
      <w:marBottom w:val="0"/>
      <w:divBdr>
        <w:top w:val="none" w:sz="0" w:space="0" w:color="auto"/>
        <w:left w:val="none" w:sz="0" w:space="0" w:color="auto"/>
        <w:bottom w:val="none" w:sz="0" w:space="0" w:color="auto"/>
        <w:right w:val="none" w:sz="0" w:space="0" w:color="auto"/>
      </w:divBdr>
      <w:divsChild>
        <w:div w:id="445925419">
          <w:marLeft w:val="0"/>
          <w:marRight w:val="0"/>
          <w:marTop w:val="0"/>
          <w:marBottom w:val="0"/>
          <w:divBdr>
            <w:top w:val="none" w:sz="0" w:space="0" w:color="auto"/>
            <w:left w:val="none" w:sz="0" w:space="0" w:color="auto"/>
            <w:bottom w:val="none" w:sz="0" w:space="0" w:color="auto"/>
            <w:right w:val="none" w:sz="0" w:space="0" w:color="auto"/>
          </w:divBdr>
          <w:divsChild>
            <w:div w:id="711853404">
              <w:marLeft w:val="0"/>
              <w:marRight w:val="0"/>
              <w:marTop w:val="0"/>
              <w:marBottom w:val="0"/>
              <w:divBdr>
                <w:top w:val="none" w:sz="0" w:space="0" w:color="auto"/>
                <w:left w:val="none" w:sz="0" w:space="0" w:color="auto"/>
                <w:bottom w:val="none" w:sz="0" w:space="0" w:color="auto"/>
                <w:right w:val="none" w:sz="0" w:space="0" w:color="auto"/>
              </w:divBdr>
              <w:divsChild>
                <w:div w:id="1495997603">
                  <w:marLeft w:val="0"/>
                  <w:marRight w:val="0"/>
                  <w:marTop w:val="0"/>
                  <w:marBottom w:val="0"/>
                  <w:divBdr>
                    <w:top w:val="none" w:sz="0" w:space="0" w:color="auto"/>
                    <w:left w:val="none" w:sz="0" w:space="0" w:color="auto"/>
                    <w:bottom w:val="none" w:sz="0" w:space="0" w:color="auto"/>
                    <w:right w:val="none" w:sz="0" w:space="0" w:color="auto"/>
                  </w:divBdr>
                  <w:divsChild>
                    <w:div w:id="1326088093">
                      <w:marLeft w:val="0"/>
                      <w:marRight w:val="0"/>
                      <w:marTop w:val="0"/>
                      <w:marBottom w:val="0"/>
                      <w:divBdr>
                        <w:top w:val="none" w:sz="0" w:space="0" w:color="auto"/>
                        <w:left w:val="none" w:sz="0" w:space="0" w:color="auto"/>
                        <w:bottom w:val="none" w:sz="0" w:space="0" w:color="auto"/>
                        <w:right w:val="none" w:sz="0" w:space="0" w:color="auto"/>
                      </w:divBdr>
                      <w:divsChild>
                        <w:div w:id="45571491">
                          <w:marLeft w:val="0"/>
                          <w:marRight w:val="0"/>
                          <w:marTop w:val="0"/>
                          <w:marBottom w:val="0"/>
                          <w:divBdr>
                            <w:top w:val="none" w:sz="0" w:space="0" w:color="auto"/>
                            <w:left w:val="none" w:sz="0" w:space="0" w:color="auto"/>
                            <w:bottom w:val="none" w:sz="0" w:space="0" w:color="auto"/>
                            <w:right w:val="none" w:sz="0" w:space="0" w:color="auto"/>
                          </w:divBdr>
                          <w:divsChild>
                            <w:div w:id="808592326">
                              <w:marLeft w:val="0"/>
                              <w:marRight w:val="0"/>
                              <w:marTop w:val="0"/>
                              <w:marBottom w:val="0"/>
                              <w:divBdr>
                                <w:top w:val="none" w:sz="0" w:space="0" w:color="auto"/>
                                <w:left w:val="none" w:sz="0" w:space="0" w:color="auto"/>
                                <w:bottom w:val="none" w:sz="0" w:space="0" w:color="auto"/>
                                <w:right w:val="none" w:sz="0" w:space="0" w:color="auto"/>
                              </w:divBdr>
                              <w:divsChild>
                                <w:div w:id="395590608">
                                  <w:marLeft w:val="0"/>
                                  <w:marRight w:val="0"/>
                                  <w:marTop w:val="0"/>
                                  <w:marBottom w:val="0"/>
                                  <w:divBdr>
                                    <w:top w:val="none" w:sz="0" w:space="0" w:color="auto"/>
                                    <w:left w:val="none" w:sz="0" w:space="0" w:color="auto"/>
                                    <w:bottom w:val="none" w:sz="0" w:space="0" w:color="auto"/>
                                    <w:right w:val="none" w:sz="0" w:space="0" w:color="auto"/>
                                  </w:divBdr>
                                  <w:divsChild>
                                    <w:div w:id="2003460127">
                                      <w:marLeft w:val="0"/>
                                      <w:marRight w:val="0"/>
                                      <w:marTop w:val="0"/>
                                      <w:marBottom w:val="0"/>
                                      <w:divBdr>
                                        <w:top w:val="none" w:sz="0" w:space="0" w:color="auto"/>
                                        <w:left w:val="none" w:sz="0" w:space="0" w:color="auto"/>
                                        <w:bottom w:val="none" w:sz="0" w:space="0" w:color="auto"/>
                                        <w:right w:val="none" w:sz="0" w:space="0" w:color="auto"/>
                                      </w:divBdr>
                                      <w:divsChild>
                                        <w:div w:id="861941349">
                                          <w:marLeft w:val="0"/>
                                          <w:marRight w:val="0"/>
                                          <w:marTop w:val="0"/>
                                          <w:marBottom w:val="0"/>
                                          <w:divBdr>
                                            <w:top w:val="none" w:sz="0" w:space="0" w:color="auto"/>
                                            <w:left w:val="none" w:sz="0" w:space="0" w:color="auto"/>
                                            <w:bottom w:val="none" w:sz="0" w:space="0" w:color="auto"/>
                                            <w:right w:val="none" w:sz="0" w:space="0" w:color="auto"/>
                                          </w:divBdr>
                                          <w:divsChild>
                                            <w:div w:id="910429216">
                                              <w:marLeft w:val="0"/>
                                              <w:marRight w:val="0"/>
                                              <w:marTop w:val="0"/>
                                              <w:marBottom w:val="0"/>
                                              <w:divBdr>
                                                <w:top w:val="none" w:sz="0" w:space="0" w:color="auto"/>
                                                <w:left w:val="none" w:sz="0" w:space="0" w:color="auto"/>
                                                <w:bottom w:val="none" w:sz="0" w:space="0" w:color="auto"/>
                                                <w:right w:val="none" w:sz="0" w:space="0" w:color="auto"/>
                                              </w:divBdr>
                                              <w:divsChild>
                                                <w:div w:id="18555301">
                                                  <w:marLeft w:val="0"/>
                                                  <w:marRight w:val="0"/>
                                                  <w:marTop w:val="0"/>
                                                  <w:marBottom w:val="0"/>
                                                  <w:divBdr>
                                                    <w:top w:val="none" w:sz="0" w:space="0" w:color="auto"/>
                                                    <w:left w:val="none" w:sz="0" w:space="0" w:color="auto"/>
                                                    <w:bottom w:val="none" w:sz="0" w:space="0" w:color="auto"/>
                                                    <w:right w:val="none" w:sz="0" w:space="0" w:color="auto"/>
                                                  </w:divBdr>
                                                  <w:divsChild>
                                                    <w:div w:id="616064798">
                                                      <w:marLeft w:val="0"/>
                                                      <w:marRight w:val="0"/>
                                                      <w:marTop w:val="0"/>
                                                      <w:marBottom w:val="0"/>
                                                      <w:divBdr>
                                                        <w:top w:val="none" w:sz="0" w:space="0" w:color="auto"/>
                                                        <w:left w:val="none" w:sz="0" w:space="0" w:color="auto"/>
                                                        <w:bottom w:val="none" w:sz="0" w:space="0" w:color="auto"/>
                                                        <w:right w:val="none" w:sz="0" w:space="0" w:color="auto"/>
                                                      </w:divBdr>
                                                      <w:divsChild>
                                                        <w:div w:id="1079056600">
                                                          <w:marLeft w:val="0"/>
                                                          <w:marRight w:val="0"/>
                                                          <w:marTop w:val="0"/>
                                                          <w:marBottom w:val="0"/>
                                                          <w:divBdr>
                                                            <w:top w:val="none" w:sz="0" w:space="0" w:color="auto"/>
                                                            <w:left w:val="none" w:sz="0" w:space="0" w:color="auto"/>
                                                            <w:bottom w:val="none" w:sz="0" w:space="0" w:color="auto"/>
                                                            <w:right w:val="none" w:sz="0" w:space="0" w:color="auto"/>
                                                          </w:divBdr>
                                                          <w:divsChild>
                                                            <w:div w:id="867253214">
                                                              <w:marLeft w:val="0"/>
                                                              <w:marRight w:val="0"/>
                                                              <w:marTop w:val="0"/>
                                                              <w:marBottom w:val="0"/>
                                                              <w:divBdr>
                                                                <w:top w:val="none" w:sz="0" w:space="0" w:color="auto"/>
                                                                <w:left w:val="none" w:sz="0" w:space="0" w:color="auto"/>
                                                                <w:bottom w:val="none" w:sz="0" w:space="0" w:color="auto"/>
                                                                <w:right w:val="none" w:sz="0" w:space="0" w:color="auto"/>
                                                              </w:divBdr>
                                                              <w:divsChild>
                                                                <w:div w:id="1437939510">
                                                                  <w:marLeft w:val="0"/>
                                                                  <w:marRight w:val="0"/>
                                                                  <w:marTop w:val="0"/>
                                                                  <w:marBottom w:val="0"/>
                                                                  <w:divBdr>
                                                                    <w:top w:val="none" w:sz="0" w:space="0" w:color="auto"/>
                                                                    <w:left w:val="none" w:sz="0" w:space="0" w:color="auto"/>
                                                                    <w:bottom w:val="none" w:sz="0" w:space="0" w:color="auto"/>
                                                                    <w:right w:val="none" w:sz="0" w:space="0" w:color="auto"/>
                                                                  </w:divBdr>
                                                                  <w:divsChild>
                                                                    <w:div w:id="899484888">
                                                                      <w:marLeft w:val="0"/>
                                                                      <w:marRight w:val="0"/>
                                                                      <w:marTop w:val="0"/>
                                                                      <w:marBottom w:val="0"/>
                                                                      <w:divBdr>
                                                                        <w:top w:val="none" w:sz="0" w:space="0" w:color="auto"/>
                                                                        <w:left w:val="none" w:sz="0" w:space="0" w:color="auto"/>
                                                                        <w:bottom w:val="none" w:sz="0" w:space="0" w:color="auto"/>
                                                                        <w:right w:val="none" w:sz="0" w:space="0" w:color="auto"/>
                                                                      </w:divBdr>
                                                                      <w:divsChild>
                                                                        <w:div w:id="959604271">
                                                                          <w:marLeft w:val="0"/>
                                                                          <w:marRight w:val="0"/>
                                                                          <w:marTop w:val="0"/>
                                                                          <w:marBottom w:val="0"/>
                                                                          <w:divBdr>
                                                                            <w:top w:val="none" w:sz="0" w:space="0" w:color="auto"/>
                                                                            <w:left w:val="none" w:sz="0" w:space="0" w:color="auto"/>
                                                                            <w:bottom w:val="none" w:sz="0" w:space="0" w:color="auto"/>
                                                                            <w:right w:val="none" w:sz="0" w:space="0" w:color="auto"/>
                                                                          </w:divBdr>
                                                                          <w:divsChild>
                                                                            <w:div w:id="1225218526">
                                                                              <w:marLeft w:val="0"/>
                                                                              <w:marRight w:val="0"/>
                                                                              <w:marTop w:val="0"/>
                                                                              <w:marBottom w:val="0"/>
                                                                              <w:divBdr>
                                                                                <w:top w:val="none" w:sz="0" w:space="0" w:color="auto"/>
                                                                                <w:left w:val="none" w:sz="0" w:space="0" w:color="auto"/>
                                                                                <w:bottom w:val="none" w:sz="0" w:space="0" w:color="auto"/>
                                                                                <w:right w:val="none" w:sz="0" w:space="0" w:color="auto"/>
                                                                              </w:divBdr>
                                                                              <w:divsChild>
                                                                                <w:div w:id="193327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511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C43B06-96EC-43BA-BBE5-6BB73FAD7E23}"/>
</file>

<file path=customXml/itemProps2.xml><?xml version="1.0" encoding="utf-8"?>
<ds:datastoreItem xmlns:ds="http://schemas.openxmlformats.org/officeDocument/2006/customXml" ds:itemID="{B07D67AA-DD20-4FB4-A9CF-8FD63105A96D}"/>
</file>

<file path=customXml/itemProps3.xml><?xml version="1.0" encoding="utf-8"?>
<ds:datastoreItem xmlns:ds="http://schemas.openxmlformats.org/officeDocument/2006/customXml" ds:itemID="{B579537B-82AC-4314-BA16-E6E2938EEC93}"/>
</file>

<file path=docProps/app.xml><?xml version="1.0" encoding="utf-8"?>
<Properties xmlns="http://schemas.openxmlformats.org/officeDocument/2006/extended-properties" xmlns:vt="http://schemas.openxmlformats.org/officeDocument/2006/docPropsVTypes">
  <Template>Normal</Template>
  <TotalTime>1</TotalTime>
  <Pages>4</Pages>
  <Words>1159</Words>
  <Characters>5799</Characters>
  <Application>Microsoft Office Word</Application>
  <DocSecurity>4</DocSecurity>
  <Lines>48</Lines>
  <Paragraphs>13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6945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עידן פז</cp:lastModifiedBy>
  <cp:revision>2</cp:revision>
  <dcterms:created xsi:type="dcterms:W3CDTF">2015-06-22T10:16:00Z</dcterms:created>
  <dcterms:modified xsi:type="dcterms:W3CDTF">2015-06-22T10:16:00Z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