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425" w:rsidRPr="007D3441" w:rsidRDefault="00E15425" w:rsidP="00E15425">
      <w:pPr>
        <w:ind w:left="5760" w:firstLine="720"/>
        <w:rPr>
          <w:rFonts w:cs="David"/>
          <w:rtl/>
        </w:rPr>
      </w:pPr>
      <w:bookmarkStart w:id="0" w:name="_GoBack"/>
      <w:bookmarkEnd w:id="0"/>
      <w:r w:rsidRPr="007D3441">
        <w:rPr>
          <w:rFonts w:cs="David" w:hint="cs"/>
          <w:rtl/>
        </w:rPr>
        <w:t xml:space="preserve">כ"ג בסיון </w:t>
      </w:r>
      <w:proofErr w:type="spellStart"/>
      <w:r w:rsidRPr="007D3441">
        <w:rPr>
          <w:rFonts w:cs="David" w:hint="cs"/>
          <w:rtl/>
        </w:rPr>
        <w:t>ה</w:t>
      </w:r>
      <w:r w:rsidRPr="007D3441">
        <w:rPr>
          <w:rFonts w:cs="David"/>
          <w:rtl/>
        </w:rPr>
        <w:t>תשע"</w:t>
      </w:r>
      <w:r w:rsidRPr="007D3441">
        <w:rPr>
          <w:rFonts w:cs="David" w:hint="cs"/>
          <w:rtl/>
        </w:rPr>
        <w:t>ה</w:t>
      </w:r>
      <w:proofErr w:type="spellEnd"/>
    </w:p>
    <w:p w:rsidR="00E15425" w:rsidRPr="007D3441" w:rsidRDefault="00E15425" w:rsidP="00E15425">
      <w:pPr>
        <w:rPr>
          <w:rFonts w:cs="David"/>
          <w:rtl/>
        </w:rPr>
      </w:pPr>
      <w:r w:rsidRPr="007D3441">
        <w:rPr>
          <w:rFonts w:cs="David" w:hint="cs"/>
          <w:rtl/>
        </w:rPr>
        <w:tab/>
      </w:r>
      <w:r w:rsidRPr="007D3441">
        <w:rPr>
          <w:rFonts w:cs="David" w:hint="cs"/>
          <w:rtl/>
        </w:rPr>
        <w:tab/>
      </w:r>
      <w:r w:rsidRPr="007D3441">
        <w:rPr>
          <w:rFonts w:cs="David" w:hint="cs"/>
          <w:rtl/>
        </w:rPr>
        <w:tab/>
      </w:r>
      <w:r w:rsidRPr="007D3441">
        <w:rPr>
          <w:rFonts w:cs="David" w:hint="cs"/>
          <w:rtl/>
        </w:rPr>
        <w:tab/>
      </w:r>
      <w:r w:rsidRPr="007D3441">
        <w:rPr>
          <w:rFonts w:cs="David" w:hint="cs"/>
          <w:rtl/>
        </w:rPr>
        <w:tab/>
      </w:r>
      <w:r w:rsidRPr="007D3441">
        <w:rPr>
          <w:rFonts w:cs="David" w:hint="cs"/>
          <w:rtl/>
        </w:rPr>
        <w:tab/>
      </w:r>
      <w:r w:rsidRPr="007D3441">
        <w:rPr>
          <w:rFonts w:cs="David" w:hint="cs"/>
          <w:rtl/>
        </w:rPr>
        <w:tab/>
      </w:r>
      <w:r w:rsidRPr="007D3441">
        <w:rPr>
          <w:rFonts w:cs="David" w:hint="cs"/>
          <w:rtl/>
        </w:rPr>
        <w:tab/>
      </w:r>
      <w:r w:rsidRPr="007D3441">
        <w:rPr>
          <w:rFonts w:cs="David" w:hint="cs"/>
          <w:rtl/>
        </w:rPr>
        <w:tab/>
        <w:t>10    ביוני       2015</w:t>
      </w:r>
    </w:p>
    <w:p w:rsidR="00E15425" w:rsidRPr="007D3441" w:rsidRDefault="00E15425" w:rsidP="00E15425">
      <w:pPr>
        <w:rPr>
          <w:rFonts w:cs="David"/>
          <w:rtl/>
        </w:rPr>
      </w:pPr>
    </w:p>
    <w:p w:rsidR="00E15425" w:rsidRPr="007D3441" w:rsidRDefault="00E15425" w:rsidP="00E15425">
      <w:pPr>
        <w:rPr>
          <w:rFonts w:cs="David"/>
          <w:rtl/>
        </w:rPr>
      </w:pPr>
      <w:r w:rsidRPr="007D3441">
        <w:rPr>
          <w:rFonts w:cs="David" w:hint="cs"/>
          <w:rtl/>
        </w:rPr>
        <w:t xml:space="preserve">לכבוד חברי ועדת חוקה, חוק ומשפט </w:t>
      </w:r>
    </w:p>
    <w:p w:rsidR="00E15425" w:rsidRPr="007D3441" w:rsidRDefault="00E15425" w:rsidP="00E15425">
      <w:pPr>
        <w:rPr>
          <w:rFonts w:cs="David"/>
          <w:rtl/>
        </w:rPr>
      </w:pPr>
      <w:r w:rsidRPr="007D3441">
        <w:rPr>
          <w:rFonts w:cs="David" w:hint="cs"/>
          <w:rtl/>
        </w:rPr>
        <w:t>מאת: הייעוץ המשפטי לוועדה</w:t>
      </w:r>
    </w:p>
    <w:p w:rsidR="00E15425" w:rsidRPr="007D3441" w:rsidRDefault="00E15425" w:rsidP="00E15425">
      <w:pPr>
        <w:rPr>
          <w:rFonts w:cs="David"/>
          <w:rtl/>
        </w:rPr>
      </w:pPr>
    </w:p>
    <w:p w:rsidR="00E15425" w:rsidRPr="007D3441" w:rsidRDefault="00E15425" w:rsidP="00E15425">
      <w:pPr>
        <w:rPr>
          <w:rFonts w:cs="David"/>
          <w:rtl/>
        </w:rPr>
      </w:pPr>
    </w:p>
    <w:p w:rsidR="00E15425" w:rsidRPr="007D3441" w:rsidRDefault="00E15425" w:rsidP="00E15425">
      <w:pPr>
        <w:spacing w:before="120" w:line="360" w:lineRule="auto"/>
        <w:jc w:val="center"/>
        <w:rPr>
          <w:rFonts w:cs="David"/>
          <w:b/>
          <w:bCs/>
          <w:u w:val="single"/>
          <w:rtl/>
        </w:rPr>
      </w:pPr>
      <w:r w:rsidRPr="007D3441">
        <w:rPr>
          <w:rFonts w:cs="David" w:hint="cs"/>
          <w:b/>
          <w:bCs/>
          <w:u w:val="single"/>
          <w:rtl/>
        </w:rPr>
        <w:t xml:space="preserve">תקנות הסנגוריה הציבורית (חובת תשלום של זכאים לייצוג) (הוראות שעה) (תיקון), </w:t>
      </w:r>
      <w:proofErr w:type="spellStart"/>
      <w:r w:rsidRPr="007D3441">
        <w:rPr>
          <w:rFonts w:cs="David" w:hint="cs"/>
          <w:b/>
          <w:bCs/>
          <w:u w:val="single"/>
          <w:rtl/>
        </w:rPr>
        <w:t>התשע"ה</w:t>
      </w:r>
      <w:proofErr w:type="spellEnd"/>
      <w:r w:rsidRPr="007D3441">
        <w:rPr>
          <w:rFonts w:cs="David" w:hint="cs"/>
          <w:b/>
          <w:bCs/>
          <w:u w:val="single"/>
          <w:rtl/>
        </w:rPr>
        <w:t xml:space="preserve"> -2015 </w:t>
      </w:r>
    </w:p>
    <w:p w:rsidR="00E15425" w:rsidRDefault="00E15425" w:rsidP="00E15425">
      <w:pPr>
        <w:jc w:val="center"/>
        <w:rPr>
          <w:rFonts w:cs="David"/>
          <w:b/>
          <w:bCs/>
          <w:u w:val="single"/>
        </w:rPr>
      </w:pPr>
      <w:r w:rsidRPr="007D3441">
        <w:rPr>
          <w:rFonts w:cs="David" w:hint="cs"/>
          <w:b/>
          <w:bCs/>
          <w:u w:val="single"/>
          <w:rtl/>
        </w:rPr>
        <w:t xml:space="preserve">מסמך רקע לקראת דיון הוועדה ביום </w:t>
      </w:r>
      <w:r>
        <w:rPr>
          <w:rFonts w:cs="David" w:hint="cs"/>
          <w:b/>
          <w:bCs/>
          <w:u w:val="single"/>
          <w:rtl/>
        </w:rPr>
        <w:t>15.6.15</w:t>
      </w:r>
    </w:p>
    <w:p w:rsidR="00E15425" w:rsidRPr="007D3441" w:rsidRDefault="00E15425" w:rsidP="00E15425">
      <w:pPr>
        <w:spacing w:before="120" w:line="360" w:lineRule="auto"/>
        <w:jc w:val="center"/>
        <w:rPr>
          <w:rFonts w:cs="David"/>
          <w:b/>
          <w:bCs/>
          <w:u w:val="single"/>
          <w:rtl/>
        </w:rPr>
      </w:pPr>
    </w:p>
    <w:p w:rsidR="00E15425" w:rsidRDefault="00E15425" w:rsidP="00E15425">
      <w:pPr>
        <w:spacing w:before="120" w:line="360" w:lineRule="auto"/>
        <w:jc w:val="both"/>
        <w:rPr>
          <w:rFonts w:cs="David"/>
          <w:rtl/>
        </w:rPr>
      </w:pPr>
      <w:r>
        <w:rPr>
          <w:rFonts w:cs="David" w:hint="cs"/>
          <w:rtl/>
        </w:rPr>
        <w:t xml:space="preserve">חוק הסנגוריה הציבורית, </w:t>
      </w:r>
      <w:proofErr w:type="spellStart"/>
      <w:r>
        <w:rPr>
          <w:rFonts w:cs="David" w:hint="cs"/>
          <w:rtl/>
        </w:rPr>
        <w:t>התשנ"ו</w:t>
      </w:r>
      <w:proofErr w:type="spellEnd"/>
      <w:r>
        <w:rPr>
          <w:rFonts w:cs="David" w:hint="cs"/>
          <w:rtl/>
        </w:rPr>
        <w:t xml:space="preserve"> </w:t>
      </w:r>
      <w:r>
        <w:rPr>
          <w:rFonts w:cs="David"/>
          <w:rtl/>
        </w:rPr>
        <w:t>–</w:t>
      </w:r>
      <w:r>
        <w:rPr>
          <w:rFonts w:cs="David" w:hint="cs"/>
          <w:rtl/>
        </w:rPr>
        <w:t xml:space="preserve"> 1995, קובע מיהם הזכאים לייצוג מטעם הסנגוריה הציבורית. רשימה זו התרחבה במהלך השנים וכוללת, בין היתר, נאשמים מחוסרי אמצעים (לפי אמות מידה שקבע שר המשפטים בהתייעצות עם שר הרווחה והשירותים החברתיים ובאישור ועדת חוקה, חוק ומשפט של הכנסת), נאשמים בעבירות בהן יתכן כי בית המשפט יטיל מאסר, נאשמים הלוקים בגופם או בנפשם, נאשמים שהוגשה נגדם בקשה למעצר עד תום ההליכים, קטינים, נאשמים שהוזמנו לדיון מקדמי, מי שבית המשפט קבע כי יש למנות לו סנגור ועוד.</w:t>
      </w:r>
    </w:p>
    <w:p w:rsidR="00E15425" w:rsidRDefault="00E15425" w:rsidP="0090093F">
      <w:pPr>
        <w:spacing w:before="120" w:line="360" w:lineRule="auto"/>
        <w:jc w:val="both"/>
        <w:rPr>
          <w:rFonts w:cs="David"/>
          <w:rtl/>
        </w:rPr>
      </w:pPr>
      <w:r>
        <w:rPr>
          <w:rFonts w:cs="David" w:hint="cs"/>
          <w:rtl/>
        </w:rPr>
        <w:t xml:space="preserve">ביום 18.7.11 אישרה ועדת חוקה, חוק ומשפט תיקון של </w:t>
      </w:r>
      <w:r w:rsidRPr="00E33638">
        <w:rPr>
          <w:rFonts w:cs="David" w:hint="cs"/>
          <w:rtl/>
        </w:rPr>
        <w:t>תקנות הסנגוריה הציבורית</w:t>
      </w:r>
      <w:r>
        <w:rPr>
          <w:rFonts w:cs="David" w:hint="cs"/>
          <w:rtl/>
        </w:rPr>
        <w:t xml:space="preserve"> </w:t>
      </w:r>
      <w:r w:rsidRPr="00E33638">
        <w:rPr>
          <w:rFonts w:cs="David" w:hint="cs"/>
          <w:rtl/>
        </w:rPr>
        <w:t>(חובת תשלום של זכאים לייצוג),</w:t>
      </w:r>
      <w:r>
        <w:rPr>
          <w:rFonts w:cs="David" w:hint="cs"/>
          <w:rtl/>
        </w:rPr>
        <w:t xml:space="preserve"> </w:t>
      </w:r>
      <w:proofErr w:type="spellStart"/>
      <w:r w:rsidRPr="00E33638">
        <w:rPr>
          <w:rFonts w:cs="David" w:hint="cs"/>
          <w:rtl/>
        </w:rPr>
        <w:t>התש"ס</w:t>
      </w:r>
      <w:proofErr w:type="spellEnd"/>
      <w:r w:rsidRPr="00E33638">
        <w:rPr>
          <w:rFonts w:cs="David"/>
          <w:rtl/>
        </w:rPr>
        <w:t>–</w:t>
      </w:r>
      <w:r w:rsidRPr="00E33638">
        <w:rPr>
          <w:rFonts w:cs="David" w:hint="cs"/>
          <w:rtl/>
        </w:rPr>
        <w:t xml:space="preserve"> 2000</w:t>
      </w:r>
      <w:r>
        <w:rPr>
          <w:rFonts w:cs="David" w:hint="cs"/>
          <w:rtl/>
        </w:rPr>
        <w:t>,</w:t>
      </w:r>
      <w:r w:rsidRPr="00414D4F">
        <w:rPr>
          <w:rFonts w:cs="David" w:hint="cs"/>
          <w:rtl/>
        </w:rPr>
        <w:t xml:space="preserve"> </w:t>
      </w:r>
      <w:r>
        <w:rPr>
          <w:rFonts w:cs="David" w:hint="cs"/>
          <w:rtl/>
        </w:rPr>
        <w:t>(להלן – התקנות) בהוראת שעה לשנתיים, אשר הגדילה את הסכומים שניתן לגבות מנאשמים מ 125 או 312 ₪ (תלוי בגובה ה</w:t>
      </w:r>
      <w:r w:rsidR="0090093F">
        <w:rPr>
          <w:rFonts w:cs="David" w:hint="cs"/>
          <w:rtl/>
        </w:rPr>
        <w:t>הכנסה</w:t>
      </w:r>
      <w:r>
        <w:rPr>
          <w:rFonts w:cs="David" w:hint="cs"/>
          <w:rtl/>
        </w:rPr>
        <w:t>) לסכומים שלהלן :</w:t>
      </w:r>
    </w:p>
    <w:p w:rsidR="00E15425" w:rsidRPr="00AA75AC" w:rsidRDefault="00E15425" w:rsidP="00E15425">
      <w:pPr>
        <w:numPr>
          <w:ilvl w:val="0"/>
          <w:numId w:val="1"/>
        </w:numPr>
        <w:spacing w:before="120" w:line="360" w:lineRule="auto"/>
        <w:jc w:val="both"/>
        <w:rPr>
          <w:rFonts w:cs="David"/>
        </w:rPr>
      </w:pPr>
      <w:r w:rsidRPr="00AA75AC">
        <w:rPr>
          <w:rFonts w:cs="David" w:hint="cs"/>
          <w:rtl/>
        </w:rPr>
        <w:t>נאשם שעניינו נידון בבית המשפט המחוזי- 1</w:t>
      </w:r>
      <w:r>
        <w:rPr>
          <w:rFonts w:cs="David" w:hint="cs"/>
          <w:rtl/>
        </w:rPr>
        <w:t>2</w:t>
      </w:r>
      <w:r w:rsidRPr="00AA75AC">
        <w:rPr>
          <w:rFonts w:cs="David" w:hint="cs"/>
          <w:rtl/>
        </w:rPr>
        <w:t>00 ₪</w:t>
      </w:r>
      <w:r>
        <w:rPr>
          <w:rFonts w:cs="David" w:hint="cs"/>
          <w:rtl/>
        </w:rPr>
        <w:t xml:space="preserve"> (נכון להיום- 1250 ₪).</w:t>
      </w:r>
    </w:p>
    <w:p w:rsidR="00E15425" w:rsidRPr="00AA75AC" w:rsidRDefault="00E15425" w:rsidP="00E15425">
      <w:pPr>
        <w:numPr>
          <w:ilvl w:val="0"/>
          <w:numId w:val="1"/>
        </w:numPr>
        <w:spacing w:before="120" w:line="360" w:lineRule="auto"/>
        <w:jc w:val="both"/>
        <w:rPr>
          <w:rFonts w:cs="David"/>
        </w:rPr>
      </w:pPr>
      <w:r w:rsidRPr="00AA75AC">
        <w:rPr>
          <w:rFonts w:cs="David" w:hint="cs"/>
          <w:rtl/>
        </w:rPr>
        <w:t>נאשם שעניינו מתנהל בפני בית משפט אחר- 300 ₪</w:t>
      </w:r>
      <w:r>
        <w:rPr>
          <w:rFonts w:cs="David" w:hint="cs"/>
          <w:rtl/>
        </w:rPr>
        <w:t xml:space="preserve"> (313 ₪)</w:t>
      </w:r>
      <w:r w:rsidRPr="00AA75AC">
        <w:rPr>
          <w:rFonts w:cs="David" w:hint="cs"/>
          <w:rtl/>
        </w:rPr>
        <w:t>, ואם פרקליט הגיש את כתב האישום- 600 ₪</w:t>
      </w:r>
      <w:r>
        <w:rPr>
          <w:rFonts w:cs="David" w:hint="cs"/>
          <w:rtl/>
        </w:rPr>
        <w:t xml:space="preserve"> (625 ₪)</w:t>
      </w:r>
      <w:r w:rsidRPr="00AA75AC">
        <w:rPr>
          <w:rFonts w:cs="David" w:hint="cs"/>
          <w:rtl/>
        </w:rPr>
        <w:t>.</w:t>
      </w:r>
    </w:p>
    <w:p w:rsidR="00E15425" w:rsidRPr="00AA75AC" w:rsidRDefault="00E15425" w:rsidP="00E15425">
      <w:pPr>
        <w:numPr>
          <w:ilvl w:val="0"/>
          <w:numId w:val="1"/>
        </w:numPr>
        <w:spacing w:before="120" w:line="360" w:lineRule="auto"/>
        <w:jc w:val="both"/>
        <w:rPr>
          <w:rFonts w:cs="David"/>
        </w:rPr>
      </w:pPr>
      <w:r w:rsidRPr="00AA75AC">
        <w:rPr>
          <w:rFonts w:cs="David" w:hint="cs"/>
          <w:rtl/>
        </w:rPr>
        <w:t xml:space="preserve">מערער שעניינו נדון בביהמ"ש העליון- </w:t>
      </w:r>
      <w:r>
        <w:rPr>
          <w:rFonts w:cs="David" w:hint="cs"/>
          <w:rtl/>
        </w:rPr>
        <w:t>1200</w:t>
      </w:r>
      <w:r w:rsidRPr="00AA75AC">
        <w:rPr>
          <w:rFonts w:cs="David" w:hint="cs"/>
          <w:rtl/>
        </w:rPr>
        <w:t xml:space="preserve"> ₪</w:t>
      </w:r>
      <w:r>
        <w:rPr>
          <w:rFonts w:cs="David" w:hint="cs"/>
          <w:rtl/>
        </w:rPr>
        <w:t xml:space="preserve"> (1250 ₪).</w:t>
      </w:r>
    </w:p>
    <w:p w:rsidR="00E15425" w:rsidRDefault="00E15425" w:rsidP="00E15425">
      <w:pPr>
        <w:numPr>
          <w:ilvl w:val="0"/>
          <w:numId w:val="1"/>
        </w:numPr>
        <w:spacing w:before="120" w:line="360" w:lineRule="auto"/>
        <w:jc w:val="both"/>
        <w:rPr>
          <w:rFonts w:cs="David"/>
        </w:rPr>
      </w:pPr>
      <w:r w:rsidRPr="00AA75AC">
        <w:rPr>
          <w:rFonts w:cs="David" w:hint="cs"/>
          <w:rtl/>
        </w:rPr>
        <w:t>מערער שעניינו נדון בבית המשפט המחוזי- 300 ₪</w:t>
      </w:r>
      <w:r>
        <w:rPr>
          <w:rFonts w:cs="David" w:hint="cs"/>
          <w:rtl/>
        </w:rPr>
        <w:t>( 313 ש"ח)</w:t>
      </w:r>
      <w:r w:rsidRPr="00AA75AC">
        <w:rPr>
          <w:rFonts w:cs="David" w:hint="cs"/>
          <w:rtl/>
        </w:rPr>
        <w:t>.</w:t>
      </w:r>
    </w:p>
    <w:p w:rsidR="00E15425" w:rsidRDefault="00E15425" w:rsidP="00E15425">
      <w:pPr>
        <w:spacing w:before="120" w:line="360" w:lineRule="auto"/>
        <w:jc w:val="both"/>
        <w:rPr>
          <w:rFonts w:cs="David"/>
          <w:rtl/>
        </w:rPr>
      </w:pPr>
    </w:p>
    <w:p w:rsidR="00E15425" w:rsidRPr="00A67E98" w:rsidRDefault="0090093F" w:rsidP="005064E1">
      <w:pPr>
        <w:spacing w:before="120" w:line="360" w:lineRule="auto"/>
        <w:jc w:val="both"/>
        <w:rPr>
          <w:rFonts w:cs="David"/>
          <w:rtl/>
        </w:rPr>
      </w:pPr>
      <w:r>
        <w:rPr>
          <w:rFonts w:cs="David" w:hint="cs"/>
          <w:rtl/>
        </w:rPr>
        <w:t xml:space="preserve">בהתאם לתקנות, חובת התשלום חלה על כלל הנאשמים, </w:t>
      </w:r>
      <w:r w:rsidRPr="00A67E98">
        <w:rPr>
          <w:rFonts w:cs="David" w:hint="cs"/>
          <w:rtl/>
        </w:rPr>
        <w:t xml:space="preserve">ללא הבחנה לעניין העבירה המיוחסת להם או למצבם הכלכלי, היינו החובה חלה גם על מחוסרי אמצעים, </w:t>
      </w:r>
      <w:r>
        <w:rPr>
          <w:rFonts w:cs="David" w:hint="cs"/>
          <w:rtl/>
        </w:rPr>
        <w:t>עצורים, קטינים ו</w:t>
      </w:r>
      <w:r w:rsidRPr="00A67E98">
        <w:rPr>
          <w:rFonts w:cs="David" w:hint="cs"/>
          <w:rtl/>
        </w:rPr>
        <w:t>על בעלי לקויות פיסיות או נפשיות</w:t>
      </w:r>
      <w:r>
        <w:rPr>
          <w:rFonts w:cs="David" w:hint="cs"/>
          <w:rtl/>
        </w:rPr>
        <w:t>,</w:t>
      </w:r>
      <w:r w:rsidRPr="00A67E98">
        <w:rPr>
          <w:rFonts w:cs="David" w:hint="cs"/>
          <w:rtl/>
        </w:rPr>
        <w:t xml:space="preserve"> </w:t>
      </w:r>
      <w:r>
        <w:rPr>
          <w:rFonts w:cs="David" w:hint="cs"/>
          <w:rtl/>
        </w:rPr>
        <w:t xml:space="preserve">בניגוד לתקנות הישנות לפיהן </w:t>
      </w:r>
      <w:r w:rsidR="005064E1">
        <w:rPr>
          <w:rFonts w:cs="David" w:hint="cs"/>
          <w:rtl/>
        </w:rPr>
        <w:t xml:space="preserve">לא הוטלה אגרה </w:t>
      </w:r>
      <w:r w:rsidR="00E15425">
        <w:rPr>
          <w:rFonts w:cs="David" w:hint="cs"/>
          <w:rtl/>
        </w:rPr>
        <w:t xml:space="preserve">על קטינים ועל </w:t>
      </w:r>
      <w:r w:rsidR="005064E1">
        <w:rPr>
          <w:rFonts w:cs="David" w:hint="cs"/>
          <w:rtl/>
        </w:rPr>
        <w:t>עצורים ואסירים.</w:t>
      </w:r>
      <w:r w:rsidR="00E15425">
        <w:rPr>
          <w:rFonts w:cs="David" w:hint="cs"/>
          <w:rtl/>
        </w:rPr>
        <w:t xml:space="preserve"> יחד עם זאת, </w:t>
      </w:r>
      <w:r w:rsidR="005064E1">
        <w:rPr>
          <w:rFonts w:cs="David" w:hint="cs"/>
          <w:rtl/>
        </w:rPr>
        <w:t>שונתה ה</w:t>
      </w:r>
      <w:r w:rsidR="00E15425">
        <w:rPr>
          <w:rFonts w:cs="David" w:hint="cs"/>
          <w:rtl/>
        </w:rPr>
        <w:t xml:space="preserve">הוראה </w:t>
      </w:r>
      <w:r w:rsidR="005064E1">
        <w:rPr>
          <w:rFonts w:cs="David" w:hint="cs"/>
          <w:rtl/>
        </w:rPr>
        <w:t xml:space="preserve">הקודמת </w:t>
      </w:r>
      <w:r w:rsidR="00E15425">
        <w:rPr>
          <w:rFonts w:cs="David" w:hint="cs"/>
          <w:rtl/>
        </w:rPr>
        <w:t>לפיה לנאשם ימונה סניגור רק לאחר ביצוע התשלום, ונקבע</w:t>
      </w:r>
      <w:r w:rsidR="005064E1">
        <w:rPr>
          <w:rFonts w:cs="David" w:hint="cs"/>
          <w:rtl/>
        </w:rPr>
        <w:t xml:space="preserve"> </w:t>
      </w:r>
      <w:r w:rsidR="00E15425">
        <w:rPr>
          <w:rFonts w:cs="David" w:hint="cs"/>
          <w:rtl/>
        </w:rPr>
        <w:t xml:space="preserve"> כי לא יהיה באי תשלום כדי לפגוע בייצוג של נאשם או כדי להצדיק עיכוב במועדי הדיונים בבית המשפט.</w:t>
      </w:r>
      <w:r w:rsidR="005064E1">
        <w:rPr>
          <w:rFonts w:cs="David" w:hint="cs"/>
          <w:rtl/>
        </w:rPr>
        <w:t xml:space="preserve"> עוד</w:t>
      </w:r>
      <w:r>
        <w:rPr>
          <w:rFonts w:cs="David" w:hint="cs"/>
          <w:rtl/>
        </w:rPr>
        <w:t xml:space="preserve"> </w:t>
      </w:r>
      <w:r w:rsidR="00E15425" w:rsidRPr="00A67E98">
        <w:rPr>
          <w:rFonts w:cs="David" w:hint="cs"/>
          <w:rtl/>
        </w:rPr>
        <w:t xml:space="preserve">נקבע בתקנות כי הסנגור הציבורי הארצי יהא רשאי לקבוע הנחיות לעניין פטור מלא או חלקי </w:t>
      </w:r>
      <w:r w:rsidR="005064E1">
        <w:rPr>
          <w:rFonts w:cs="David" w:hint="cs"/>
          <w:rtl/>
        </w:rPr>
        <w:t xml:space="preserve">ולעניין </w:t>
      </w:r>
      <w:r w:rsidR="00E15425" w:rsidRPr="00A67E98">
        <w:rPr>
          <w:rFonts w:cs="David" w:hint="cs"/>
          <w:rtl/>
        </w:rPr>
        <w:t>דחיית תשלום או פריסתו. פטור</w:t>
      </w:r>
      <w:r>
        <w:rPr>
          <w:rFonts w:cs="David" w:hint="cs"/>
          <w:rtl/>
        </w:rPr>
        <w:t xml:space="preserve">, לפי התקנות, </w:t>
      </w:r>
      <w:r w:rsidR="00E15425" w:rsidRPr="00A67E98">
        <w:rPr>
          <w:rFonts w:cs="David" w:hint="cs"/>
          <w:rtl/>
        </w:rPr>
        <w:t xml:space="preserve"> יינתן רק במקרים חריגים כאשר בהתחשב בהכנסותיו של הנאשם, ברכושו ובחובותיו המוכחים או בהתחשב בגילו, מצבו המשפחתי או בריאותו, אין ביכולת הנאשם לשלם. </w:t>
      </w:r>
      <w:r w:rsidR="00E15425">
        <w:rPr>
          <w:rFonts w:cs="David" w:hint="cs"/>
          <w:rtl/>
        </w:rPr>
        <w:t>ב</w:t>
      </w:r>
      <w:r w:rsidR="00E15425" w:rsidRPr="00A67E98">
        <w:rPr>
          <w:rFonts w:cs="David" w:hint="cs"/>
          <w:rtl/>
        </w:rPr>
        <w:t xml:space="preserve">סניגוריה </w:t>
      </w:r>
      <w:r w:rsidR="00E15425">
        <w:rPr>
          <w:rFonts w:cs="David" w:hint="cs"/>
          <w:rtl/>
        </w:rPr>
        <w:t xml:space="preserve">הציבורית </w:t>
      </w:r>
      <w:r w:rsidR="00E15425">
        <w:rPr>
          <w:rFonts w:cs="David" w:hint="cs"/>
          <w:rtl/>
        </w:rPr>
        <w:lastRenderedPageBreak/>
        <w:t>גובש נוה</w:t>
      </w:r>
      <w:r w:rsidR="00E15425" w:rsidRPr="00A67E98">
        <w:rPr>
          <w:rFonts w:cs="David" w:hint="cs"/>
          <w:rtl/>
        </w:rPr>
        <w:t xml:space="preserve">ל לגביית אגרות ובקשות לפטור המבנה את שיקול הדעת לעניין </w:t>
      </w:r>
      <w:r w:rsidR="00E15425">
        <w:rPr>
          <w:rFonts w:cs="David" w:hint="cs"/>
          <w:rtl/>
        </w:rPr>
        <w:t>זה</w:t>
      </w:r>
      <w:r w:rsidR="00E15425" w:rsidRPr="00A67E98">
        <w:rPr>
          <w:rFonts w:cs="David" w:hint="cs"/>
          <w:rtl/>
        </w:rPr>
        <w:t xml:space="preserve">. </w:t>
      </w:r>
      <w:r w:rsidR="00E15425">
        <w:rPr>
          <w:rFonts w:cs="David" w:hint="cs"/>
          <w:rtl/>
        </w:rPr>
        <w:t xml:space="preserve"> בהתאם ל</w:t>
      </w:r>
      <w:r>
        <w:rPr>
          <w:rFonts w:cs="David" w:hint="cs"/>
          <w:rtl/>
        </w:rPr>
        <w:t>תקנות</w:t>
      </w:r>
      <w:r w:rsidR="00E15425">
        <w:rPr>
          <w:rFonts w:cs="David" w:hint="cs"/>
          <w:rtl/>
        </w:rPr>
        <w:t xml:space="preserve">, </w:t>
      </w:r>
      <w:r w:rsidR="00E15425" w:rsidRPr="00A67E98">
        <w:rPr>
          <w:rFonts w:cs="David" w:hint="cs"/>
          <w:rtl/>
        </w:rPr>
        <w:t>הפטור יכול להינתן על ידי הסניגור</w:t>
      </w:r>
      <w:r w:rsidR="005064E1">
        <w:rPr>
          <w:rFonts w:cs="David" w:hint="cs"/>
          <w:rtl/>
        </w:rPr>
        <w:t>ים</w:t>
      </w:r>
      <w:r w:rsidR="00E15425" w:rsidRPr="00A67E98">
        <w:rPr>
          <w:rFonts w:cs="David" w:hint="cs"/>
          <w:rtl/>
        </w:rPr>
        <w:t xml:space="preserve"> המחוזי</w:t>
      </w:r>
      <w:r w:rsidR="005064E1">
        <w:rPr>
          <w:rFonts w:cs="David" w:hint="cs"/>
          <w:rtl/>
        </w:rPr>
        <w:t>ים</w:t>
      </w:r>
      <w:r w:rsidR="00E15425" w:rsidRPr="00A67E98">
        <w:rPr>
          <w:rFonts w:cs="David" w:hint="cs"/>
          <w:rtl/>
        </w:rPr>
        <w:t>.</w:t>
      </w:r>
    </w:p>
    <w:p w:rsidR="00E15425" w:rsidRDefault="005064E1" w:rsidP="00E15425">
      <w:pPr>
        <w:spacing w:before="120" w:line="360" w:lineRule="auto"/>
        <w:jc w:val="both"/>
        <w:rPr>
          <w:rFonts w:cs="David"/>
          <w:rtl/>
        </w:rPr>
      </w:pPr>
      <w:r>
        <w:rPr>
          <w:rFonts w:cs="David" w:hint="cs"/>
          <w:rtl/>
        </w:rPr>
        <w:t>בנוסף,</w:t>
      </w:r>
      <w:r w:rsidR="00E15425">
        <w:rPr>
          <w:rFonts w:cs="David" w:hint="cs"/>
          <w:rtl/>
        </w:rPr>
        <w:t xml:space="preserve"> נקבע בתקנות כי גביית אגרות שלא שולמו תיעשה על ידי המרכז לגביית קנסות וכי הסנגוריה תגיש מדי שנה דיווח לוועדת החוקה, חוק ומשפט על יישום התקנות. </w:t>
      </w:r>
    </w:p>
    <w:p w:rsidR="00E15425" w:rsidRDefault="00E15425" w:rsidP="00E15425">
      <w:pPr>
        <w:spacing w:before="120" w:line="360" w:lineRule="auto"/>
        <w:jc w:val="both"/>
        <w:rPr>
          <w:rFonts w:cs="David"/>
          <w:rtl/>
        </w:rPr>
      </w:pPr>
      <w:r>
        <w:rPr>
          <w:rFonts w:cs="David" w:hint="cs"/>
          <w:rtl/>
        </w:rPr>
        <w:t xml:space="preserve">מהדיווחים שהועברו לוועדה עולה כי  בשנת 2013 הסכום הכולל של חיוב האגרות עמד על 11,886,043 ₪ וכי סך הגבייה, לאחר העברת החובות למרכז לגביית קנסות ואגרות, עמד על 2,700,000 ₪. פטורים והקלות ניתנו ל 5513 לקוחות. </w:t>
      </w:r>
    </w:p>
    <w:p w:rsidR="00E15425" w:rsidRDefault="00E15425" w:rsidP="00E15425">
      <w:pPr>
        <w:spacing w:before="120" w:line="360" w:lineRule="auto"/>
        <w:jc w:val="both"/>
        <w:rPr>
          <w:rFonts w:cs="David"/>
          <w:rtl/>
        </w:rPr>
      </w:pPr>
      <w:r>
        <w:rPr>
          <w:rFonts w:cs="David" w:hint="cs"/>
          <w:rtl/>
        </w:rPr>
        <w:t>בשנת 2014 עמד הסכום הכולל של חיוב האגרות על 14,732,660 ₪ וסך הגבייה, לאחר העברת החובות למרכז לגביית קנסות, עמד על 3,200,000 ₪. פטורים והקלות ניתנו ל 7140 לקוחות.</w:t>
      </w:r>
    </w:p>
    <w:p w:rsidR="00E15425" w:rsidRDefault="00E15425" w:rsidP="00E15425">
      <w:pPr>
        <w:spacing w:before="120" w:line="360" w:lineRule="auto"/>
        <w:jc w:val="both"/>
        <w:rPr>
          <w:rFonts w:cs="David"/>
          <w:rtl/>
        </w:rPr>
      </w:pPr>
      <w:r>
        <w:rPr>
          <w:rFonts w:cs="David" w:hint="cs"/>
          <w:rtl/>
        </w:rPr>
        <w:t>ישנן מספר קבוצות כלפיהן לא ננקטים הליכי גבייה ואלו הם קטינים, אסירים וזרים שאינם בעלי ת.ז. ישראלית/ פלסטינית.</w:t>
      </w:r>
    </w:p>
    <w:p w:rsidR="00E15425" w:rsidRDefault="00E15425" w:rsidP="00E15425">
      <w:pPr>
        <w:spacing w:before="120" w:line="360" w:lineRule="auto"/>
        <w:jc w:val="both"/>
        <w:rPr>
          <w:rFonts w:cs="David"/>
          <w:b/>
          <w:bCs/>
          <w:rtl/>
        </w:rPr>
      </w:pPr>
      <w:bookmarkStart w:id="1" w:name="OLE_LINK3"/>
      <w:bookmarkStart w:id="2" w:name="OLE_LINK4"/>
    </w:p>
    <w:p w:rsidR="00E15425" w:rsidRDefault="00E15425" w:rsidP="00E15425">
      <w:pPr>
        <w:spacing w:before="120" w:line="360" w:lineRule="auto"/>
        <w:jc w:val="both"/>
        <w:rPr>
          <w:rFonts w:cs="David"/>
          <w:b/>
          <w:bCs/>
          <w:rtl/>
        </w:rPr>
      </w:pPr>
      <w:r>
        <w:rPr>
          <w:rFonts w:cs="David" w:hint="cs"/>
          <w:b/>
          <w:bCs/>
          <w:rtl/>
        </w:rPr>
        <w:t>התיקון המוצע- הארכת הוראת השעה</w:t>
      </w:r>
      <w:bookmarkEnd w:id="1"/>
      <w:bookmarkEnd w:id="2"/>
      <w:r>
        <w:rPr>
          <w:rFonts w:cs="David" w:hint="cs"/>
          <w:b/>
          <w:bCs/>
          <w:rtl/>
        </w:rPr>
        <w:t xml:space="preserve"> בשנה</w:t>
      </w:r>
      <w:r w:rsidR="001A094B">
        <w:rPr>
          <w:rFonts w:cs="David" w:hint="cs"/>
          <w:b/>
          <w:bCs/>
          <w:rtl/>
        </w:rPr>
        <w:t xml:space="preserve"> </w:t>
      </w:r>
    </w:p>
    <w:p w:rsidR="00E15425" w:rsidRPr="00B82E70" w:rsidRDefault="00E15425" w:rsidP="0067711D">
      <w:pPr>
        <w:spacing w:before="120" w:line="360" w:lineRule="auto"/>
        <w:jc w:val="both"/>
        <w:rPr>
          <w:rFonts w:cs="David"/>
          <w:rtl/>
        </w:rPr>
      </w:pPr>
      <w:r>
        <w:rPr>
          <w:rFonts w:cs="David" w:hint="cs"/>
          <w:rtl/>
        </w:rPr>
        <w:t>התקנות אשר נכנסו לתוקף באפריל 2012</w:t>
      </w:r>
      <w:r w:rsidR="001A094B">
        <w:rPr>
          <w:rFonts w:cs="David" w:hint="cs"/>
          <w:rtl/>
        </w:rPr>
        <w:t>,</w:t>
      </w:r>
      <w:r>
        <w:rPr>
          <w:rFonts w:cs="David" w:hint="cs"/>
          <w:rtl/>
        </w:rPr>
        <w:t xml:space="preserve"> נקבעו כהוראת שעה לשנתיים. ב- 23.4.14 הוארך תוקף התקנות עד ה- 1.6.15 במטרה לאפשר למשרד המשפטים ללמוד מיישום התקנות במהלך שנה נוספת ו</w:t>
      </w:r>
      <w:r w:rsidR="001A094B">
        <w:rPr>
          <w:rFonts w:cs="David" w:hint="cs"/>
          <w:rtl/>
        </w:rPr>
        <w:t>להפיק לקחים</w:t>
      </w:r>
      <w:r>
        <w:rPr>
          <w:rFonts w:cs="David" w:hint="cs"/>
          <w:rtl/>
        </w:rPr>
        <w:t xml:space="preserve">. נוכח התפזרות הכנסת ומינוי שרת משפטים חדשה, לא עלה בידי משרד המשפטים להשלים את גיבוש הוראת הקבע, ועל כן מוצע כעת להאריך את תוקף הוראת השעה בשנה נוספת </w:t>
      </w:r>
      <w:r w:rsidR="001A094B">
        <w:rPr>
          <w:rFonts w:cs="David" w:hint="cs"/>
          <w:rtl/>
        </w:rPr>
        <w:t xml:space="preserve">במהלכה </w:t>
      </w:r>
      <w:r>
        <w:rPr>
          <w:rFonts w:cs="David" w:hint="cs"/>
          <w:rtl/>
        </w:rPr>
        <w:t>יגובש נוסח תקנות סופי אשר יובא לאישור הוועדה כהורא</w:t>
      </w:r>
      <w:r w:rsidR="0067711D">
        <w:rPr>
          <w:rFonts w:cs="David" w:hint="cs"/>
          <w:rtl/>
        </w:rPr>
        <w:t>ה</w:t>
      </w:r>
      <w:r w:rsidR="001A094B">
        <w:rPr>
          <w:rFonts w:cs="David" w:hint="cs"/>
          <w:rtl/>
        </w:rPr>
        <w:t xml:space="preserve"> קב</w:t>
      </w:r>
      <w:r w:rsidR="0067711D">
        <w:rPr>
          <w:rFonts w:cs="David" w:hint="cs"/>
          <w:rtl/>
        </w:rPr>
        <w:t>ועה</w:t>
      </w:r>
      <w:r>
        <w:rPr>
          <w:rFonts w:cs="David" w:hint="cs"/>
          <w:rtl/>
        </w:rPr>
        <w:t xml:space="preserve">. </w:t>
      </w:r>
    </w:p>
    <w:p w:rsidR="00E15425" w:rsidRDefault="00E15425" w:rsidP="00E15425">
      <w:pPr>
        <w:spacing w:before="120" w:line="360" w:lineRule="auto"/>
        <w:jc w:val="both"/>
        <w:rPr>
          <w:rFonts w:cs="David"/>
          <w:b/>
          <w:bCs/>
          <w:rtl/>
        </w:rPr>
      </w:pPr>
    </w:p>
    <w:p w:rsidR="00E15425" w:rsidRDefault="00E15425" w:rsidP="00E15425">
      <w:pPr>
        <w:spacing w:before="120" w:line="360" w:lineRule="auto"/>
        <w:jc w:val="both"/>
        <w:rPr>
          <w:rFonts w:cs="David"/>
          <w:b/>
          <w:bCs/>
          <w:rtl/>
        </w:rPr>
      </w:pPr>
    </w:p>
    <w:p w:rsidR="00E15425" w:rsidRPr="001E53A6" w:rsidRDefault="00E15425" w:rsidP="00E15425">
      <w:pPr>
        <w:spacing w:before="120" w:line="360" w:lineRule="auto"/>
        <w:jc w:val="both"/>
        <w:rPr>
          <w:rFonts w:cs="David"/>
          <w:b/>
          <w:bCs/>
        </w:rPr>
      </w:pPr>
      <w:r w:rsidRPr="001E53A6">
        <w:rPr>
          <w:rFonts w:cs="David" w:hint="cs"/>
          <w:b/>
          <w:bCs/>
          <w:rtl/>
        </w:rPr>
        <w:t>סוגיות לדיון</w:t>
      </w:r>
    </w:p>
    <w:p w:rsidR="00E15425" w:rsidRDefault="00E15425" w:rsidP="00E15425">
      <w:pPr>
        <w:numPr>
          <w:ilvl w:val="0"/>
          <w:numId w:val="1"/>
        </w:numPr>
        <w:spacing w:before="120" w:line="360" w:lineRule="auto"/>
        <w:jc w:val="both"/>
        <w:rPr>
          <w:rFonts w:cs="David"/>
        </w:rPr>
      </w:pPr>
      <w:r>
        <w:rPr>
          <w:rFonts w:cs="David" w:hint="cs"/>
          <w:rtl/>
        </w:rPr>
        <w:t>מהדיווח של הסניגוריה עולה קושי בגביית החובות. פרט לכך, האם נתקלו בקשיים נוספים ביישום התקנות? אלו לקחים הופקו?</w:t>
      </w:r>
    </w:p>
    <w:p w:rsidR="00E15425" w:rsidRDefault="00E15425" w:rsidP="00E15425">
      <w:pPr>
        <w:numPr>
          <w:ilvl w:val="0"/>
          <w:numId w:val="1"/>
        </w:numPr>
        <w:spacing w:before="120" w:line="360" w:lineRule="auto"/>
        <w:jc w:val="both"/>
        <w:rPr>
          <w:rFonts w:cs="David"/>
        </w:rPr>
      </w:pPr>
      <w:r>
        <w:rPr>
          <w:rFonts w:cs="David" w:hint="cs"/>
          <w:rtl/>
        </w:rPr>
        <w:t>מהם הקשיים בהם נתקלים בגביית החוב במרכז לגביית קנסות?</w:t>
      </w:r>
    </w:p>
    <w:p w:rsidR="00E15425" w:rsidRDefault="00E15425" w:rsidP="00E15425">
      <w:pPr>
        <w:numPr>
          <w:ilvl w:val="0"/>
          <w:numId w:val="1"/>
        </w:numPr>
        <w:spacing w:before="120" w:line="360" w:lineRule="auto"/>
        <w:jc w:val="both"/>
        <w:rPr>
          <w:rFonts w:cs="David"/>
        </w:rPr>
      </w:pPr>
      <w:r>
        <w:rPr>
          <w:rFonts w:cs="David" w:hint="cs"/>
          <w:rtl/>
        </w:rPr>
        <w:t>מתי מועבר חוב לגביית המרכז לגביית קנסות והאם החייב מקבל התראה בטרם העברתו למרכז כאמור ובטרם החוב מתחיל לצבור ריבית פיגורים?</w:t>
      </w:r>
    </w:p>
    <w:p w:rsidR="00E15425" w:rsidRPr="00125E26" w:rsidRDefault="00E15425" w:rsidP="00C834FA">
      <w:pPr>
        <w:numPr>
          <w:ilvl w:val="0"/>
          <w:numId w:val="1"/>
        </w:numPr>
        <w:spacing w:before="120" w:line="360" w:lineRule="auto"/>
        <w:jc w:val="both"/>
        <w:rPr>
          <w:rFonts w:cs="David"/>
        </w:rPr>
      </w:pPr>
      <w:r w:rsidRPr="00125E26">
        <w:rPr>
          <w:rFonts w:cs="David" w:hint="cs"/>
          <w:rtl/>
        </w:rPr>
        <w:t>מוצע לדון ב</w:t>
      </w:r>
      <w:r w:rsidR="00C834FA">
        <w:rPr>
          <w:rFonts w:cs="David" w:hint="cs"/>
          <w:rtl/>
        </w:rPr>
        <w:t xml:space="preserve">דרך </w:t>
      </w:r>
      <w:r w:rsidRPr="00125E26">
        <w:rPr>
          <w:rFonts w:cs="David" w:hint="cs"/>
          <w:rtl/>
        </w:rPr>
        <w:t xml:space="preserve">מתן פטור </w:t>
      </w:r>
      <w:r>
        <w:rPr>
          <w:rFonts w:cs="David" w:hint="cs"/>
          <w:rtl/>
        </w:rPr>
        <w:t xml:space="preserve">מלא או חלקי מאגרה </w:t>
      </w:r>
      <w:r w:rsidRPr="00125E26">
        <w:rPr>
          <w:rFonts w:cs="David" w:hint="cs"/>
          <w:rtl/>
        </w:rPr>
        <w:t xml:space="preserve">גם לאחר שהחוב עובר למרכז לגביית קנסות. </w:t>
      </w:r>
    </w:p>
    <w:p w:rsidR="00E15425" w:rsidRDefault="00E15425" w:rsidP="00E15425">
      <w:pPr>
        <w:numPr>
          <w:ilvl w:val="0"/>
          <w:numId w:val="1"/>
        </w:numPr>
        <w:spacing w:before="120" w:line="360" w:lineRule="auto"/>
        <w:jc w:val="both"/>
        <w:rPr>
          <w:rFonts w:cs="David"/>
        </w:rPr>
      </w:pPr>
      <w:r>
        <w:rPr>
          <w:rFonts w:cs="David" w:hint="cs"/>
          <w:rtl/>
        </w:rPr>
        <w:t>נוכח הקושי הטמון בגביית תשלום מקטינים הן מבחי</w:t>
      </w:r>
      <w:r w:rsidR="00C834FA">
        <w:rPr>
          <w:rFonts w:cs="David" w:hint="cs"/>
          <w:rtl/>
        </w:rPr>
        <w:t>נה מהותית והן מבחינה פרוצדורלית</w:t>
      </w:r>
      <w:r>
        <w:rPr>
          <w:rFonts w:cs="David" w:hint="cs"/>
          <w:rtl/>
        </w:rPr>
        <w:t xml:space="preserve"> כפי שעולה מדיווח הסניגוריה, מוצע לדון באפשרות </w:t>
      </w:r>
      <w:proofErr w:type="spellStart"/>
      <w:r w:rsidRPr="000E671B">
        <w:rPr>
          <w:rFonts w:cs="David" w:hint="cs"/>
          <w:rtl/>
        </w:rPr>
        <w:t>להחריג</w:t>
      </w:r>
      <w:proofErr w:type="spellEnd"/>
      <w:r w:rsidRPr="000E671B">
        <w:rPr>
          <w:rFonts w:cs="David" w:hint="cs"/>
          <w:rtl/>
        </w:rPr>
        <w:t xml:space="preserve"> קטינים מחובת</w:t>
      </w:r>
      <w:r>
        <w:rPr>
          <w:rFonts w:cs="David" w:hint="cs"/>
          <w:rtl/>
        </w:rPr>
        <w:t xml:space="preserve"> התשלום, כפי שהיה בתקנות הסניגוריה הישנות.</w:t>
      </w:r>
    </w:p>
    <w:p w:rsidR="00E15425" w:rsidRPr="00125E26" w:rsidRDefault="00E15425" w:rsidP="00E15425">
      <w:pPr>
        <w:numPr>
          <w:ilvl w:val="0"/>
          <w:numId w:val="1"/>
        </w:numPr>
        <w:spacing w:before="120" w:line="360" w:lineRule="auto"/>
        <w:jc w:val="both"/>
        <w:rPr>
          <w:rFonts w:cs="David"/>
        </w:rPr>
      </w:pPr>
      <w:r>
        <w:rPr>
          <w:rFonts w:cs="David" w:hint="cs"/>
          <w:rtl/>
        </w:rPr>
        <w:t xml:space="preserve">מוצע </w:t>
      </w:r>
      <w:r w:rsidRPr="00125E26">
        <w:rPr>
          <w:rFonts w:cs="David" w:hint="cs"/>
          <w:rtl/>
        </w:rPr>
        <w:t xml:space="preserve">לדון </w:t>
      </w:r>
      <w:r>
        <w:rPr>
          <w:rFonts w:cs="David" w:hint="cs"/>
          <w:rtl/>
        </w:rPr>
        <w:t>ב</w:t>
      </w:r>
      <w:r w:rsidRPr="00125E26">
        <w:rPr>
          <w:rFonts w:cs="David" w:hint="cs"/>
          <w:rtl/>
        </w:rPr>
        <w:t xml:space="preserve">קושי </w:t>
      </w:r>
      <w:r>
        <w:rPr>
          <w:rFonts w:cs="David" w:hint="cs"/>
          <w:rtl/>
        </w:rPr>
        <w:t>בהטלת אגרה על עצורים ואסירים ובקושי ב</w:t>
      </w:r>
      <w:r w:rsidRPr="00125E26">
        <w:rPr>
          <w:rFonts w:cs="David" w:hint="cs"/>
          <w:rtl/>
        </w:rPr>
        <w:t xml:space="preserve">גביית חובות </w:t>
      </w:r>
      <w:r>
        <w:rPr>
          <w:rFonts w:cs="David" w:hint="cs"/>
          <w:rtl/>
        </w:rPr>
        <w:t>כאמור</w:t>
      </w:r>
      <w:r w:rsidRPr="00125E26">
        <w:rPr>
          <w:rFonts w:cs="David" w:hint="cs"/>
          <w:rtl/>
        </w:rPr>
        <w:t xml:space="preserve">. </w:t>
      </w:r>
    </w:p>
    <w:p w:rsidR="00E15425" w:rsidRPr="00C74683" w:rsidRDefault="00E15425" w:rsidP="00E15425">
      <w:pPr>
        <w:numPr>
          <w:ilvl w:val="0"/>
          <w:numId w:val="1"/>
        </w:numPr>
        <w:spacing w:before="120" w:line="360" w:lineRule="auto"/>
        <w:jc w:val="both"/>
        <w:rPr>
          <w:rFonts w:cs="David"/>
        </w:rPr>
      </w:pPr>
      <w:r w:rsidRPr="00C74683">
        <w:rPr>
          <w:rFonts w:cs="David" w:hint="cs"/>
          <w:rtl/>
        </w:rPr>
        <w:lastRenderedPageBreak/>
        <w:t xml:space="preserve">בתקנות הישנות הייתה הבחנה מלכתחילה בין הסכום המוטל על כל נאשם או מערער לבין נאשם או מערער שהוא מחוסר אמצעים. כפי שצוין לעיל, בתקנות הקיימות לא קיימת הבחנה כאמור, אולם נקבעה האפשרות למתן פטור במקרים חריגים. בעת אישור התקנות בשנת 2011 בוועדת חוקה חוק ומשפט, עלה חשש שהדרישה למקרים חריגים לא תאפשר מתן פטור בכל מקרה בו הנאשם/ מערער מחוסר אמצעים. האם היו מצבים בהם נאשם לא היה מסוגל לשלם אך לא ניתן היה לתת לו פטור לפי הנוהל? </w:t>
      </w:r>
    </w:p>
    <w:p w:rsidR="00E15425" w:rsidRPr="00A67320" w:rsidRDefault="00E15425" w:rsidP="00E15425">
      <w:pPr>
        <w:numPr>
          <w:ilvl w:val="0"/>
          <w:numId w:val="1"/>
        </w:numPr>
        <w:spacing w:before="120" w:line="360" w:lineRule="auto"/>
        <w:jc w:val="both"/>
        <w:rPr>
          <w:rFonts w:cs="David"/>
        </w:rPr>
      </w:pPr>
      <w:r w:rsidRPr="00A67320">
        <w:rPr>
          <w:rFonts w:cs="David" w:hint="cs"/>
          <w:rtl/>
        </w:rPr>
        <w:t>מנוהל גביית אגרות שנקבע בסניגוריה הציבורית לאחר פרסום התקנות</w:t>
      </w:r>
      <w:r>
        <w:rPr>
          <w:rFonts w:cs="David" w:hint="cs"/>
          <w:rtl/>
        </w:rPr>
        <w:t>,</w:t>
      </w:r>
      <w:r w:rsidRPr="00A67320">
        <w:rPr>
          <w:rFonts w:cs="David" w:hint="cs"/>
          <w:rtl/>
        </w:rPr>
        <w:t xml:space="preserve"> עולה כי נוכח העדר כוח אדם נוסף ליישום התקנות, יש צורך במנגנון ארגוני שימעיט ככל שניתן בעומס המוטל על המחוזות בהליכי הטיפול בהטלת האגרה ובגבייתה. האם נמצא מנגנון ארגוני שלא יוצר הכבדת יתר בטיפול באגרות? </w:t>
      </w:r>
    </w:p>
    <w:p w:rsidR="00E15425" w:rsidRDefault="00E15425" w:rsidP="00E15425">
      <w:pPr>
        <w:numPr>
          <w:ilvl w:val="0"/>
          <w:numId w:val="1"/>
        </w:numPr>
        <w:spacing w:before="120" w:line="360" w:lineRule="auto"/>
        <w:jc w:val="both"/>
        <w:rPr>
          <w:rFonts w:cs="David"/>
        </w:rPr>
      </w:pPr>
      <w:r>
        <w:rPr>
          <w:rFonts w:cs="David" w:hint="cs"/>
          <w:rtl/>
        </w:rPr>
        <w:t>מהדיווח של הסנגוריה עולה כי היו מספר מקרים בהם בית המשפט קבע פטור מאגרה, האם יש מקום להסמיך את בית המשפט לתת פטור כאמור?</w:t>
      </w:r>
    </w:p>
    <w:p w:rsidR="00E15425" w:rsidRDefault="00E15425" w:rsidP="00E15425">
      <w:pPr>
        <w:spacing w:before="120" w:line="360" w:lineRule="auto"/>
        <w:jc w:val="both"/>
        <w:rPr>
          <w:rFonts w:cs="David"/>
        </w:rPr>
      </w:pPr>
    </w:p>
    <w:p w:rsidR="00E15425" w:rsidRPr="00AA75AC" w:rsidRDefault="00E15425" w:rsidP="00E15425">
      <w:pPr>
        <w:rPr>
          <w:rFonts w:cs="David"/>
          <w:rtl/>
        </w:rPr>
      </w:pPr>
    </w:p>
    <w:p w:rsidR="00E15425" w:rsidRDefault="00E15425" w:rsidP="00E15425">
      <w:pPr>
        <w:rPr>
          <w:rFonts w:cs="David"/>
          <w:rtl/>
        </w:rPr>
      </w:pPr>
    </w:p>
    <w:p w:rsidR="00E15425" w:rsidRDefault="00E15425" w:rsidP="00E15425"/>
    <w:p w:rsidR="00E15425" w:rsidRPr="001700D7" w:rsidRDefault="00E15425" w:rsidP="00E15425"/>
    <w:p w:rsidR="00AD0F1E" w:rsidRPr="00E15425" w:rsidRDefault="00AD0F1E"/>
    <w:sectPr w:rsidR="00AD0F1E" w:rsidRPr="00E15425" w:rsidSect="003B055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80470"/>
    <w:multiLevelType w:val="hybridMultilevel"/>
    <w:tmpl w:val="B74EDF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425"/>
    <w:rsid w:val="001A094B"/>
    <w:rsid w:val="00296AED"/>
    <w:rsid w:val="004802F3"/>
    <w:rsid w:val="005064E1"/>
    <w:rsid w:val="0067711D"/>
    <w:rsid w:val="0090093F"/>
    <w:rsid w:val="00AD0F1E"/>
    <w:rsid w:val="00C834FA"/>
    <w:rsid w:val="00E15425"/>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25"/>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093F"/>
    <w:rPr>
      <w:rFonts w:ascii="Tahoma" w:hAnsi="Tahoma" w:cs="Tahoma"/>
      <w:sz w:val="18"/>
      <w:szCs w:val="18"/>
    </w:rPr>
  </w:style>
  <w:style w:type="character" w:customStyle="1" w:styleId="a4">
    <w:name w:val="טקסט בלונים תו"/>
    <w:basedOn w:val="a0"/>
    <w:link w:val="a3"/>
    <w:uiPriority w:val="99"/>
    <w:semiHidden/>
    <w:rsid w:val="0090093F"/>
    <w:rPr>
      <w:rFonts w:ascii="Tahoma" w:eastAsia="Times New Roman" w:hAnsi="Tahoma" w:cs="Tahom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425"/>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093F"/>
    <w:rPr>
      <w:rFonts w:ascii="Tahoma" w:hAnsi="Tahoma" w:cs="Tahoma"/>
      <w:sz w:val="18"/>
      <w:szCs w:val="18"/>
    </w:rPr>
  </w:style>
  <w:style w:type="character" w:customStyle="1" w:styleId="a4">
    <w:name w:val="טקסט בלונים תו"/>
    <w:basedOn w:val="a0"/>
    <w:link w:val="a3"/>
    <w:uiPriority w:val="99"/>
    <w:semiHidden/>
    <w:rsid w:val="0090093F"/>
    <w:rPr>
      <w:rFonts w:ascii="Tahoma" w:eastAsia="Times New Roman"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1550A1-53D1-40A2-AAF5-7210B577DC12}"/>
</file>

<file path=customXml/itemProps2.xml><?xml version="1.0" encoding="utf-8"?>
<ds:datastoreItem xmlns:ds="http://schemas.openxmlformats.org/officeDocument/2006/customXml" ds:itemID="{7A77B947-57AF-4AD8-8036-C5D2A0AD262A}"/>
</file>

<file path=customXml/itemProps3.xml><?xml version="1.0" encoding="utf-8"?>
<ds:datastoreItem xmlns:ds="http://schemas.openxmlformats.org/officeDocument/2006/customXml" ds:itemID="{49A962E2-020C-4B7A-BD81-408CE93D1592}"/>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3845</Characters>
  <Application>Microsoft Office Word</Application>
  <DocSecurity>4</DocSecurity>
  <Lines>32</Lines>
  <Paragraphs>9</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4605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2015-06-14T09:50:00Z</cp:lastPrinted>
  <dcterms:created xsi:type="dcterms:W3CDTF">2015-06-14T11:33:00Z</dcterms:created>
  <dcterms:modified xsi:type="dcterms:W3CDTF">2015-06-14T11:33:00Z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