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3E3" w:rsidRPr="007A1E12" w:rsidRDefault="000F73E3" w:rsidP="000F73E3">
      <w:pPr>
        <w:ind w:right="-180"/>
        <w:rPr>
          <w:rFonts w:cs="David"/>
          <w:b/>
          <w:bCs/>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r>
        <w:rPr>
          <w:rFonts w:cs="David" w:hint="cs"/>
          <w:rtl/>
        </w:rPr>
        <w:t xml:space="preserve">          </w:t>
      </w:r>
      <w:r w:rsidRPr="007A1E12">
        <w:rPr>
          <w:rFonts w:cs="David" w:hint="eastAsia"/>
          <w:rtl/>
        </w:rPr>
        <w:t>‏</w:t>
      </w:r>
    </w:p>
    <w:p w:rsidR="000F73E3" w:rsidRDefault="000F73E3" w:rsidP="000F73E3">
      <w:pPr>
        <w:rPr>
          <w:rFonts w:cs="David"/>
          <w:rtl/>
        </w:rPr>
      </w:pPr>
      <w:r w:rsidRPr="00906D00">
        <w:rPr>
          <w:rFonts w:cs="David" w:hint="cs"/>
          <w:u w:val="single"/>
          <w:rtl/>
        </w:rPr>
        <w:t>מאת</w:t>
      </w:r>
      <w:r w:rsidRPr="00906D00">
        <w:rPr>
          <w:rFonts w:cs="David" w:hint="cs"/>
          <w:rtl/>
        </w:rPr>
        <w:t>: הייעוץ המשפטי לוועדה</w:t>
      </w:r>
    </w:p>
    <w:p w:rsidR="000F73E3" w:rsidRDefault="000F73E3" w:rsidP="000F73E3">
      <w:pPr>
        <w:spacing w:after="120" w:line="360" w:lineRule="auto"/>
        <w:jc w:val="both"/>
        <w:rPr>
          <w:rFonts w:cs="David"/>
          <w:rtl/>
        </w:rPr>
      </w:pPr>
    </w:p>
    <w:p w:rsidR="000F73E3" w:rsidRDefault="000F73E3" w:rsidP="000F73E3">
      <w:pPr>
        <w:jc w:val="center"/>
        <w:rPr>
          <w:rFonts w:ascii="Arial" w:hAnsi="Arial" w:cs="David"/>
          <w:b/>
          <w:bCs/>
          <w:color w:val="000000"/>
          <w:rtl/>
        </w:rPr>
      </w:pPr>
      <w:r w:rsidRPr="000F73E3">
        <w:rPr>
          <w:rFonts w:ascii="Arial" w:hAnsi="Arial" w:cs="David"/>
          <w:b/>
          <w:bCs/>
          <w:color w:val="000000"/>
          <w:rtl/>
        </w:rPr>
        <w:t>לדיון הקבוע ליום  30 ביוני 2015 , י"ג בתמוז תשע"ה</w:t>
      </w:r>
    </w:p>
    <w:p w:rsidR="00573D24" w:rsidRDefault="00573D24" w:rsidP="000F73E3">
      <w:pPr>
        <w:jc w:val="center"/>
        <w:rPr>
          <w:rFonts w:ascii="Arial" w:hAnsi="Arial" w:cs="David"/>
          <w:b/>
          <w:bCs/>
          <w:color w:val="000000"/>
          <w:rtl/>
        </w:rPr>
      </w:pPr>
    </w:p>
    <w:p w:rsidR="000F73E3" w:rsidRDefault="000F73E3" w:rsidP="000F73E3">
      <w:pPr>
        <w:jc w:val="center"/>
        <w:rPr>
          <w:rFonts w:ascii="Arial" w:hAnsi="Arial" w:cs="David"/>
          <w:b/>
          <w:bCs/>
          <w:color w:val="000000"/>
          <w:rtl/>
        </w:rPr>
      </w:pPr>
      <w:r>
        <w:rPr>
          <w:rFonts w:ascii="Arial" w:hAnsi="Arial" w:cs="David"/>
          <w:b/>
          <w:bCs/>
          <w:color w:val="000000"/>
          <w:rtl/>
        </w:rPr>
        <w:t>צו סדר הדין הפלילי (ברירת משפט</w:t>
      </w:r>
      <w:r>
        <w:rPr>
          <w:rFonts w:ascii="Arial" w:hAnsi="Arial" w:cs="David" w:hint="cs"/>
          <w:b/>
          <w:bCs/>
          <w:color w:val="000000"/>
          <w:rtl/>
        </w:rPr>
        <w:t>)</w:t>
      </w:r>
    </w:p>
    <w:p w:rsidR="000F73E3" w:rsidRDefault="000F73E3" w:rsidP="000F73E3">
      <w:pPr>
        <w:jc w:val="center"/>
        <w:rPr>
          <w:rFonts w:ascii="Arial" w:hAnsi="Arial" w:cs="David"/>
          <w:b/>
          <w:bCs/>
          <w:color w:val="000000"/>
          <w:rtl/>
        </w:rPr>
      </w:pPr>
      <w:r>
        <w:rPr>
          <w:rFonts w:ascii="Arial" w:hAnsi="Arial" w:cs="David" w:hint="cs"/>
          <w:b/>
          <w:bCs/>
          <w:color w:val="000000"/>
          <w:rtl/>
        </w:rPr>
        <w:t>לחולון, אזור, סביון, כפר שמריהו, באר טוביה, לב השרון, פרדס-חנה-כרכור, אור עקיבא, חיפה, ועכו</w:t>
      </w:r>
    </w:p>
    <w:p w:rsidR="000F73E3" w:rsidRPr="00AB792D" w:rsidRDefault="000F73E3" w:rsidP="000F73E3">
      <w:pPr>
        <w:jc w:val="center"/>
        <w:rPr>
          <w:rFonts w:ascii="Arial" w:hAnsi="Arial" w:cs="David"/>
          <w:b/>
          <w:bCs/>
          <w:color w:val="000000"/>
        </w:rPr>
      </w:pPr>
    </w:p>
    <w:p w:rsidR="000F73E3" w:rsidRPr="00102CE3" w:rsidRDefault="000F73E3" w:rsidP="001554C4">
      <w:pPr>
        <w:spacing w:after="120" w:line="360" w:lineRule="auto"/>
        <w:jc w:val="both"/>
        <w:rPr>
          <w:rFonts w:cs="David"/>
          <w:rtl/>
        </w:rPr>
      </w:pPr>
      <w:r w:rsidRPr="00B65A45">
        <w:rPr>
          <w:rFonts w:cs="David" w:hint="cs"/>
          <w:rtl/>
        </w:rPr>
        <w:t>הוועדה התבקש</w:t>
      </w:r>
      <w:r>
        <w:rPr>
          <w:rFonts w:cs="David" w:hint="cs"/>
          <w:rtl/>
        </w:rPr>
        <w:t>ה</w:t>
      </w:r>
      <w:r w:rsidRPr="00B65A45">
        <w:rPr>
          <w:rFonts w:cs="David" w:hint="cs"/>
          <w:rtl/>
        </w:rPr>
        <w:t xml:space="preserve"> על ידי </w:t>
      </w:r>
      <w:r>
        <w:rPr>
          <w:rFonts w:cs="David" w:hint="cs"/>
          <w:rtl/>
        </w:rPr>
        <w:t>שרת המשפטים לאשר מספר צווים שיהפכו את עבירות הקנס של העיריות</w:t>
      </w:r>
      <w:r w:rsidRPr="006A1805">
        <w:rPr>
          <w:rFonts w:ascii="Arial" w:hAnsi="Arial" w:cs="David" w:hint="cs"/>
          <w:color w:val="000000"/>
          <w:rtl/>
        </w:rPr>
        <w:t xml:space="preserve"> ו</w:t>
      </w:r>
      <w:r>
        <w:rPr>
          <w:rFonts w:ascii="Arial" w:hAnsi="Arial" w:cs="David" w:hint="cs"/>
          <w:color w:val="000000"/>
          <w:rtl/>
        </w:rPr>
        <w:t xml:space="preserve">של מועצות המקומיות שבנדון, שהיום הם עבירות של ברירות קנס, </w:t>
      </w:r>
      <w:r w:rsidRPr="000F73E3">
        <w:rPr>
          <w:rFonts w:ascii="Arial" w:hAnsi="Arial" w:cs="David" w:hint="cs"/>
          <w:b/>
          <w:bCs/>
          <w:color w:val="000000"/>
          <w:u w:val="single"/>
          <w:rtl/>
        </w:rPr>
        <w:t>לעבירות של ברירות משפט</w:t>
      </w:r>
      <w:r>
        <w:rPr>
          <w:rFonts w:ascii="Arial" w:hAnsi="Arial" w:cs="David" w:hint="cs"/>
          <w:color w:val="000000"/>
          <w:rtl/>
        </w:rPr>
        <w:t>.</w:t>
      </w:r>
      <w:r w:rsidRPr="006A1805">
        <w:rPr>
          <w:rFonts w:ascii="Arial" w:hAnsi="Arial" w:cs="David"/>
          <w:color w:val="000000"/>
        </w:rPr>
        <w:t> </w:t>
      </w:r>
    </w:p>
    <w:p w:rsidR="00F567EA" w:rsidRPr="00DC156D" w:rsidRDefault="00F567EA" w:rsidP="00F567EA">
      <w:pPr>
        <w:spacing w:after="120" w:line="360" w:lineRule="auto"/>
        <w:jc w:val="both"/>
        <w:rPr>
          <w:rFonts w:cs="David"/>
          <w:b/>
          <w:bCs/>
          <w:u w:val="single"/>
          <w:rtl/>
        </w:rPr>
      </w:pPr>
      <w:r w:rsidRPr="00DC156D">
        <w:rPr>
          <w:rFonts w:cs="David" w:hint="cs"/>
          <w:b/>
          <w:bCs/>
          <w:u w:val="single"/>
          <w:rtl/>
        </w:rPr>
        <w:t>עבירות קנס – רשויות מקומיות</w:t>
      </w:r>
    </w:p>
    <w:p w:rsidR="00F567EA" w:rsidRDefault="00F567EA" w:rsidP="00F567EA">
      <w:pPr>
        <w:spacing w:after="120" w:line="360" w:lineRule="auto"/>
        <w:jc w:val="both"/>
        <w:rPr>
          <w:rFonts w:cs="David"/>
          <w:rtl/>
        </w:rPr>
      </w:pPr>
      <w:r w:rsidRPr="00FA37FB">
        <w:rPr>
          <w:rFonts w:cs="David" w:hint="cs"/>
          <w:rtl/>
        </w:rPr>
        <w:t xml:space="preserve">סעיף 221 לחוק סדר הדין הפלילי [נוסח משולב], התשמ"ב-1982 (להלן </w:t>
      </w:r>
      <w:r w:rsidRPr="00FA37FB">
        <w:rPr>
          <w:rFonts w:cs="David"/>
          <w:rtl/>
        </w:rPr>
        <w:t>–</w:t>
      </w:r>
      <w:r w:rsidRPr="00FA37FB">
        <w:rPr>
          <w:rFonts w:cs="David" w:hint="cs"/>
          <w:rtl/>
        </w:rPr>
        <w:t xml:space="preserve"> "</w:t>
      </w:r>
      <w:proofErr w:type="spellStart"/>
      <w:r w:rsidRPr="00FA37FB">
        <w:rPr>
          <w:rFonts w:cs="David" w:hint="cs"/>
          <w:rtl/>
        </w:rPr>
        <w:t>חסד"פ</w:t>
      </w:r>
      <w:proofErr w:type="spellEnd"/>
      <w:r w:rsidRPr="00FA37FB">
        <w:rPr>
          <w:rFonts w:cs="David" w:hint="cs"/>
          <w:rtl/>
        </w:rPr>
        <w:t xml:space="preserve">"), שכותרתו "קביעת עבירות קנס", קובע ששר המשפטים רשאי לקבוע שעבירה על הוראה פלונית </w:t>
      </w:r>
      <w:r>
        <w:rPr>
          <w:rFonts w:cs="David"/>
          <w:rtl/>
        </w:rPr>
        <w:t>–</w:t>
      </w:r>
      <w:r>
        <w:rPr>
          <w:rFonts w:cs="David" w:hint="cs"/>
          <w:rtl/>
        </w:rPr>
        <w:t xml:space="preserve"> </w:t>
      </w:r>
      <w:r w:rsidRPr="00FA37FB">
        <w:rPr>
          <w:rFonts w:cs="David" w:hint="cs"/>
          <w:rtl/>
        </w:rPr>
        <w:t>שאיננה פשע</w:t>
      </w:r>
      <w:r>
        <w:rPr>
          <w:rFonts w:cs="David" w:hint="cs"/>
          <w:rtl/>
        </w:rPr>
        <w:t xml:space="preserve"> </w:t>
      </w:r>
      <w:r>
        <w:rPr>
          <w:rFonts w:cs="David"/>
          <w:rtl/>
        </w:rPr>
        <w:t>–</w:t>
      </w:r>
      <w:r w:rsidRPr="00FA37FB">
        <w:rPr>
          <w:rFonts w:cs="David" w:hint="cs"/>
          <w:rtl/>
        </w:rPr>
        <w:t xml:space="preserve"> היא עבירת קנס, דרך כלל או בתנאים או בסייגים שקבע. הוסמך שר בחוק אחר לקבוע עבירה כעבירת קנס</w:t>
      </w:r>
      <w:r>
        <w:rPr>
          <w:rFonts w:cs="David" w:hint="cs"/>
          <w:rtl/>
        </w:rPr>
        <w:t xml:space="preserve">, </w:t>
      </w:r>
      <w:r w:rsidRPr="00FA37FB">
        <w:rPr>
          <w:rFonts w:cs="David" w:hint="cs"/>
          <w:rtl/>
        </w:rPr>
        <w:t xml:space="preserve">טעונה קביעתו הסכמת שר המשפטים. השר ייקבע גם את שיעור הקנס, ובלבד ששיעורו לא יעלה על השיעור שנקבע לו בחיקוק הקובע את העבירה או על </w:t>
      </w:r>
      <w:r>
        <w:rPr>
          <w:rFonts w:cs="David" w:hint="cs"/>
          <w:rtl/>
        </w:rPr>
        <w:t>730</w:t>
      </w:r>
      <w:r w:rsidRPr="00FA37FB">
        <w:rPr>
          <w:rFonts w:cs="David" w:hint="cs"/>
          <w:rtl/>
        </w:rPr>
        <w:t xml:space="preserve"> ₪, לפי הסכום הנמוך יותר. על פי הוראת סעיף 221(ד) </w:t>
      </w:r>
      <w:proofErr w:type="spellStart"/>
      <w:r w:rsidRPr="00FA37FB">
        <w:rPr>
          <w:rFonts w:cs="David" w:hint="cs"/>
          <w:rtl/>
        </w:rPr>
        <w:t>לחסד"פ</w:t>
      </w:r>
      <w:proofErr w:type="spellEnd"/>
      <w:r w:rsidRPr="00FA37FB">
        <w:rPr>
          <w:rFonts w:cs="David" w:hint="cs"/>
          <w:rtl/>
        </w:rPr>
        <w:t>, קביעת עבירה כעבירת קנס טעונה אישור</w:t>
      </w:r>
      <w:r w:rsidRPr="00B643FD">
        <w:rPr>
          <w:rFonts w:cs="David" w:hint="cs"/>
          <w:rtl/>
        </w:rPr>
        <w:t xml:space="preserve"> </w:t>
      </w:r>
      <w:smartTag w:uri="urn:schemas-microsoft-com:office:smarttags" w:element="PersonName">
        <w:r w:rsidRPr="00B643FD">
          <w:rPr>
            <w:rFonts w:cs="David" w:hint="cs"/>
            <w:rtl/>
          </w:rPr>
          <w:t>ועדת החוקה</w:t>
        </w:r>
      </w:smartTag>
      <w:r w:rsidRPr="00B643FD">
        <w:rPr>
          <w:rFonts w:cs="David" w:hint="cs"/>
          <w:rtl/>
        </w:rPr>
        <w:t xml:space="preserve">. </w:t>
      </w:r>
    </w:p>
    <w:p w:rsidR="00F567EA" w:rsidRDefault="00F567EA" w:rsidP="00F567EA">
      <w:pPr>
        <w:spacing w:after="120" w:line="360" w:lineRule="auto"/>
        <w:jc w:val="both"/>
        <w:rPr>
          <w:rFonts w:cs="David"/>
          <w:rtl/>
        </w:rPr>
      </w:pPr>
      <w:r w:rsidRPr="00A51CDF">
        <w:rPr>
          <w:rFonts w:cs="David" w:hint="cs"/>
          <w:rtl/>
        </w:rPr>
        <w:t xml:space="preserve">שר הפנים, מכוח הסמכות שהוענקה לו בס' 265 לפקודת העיריות </w:t>
      </w:r>
      <w:r w:rsidRPr="00A51CDF">
        <w:rPr>
          <w:rFonts w:cs="David" w:hint="cs"/>
          <w:noProof/>
          <w:rtl/>
        </w:rPr>
        <w:t>[נוסח חדש]</w:t>
      </w:r>
      <w:r>
        <w:rPr>
          <w:rFonts w:cs="David" w:hint="cs"/>
          <w:rtl/>
        </w:rPr>
        <w:t>, רשאי לקבוע בצו</w:t>
      </w:r>
      <w:r w:rsidRPr="00A51CDF">
        <w:rPr>
          <w:rFonts w:cs="David" w:hint="cs"/>
          <w:rtl/>
        </w:rPr>
        <w:t xml:space="preserve"> כי עבירה על הוראה פלונית בחוק עזר של עירייה היא עבירת קנס. קביעה כאמור דורשת את הסכמתו של שר המשפטים</w:t>
      </w:r>
      <w:r>
        <w:rPr>
          <w:rFonts w:cs="David" w:hint="cs"/>
          <w:rtl/>
        </w:rPr>
        <w:t>, ו</w:t>
      </w:r>
      <w:r w:rsidRPr="00D30E13">
        <w:rPr>
          <w:rFonts w:cs="David" w:hint="cs"/>
          <w:rtl/>
        </w:rPr>
        <w:t xml:space="preserve">דורשת </w:t>
      </w:r>
      <w:r>
        <w:rPr>
          <w:rFonts w:cs="David" w:hint="cs"/>
          <w:rtl/>
        </w:rPr>
        <w:t xml:space="preserve">גם </w:t>
      </w:r>
      <w:r w:rsidRPr="00D30E13">
        <w:rPr>
          <w:rFonts w:cs="David" w:hint="cs"/>
          <w:rtl/>
        </w:rPr>
        <w:t>אישור ועדת החוקה</w:t>
      </w:r>
      <w:r w:rsidRPr="00A51CDF">
        <w:rPr>
          <w:rFonts w:cs="David" w:hint="cs"/>
          <w:rtl/>
        </w:rPr>
        <w:t>.</w:t>
      </w:r>
      <w:r>
        <w:rPr>
          <w:rFonts w:cs="David" w:hint="cs"/>
          <w:rtl/>
        </w:rPr>
        <w:t xml:space="preserve"> בדומה, </w:t>
      </w:r>
      <w:r w:rsidRPr="00A51CDF">
        <w:rPr>
          <w:rFonts w:cs="David" w:hint="cs"/>
          <w:rtl/>
        </w:rPr>
        <w:t xml:space="preserve">סעיף 26(א) לפקודת המועצות המקומיות מסמיך את השר לקבוע </w:t>
      </w:r>
      <w:r>
        <w:rPr>
          <w:rFonts w:cs="David" w:hint="cs"/>
          <w:rtl/>
        </w:rPr>
        <w:t>כ</w:t>
      </w:r>
      <w:r w:rsidRPr="00A51CDF">
        <w:rPr>
          <w:rFonts w:cs="David" w:hint="cs"/>
          <w:rtl/>
        </w:rPr>
        <w:t>עבירות קנס</w:t>
      </w:r>
      <w:r>
        <w:rPr>
          <w:rFonts w:cs="David" w:hint="cs"/>
          <w:rtl/>
        </w:rPr>
        <w:t xml:space="preserve"> עבירות</w:t>
      </w:r>
      <w:r w:rsidRPr="00A51CDF">
        <w:rPr>
          <w:rFonts w:cs="David" w:hint="cs"/>
          <w:rtl/>
        </w:rPr>
        <w:t xml:space="preserve"> </w:t>
      </w:r>
      <w:r>
        <w:rPr>
          <w:rFonts w:cs="David" w:hint="cs"/>
          <w:rtl/>
        </w:rPr>
        <w:t xml:space="preserve">לפי חוקי העזר </w:t>
      </w:r>
      <w:r w:rsidRPr="00A51CDF">
        <w:rPr>
          <w:rFonts w:cs="David" w:hint="cs"/>
          <w:rtl/>
        </w:rPr>
        <w:t>של המועצות המקומיות</w:t>
      </w:r>
      <w:r>
        <w:rPr>
          <w:rFonts w:cs="David" w:hint="cs"/>
          <w:rtl/>
        </w:rPr>
        <w:t xml:space="preserve">. </w:t>
      </w:r>
    </w:p>
    <w:p w:rsidR="00F567EA" w:rsidRPr="00D30E13" w:rsidRDefault="00F567EA" w:rsidP="00573D24">
      <w:pPr>
        <w:spacing w:after="120" w:line="360" w:lineRule="auto"/>
        <w:jc w:val="both"/>
        <w:rPr>
          <w:rFonts w:cs="David"/>
          <w:u w:val="single"/>
          <w:rtl/>
        </w:rPr>
      </w:pPr>
      <w:r w:rsidRPr="00A51CDF">
        <w:rPr>
          <w:rFonts w:cs="David" w:hint="cs"/>
          <w:rtl/>
        </w:rPr>
        <w:t>בצו</w:t>
      </w:r>
      <w:r>
        <w:rPr>
          <w:rFonts w:cs="David" w:hint="cs"/>
          <w:rtl/>
        </w:rPr>
        <w:t>וים</w:t>
      </w:r>
      <w:r w:rsidRPr="00A51CDF">
        <w:rPr>
          <w:rFonts w:cs="David" w:hint="cs"/>
          <w:rtl/>
        </w:rPr>
        <w:t xml:space="preserve"> כללי</w:t>
      </w:r>
      <w:r>
        <w:rPr>
          <w:rFonts w:cs="David" w:hint="cs"/>
          <w:rtl/>
        </w:rPr>
        <w:t>ים</w:t>
      </w:r>
      <w:r w:rsidRPr="00A51CDF">
        <w:rPr>
          <w:rFonts w:cs="David" w:hint="cs"/>
          <w:rtl/>
        </w:rPr>
        <w:t xml:space="preserve"> שהוציא שר הפנים</w:t>
      </w:r>
      <w:r>
        <w:rPr>
          <w:rFonts w:cs="David" w:hint="cs"/>
          <w:rtl/>
        </w:rPr>
        <w:t xml:space="preserve"> </w:t>
      </w:r>
      <w:r w:rsidRPr="00A51CDF">
        <w:rPr>
          <w:rFonts w:cs="David"/>
          <w:rtl/>
        </w:rPr>
        <w:t>–</w:t>
      </w:r>
      <w:r w:rsidRPr="00A51CDF">
        <w:rPr>
          <w:rFonts w:cs="David" w:hint="cs"/>
          <w:rtl/>
        </w:rPr>
        <w:t xml:space="preserve"> צו העיריות (עבירות קנס), התשל"א-1971</w:t>
      </w:r>
      <w:r>
        <w:rPr>
          <w:rFonts w:cs="David" w:hint="cs"/>
          <w:rtl/>
        </w:rPr>
        <w:t xml:space="preserve"> ו</w:t>
      </w:r>
      <w:r w:rsidRPr="00A51CDF">
        <w:rPr>
          <w:rFonts w:cs="David" w:hint="cs"/>
          <w:rtl/>
        </w:rPr>
        <w:t>צו</w:t>
      </w:r>
      <w:r w:rsidRPr="00A51CDF">
        <w:rPr>
          <w:rFonts w:cs="David"/>
          <w:rtl/>
        </w:rPr>
        <w:t xml:space="preserve"> </w:t>
      </w:r>
      <w:r w:rsidRPr="00A51CDF">
        <w:rPr>
          <w:rFonts w:cs="David" w:hint="cs"/>
          <w:rtl/>
        </w:rPr>
        <w:t>המועצות</w:t>
      </w:r>
      <w:r w:rsidRPr="00A51CDF">
        <w:rPr>
          <w:rFonts w:cs="David"/>
          <w:rtl/>
        </w:rPr>
        <w:t xml:space="preserve"> </w:t>
      </w:r>
      <w:r w:rsidRPr="00A51CDF">
        <w:rPr>
          <w:rFonts w:cs="David" w:hint="cs"/>
          <w:rtl/>
        </w:rPr>
        <w:t>המקומיות</w:t>
      </w:r>
      <w:r w:rsidRPr="00A51CDF">
        <w:rPr>
          <w:rFonts w:cs="David"/>
          <w:rtl/>
        </w:rPr>
        <w:t xml:space="preserve"> (</w:t>
      </w:r>
      <w:r w:rsidRPr="00A51CDF">
        <w:rPr>
          <w:rFonts w:cs="David" w:hint="cs"/>
          <w:rtl/>
        </w:rPr>
        <w:t>עבירות</w:t>
      </w:r>
      <w:r w:rsidRPr="00A51CDF">
        <w:rPr>
          <w:rFonts w:cs="David"/>
          <w:rtl/>
        </w:rPr>
        <w:t xml:space="preserve"> </w:t>
      </w:r>
      <w:r w:rsidRPr="00A51CDF">
        <w:rPr>
          <w:rFonts w:cs="David" w:hint="cs"/>
          <w:rtl/>
        </w:rPr>
        <w:t>קנס</w:t>
      </w:r>
      <w:r w:rsidRPr="00A51CDF">
        <w:rPr>
          <w:rFonts w:cs="David"/>
          <w:rtl/>
        </w:rPr>
        <w:t xml:space="preserve">), </w:t>
      </w:r>
      <w:r w:rsidRPr="00A51CDF">
        <w:rPr>
          <w:rFonts w:cs="David" w:hint="cs"/>
          <w:rtl/>
        </w:rPr>
        <w:t>התשל</w:t>
      </w:r>
      <w:r w:rsidRPr="00A51CDF">
        <w:rPr>
          <w:rFonts w:cs="David"/>
          <w:rtl/>
        </w:rPr>
        <w:t>"</w:t>
      </w:r>
      <w:r w:rsidRPr="00A51CDF">
        <w:rPr>
          <w:rFonts w:cs="David" w:hint="cs"/>
          <w:rtl/>
        </w:rPr>
        <w:t>ג</w:t>
      </w:r>
      <w:r w:rsidRPr="00A51CDF">
        <w:rPr>
          <w:rFonts w:cs="David"/>
          <w:rtl/>
        </w:rPr>
        <w:t>-1973</w:t>
      </w:r>
      <w:r>
        <w:rPr>
          <w:rFonts w:cs="David" w:hint="cs"/>
          <w:rtl/>
        </w:rPr>
        <w:t xml:space="preserve"> </w:t>
      </w:r>
      <w:r w:rsidRPr="00A51CDF">
        <w:rPr>
          <w:rFonts w:cs="David"/>
          <w:rtl/>
        </w:rPr>
        <w:t>–</w:t>
      </w:r>
      <w:r>
        <w:rPr>
          <w:rFonts w:cs="David" w:hint="cs"/>
          <w:rtl/>
        </w:rPr>
        <w:t xml:space="preserve"> </w:t>
      </w:r>
      <w:r w:rsidRPr="00A51CDF">
        <w:rPr>
          <w:rFonts w:cs="David" w:hint="cs"/>
          <w:rtl/>
        </w:rPr>
        <w:t xml:space="preserve"> פורטו חוקי העזר</w:t>
      </w:r>
      <w:r>
        <w:rPr>
          <w:rFonts w:cs="David" w:hint="cs"/>
          <w:rtl/>
        </w:rPr>
        <w:t xml:space="preserve"> של הרשויות</w:t>
      </w:r>
      <w:r w:rsidRPr="00A51CDF">
        <w:rPr>
          <w:rFonts w:cs="David" w:hint="cs"/>
          <w:rtl/>
        </w:rPr>
        <w:t xml:space="preserve"> והסעיפים בהם אשר הינם עבירת קנס. </w:t>
      </w:r>
      <w:r w:rsidR="00573D24">
        <w:rPr>
          <w:rFonts w:cs="David" w:hint="cs"/>
          <w:rtl/>
        </w:rPr>
        <w:t>ב</w:t>
      </w:r>
      <w:r w:rsidR="00573D24">
        <w:rPr>
          <w:rFonts w:cs="David" w:hint="cs"/>
          <w:rtl/>
        </w:rPr>
        <w:t>מגוון רחב של נושאים</w:t>
      </w:r>
      <w:r w:rsidR="00573D24">
        <w:rPr>
          <w:rFonts w:cs="David" w:hint="cs"/>
          <w:rtl/>
        </w:rPr>
        <w:t xml:space="preserve"> נקבעו עבירות קנס, למשל, לעניין הצבת שלטים ומודעות במרחב הציבורי, פינוי אשפה, התנהגות בגנים ציבוריים, תנאים סניטריים, ועוד. </w:t>
      </w:r>
      <w:r w:rsidRPr="00A51CDF">
        <w:rPr>
          <w:rFonts w:cs="David" w:hint="cs"/>
          <w:rtl/>
        </w:rPr>
        <w:t>הצו</w:t>
      </w:r>
      <w:r>
        <w:rPr>
          <w:rFonts w:cs="David" w:hint="cs"/>
          <w:rtl/>
        </w:rPr>
        <w:t>וים</w:t>
      </w:r>
      <w:r w:rsidRPr="00A51CDF">
        <w:rPr>
          <w:rFonts w:cs="David" w:hint="cs"/>
          <w:rtl/>
        </w:rPr>
        <w:t xml:space="preserve"> מפרט</w:t>
      </w:r>
      <w:r>
        <w:rPr>
          <w:rFonts w:cs="David" w:hint="cs"/>
          <w:rtl/>
        </w:rPr>
        <w:t>ים</w:t>
      </w:r>
      <w:r w:rsidRPr="00A51CDF">
        <w:rPr>
          <w:rFonts w:cs="David" w:hint="cs"/>
          <w:rtl/>
        </w:rPr>
        <w:t xml:space="preserve"> לכל סעיף וסעיף בחוק העזר דרגת קנס</w:t>
      </w:r>
      <w:r w:rsidR="00573D24">
        <w:rPr>
          <w:rFonts w:cs="David" w:hint="cs"/>
          <w:rtl/>
        </w:rPr>
        <w:t xml:space="preserve">, בשבע דרגות מ-85 ₪ ועד 730 ₪. </w:t>
      </w:r>
      <w:r w:rsidRPr="00A51CDF">
        <w:rPr>
          <w:rFonts w:cs="David" w:hint="cs"/>
          <w:rtl/>
        </w:rPr>
        <w:t>שמות חוקי העזר, ודרגות הקנס המתאימות לכל סעיף בחוק העזר, מפורטים בתוספת הראשונה לצו</w:t>
      </w:r>
      <w:r>
        <w:rPr>
          <w:rFonts w:cs="David" w:hint="cs"/>
          <w:rtl/>
        </w:rPr>
        <w:t>וים, ש</w:t>
      </w:r>
      <w:r w:rsidRPr="00A51CDF">
        <w:rPr>
          <w:rFonts w:cs="David" w:hint="cs"/>
          <w:rtl/>
        </w:rPr>
        <w:t>מחולקת לחלקים על פי העיריות</w:t>
      </w:r>
      <w:r w:rsidR="00573D24">
        <w:rPr>
          <w:rFonts w:cs="David" w:hint="cs"/>
          <w:rtl/>
        </w:rPr>
        <w:t xml:space="preserve"> והמועצות</w:t>
      </w:r>
      <w:r w:rsidRPr="00A51CDF">
        <w:rPr>
          <w:rFonts w:cs="David" w:hint="cs"/>
          <w:rtl/>
        </w:rPr>
        <w:t xml:space="preserve">. בטור הראשון בתוספת מפורט שם חוק העזר, בטור השני מפורטים הסעיף והסייגים או התנאים בהם הם יהיו עבירות קנס, ובטור השלישי שיעור הקנס. </w:t>
      </w:r>
    </w:p>
    <w:p w:rsidR="000F73E3" w:rsidRDefault="00C75253" w:rsidP="000F73E3">
      <w:pPr>
        <w:spacing w:before="240" w:after="120" w:line="360" w:lineRule="auto"/>
        <w:jc w:val="both"/>
        <w:rPr>
          <w:rFonts w:cs="David"/>
          <w:b/>
          <w:bCs/>
          <w:u w:val="single"/>
          <w:rtl/>
        </w:rPr>
      </w:pPr>
      <w:r>
        <w:rPr>
          <w:rFonts w:cs="David" w:hint="cs"/>
          <w:b/>
          <w:bCs/>
          <w:u w:val="single"/>
          <w:rtl/>
        </w:rPr>
        <w:t>ברירת קנס ו</w:t>
      </w:r>
      <w:r w:rsidR="000F73E3">
        <w:rPr>
          <w:rFonts w:cs="David" w:hint="cs"/>
          <w:b/>
          <w:bCs/>
          <w:u w:val="single"/>
          <w:rtl/>
        </w:rPr>
        <w:t>ברירת משפט</w:t>
      </w:r>
    </w:p>
    <w:p w:rsidR="000F73E3" w:rsidRDefault="000F73E3" w:rsidP="00615C40">
      <w:pPr>
        <w:spacing w:after="120" w:line="360" w:lineRule="auto"/>
        <w:jc w:val="both"/>
        <w:rPr>
          <w:rFonts w:cs="David"/>
          <w:rtl/>
        </w:rPr>
      </w:pPr>
      <w:r>
        <w:rPr>
          <w:rFonts w:cs="David" w:hint="cs"/>
          <w:rtl/>
        </w:rPr>
        <w:t xml:space="preserve">המשמעות של </w:t>
      </w:r>
      <w:r w:rsidRPr="00052808">
        <w:rPr>
          <w:rFonts w:cs="David" w:hint="cs"/>
          <w:rtl/>
        </w:rPr>
        <w:t>קביעת עבירה כ</w:t>
      </w:r>
      <w:r>
        <w:rPr>
          <w:rFonts w:cs="David" w:hint="cs"/>
          <w:rtl/>
        </w:rPr>
        <w:t>"</w:t>
      </w:r>
      <w:r w:rsidRPr="00052808">
        <w:rPr>
          <w:rFonts w:cs="David" w:hint="cs"/>
          <w:rtl/>
        </w:rPr>
        <w:t>עבירת קנס</w:t>
      </w:r>
      <w:r>
        <w:rPr>
          <w:rFonts w:cs="David" w:hint="cs"/>
          <w:rtl/>
        </w:rPr>
        <w:t xml:space="preserve">", היא כי בפני הנאשם עומדת מעתה "ברירת קנס", דהיינו: </w:t>
      </w:r>
      <w:r w:rsidR="00C75253">
        <w:rPr>
          <w:rFonts w:cs="David" w:hint="cs"/>
          <w:rtl/>
        </w:rPr>
        <w:t>הנאשם מקבל הודעת תשלום קנס יחד עם הזמנה למשפט</w:t>
      </w:r>
      <w:r>
        <w:rPr>
          <w:rFonts w:cs="David" w:hint="cs"/>
          <w:rtl/>
        </w:rPr>
        <w:t>.</w:t>
      </w:r>
      <w:r w:rsidR="00C75253">
        <w:rPr>
          <w:rFonts w:cs="David" w:hint="cs"/>
          <w:rtl/>
        </w:rPr>
        <w:t xml:space="preserve"> הנאשם רשאי לשלם את הקנס, ו</w:t>
      </w:r>
      <w:r>
        <w:rPr>
          <w:rFonts w:cs="David" w:hint="cs"/>
          <w:rtl/>
        </w:rPr>
        <w:t>במידה והקנס אינו משולם מ</w:t>
      </w:r>
      <w:r w:rsidRPr="008C20D9">
        <w:rPr>
          <w:rFonts w:cs="David" w:hint="cs"/>
          <w:rtl/>
        </w:rPr>
        <w:t xml:space="preserve">תקיים </w:t>
      </w:r>
      <w:r>
        <w:rPr>
          <w:rFonts w:cs="David" w:hint="cs"/>
          <w:rtl/>
        </w:rPr>
        <w:t xml:space="preserve">נגדו </w:t>
      </w:r>
      <w:r w:rsidRPr="008C20D9">
        <w:rPr>
          <w:rFonts w:cs="David" w:hint="cs"/>
          <w:rtl/>
        </w:rPr>
        <w:t>משפט</w:t>
      </w:r>
      <w:r w:rsidR="00C75253">
        <w:rPr>
          <w:rFonts w:cs="David" w:hint="cs"/>
          <w:rtl/>
        </w:rPr>
        <w:t>, ללא צורך בהודעה נוספת</w:t>
      </w:r>
      <w:r w:rsidR="0007080F">
        <w:rPr>
          <w:rFonts w:cs="David" w:hint="cs"/>
          <w:rtl/>
        </w:rPr>
        <w:t>, וגם אם הנאשם אינו מתכוון להגיע למשפט</w:t>
      </w:r>
      <w:r>
        <w:rPr>
          <w:rFonts w:cs="David" w:hint="cs"/>
          <w:rtl/>
        </w:rPr>
        <w:t>.</w:t>
      </w:r>
      <w:r w:rsidR="00615C40">
        <w:rPr>
          <w:rFonts w:cs="David" w:hint="cs"/>
          <w:rtl/>
        </w:rPr>
        <w:t xml:space="preserve"> יש לציין כי לפי סעיף 240 </w:t>
      </w:r>
      <w:proofErr w:type="spellStart"/>
      <w:r w:rsidR="00615C40">
        <w:rPr>
          <w:rFonts w:cs="David" w:hint="cs"/>
          <w:rtl/>
        </w:rPr>
        <w:t>לחסד"פ</w:t>
      </w:r>
      <w:proofErr w:type="spellEnd"/>
      <w:r w:rsidR="00615C40">
        <w:rPr>
          <w:rFonts w:cs="David" w:hint="cs"/>
          <w:rtl/>
        </w:rPr>
        <w:t xml:space="preserve">, </w:t>
      </w:r>
      <w:r w:rsidR="00615C40" w:rsidRPr="00615C40">
        <w:rPr>
          <w:rFonts w:cs="David"/>
          <w:rtl/>
        </w:rPr>
        <w:t>נאשם שהוזמן ולא התייצב בבית המשפט, יראוהו כמודה ב</w:t>
      </w:r>
      <w:r w:rsidR="00615C40">
        <w:rPr>
          <w:rFonts w:cs="David" w:hint="cs"/>
          <w:rtl/>
        </w:rPr>
        <w:t>ע</w:t>
      </w:r>
      <w:r w:rsidR="00615C40" w:rsidRPr="00615C40">
        <w:rPr>
          <w:rFonts w:cs="David"/>
          <w:rtl/>
        </w:rPr>
        <w:t>ובדות שנטענו בכתב האישום</w:t>
      </w:r>
      <w:r w:rsidR="00615C40">
        <w:rPr>
          <w:rFonts w:cs="David" w:hint="cs"/>
          <w:rtl/>
        </w:rPr>
        <w:t xml:space="preserve">. </w:t>
      </w:r>
      <w:r w:rsidR="00C75253">
        <w:rPr>
          <w:rFonts w:cs="David" w:hint="cs"/>
          <w:rtl/>
        </w:rPr>
        <w:t xml:space="preserve">רק אחרי הרשעה במשפט, רשאית המדינה להחל בהליך הגבייה. </w:t>
      </w:r>
    </w:p>
    <w:p w:rsidR="000F73E3" w:rsidRDefault="000F73E3" w:rsidP="00615C40">
      <w:pPr>
        <w:spacing w:before="240" w:after="120" w:line="360" w:lineRule="auto"/>
        <w:jc w:val="both"/>
        <w:rPr>
          <w:rFonts w:cs="David"/>
          <w:b/>
          <w:bCs/>
          <w:u w:val="single"/>
          <w:rtl/>
        </w:rPr>
      </w:pPr>
      <w:r>
        <w:rPr>
          <w:rFonts w:cs="David" w:hint="cs"/>
          <w:rtl/>
        </w:rPr>
        <w:t xml:space="preserve">אולם, </w:t>
      </w:r>
      <w:r w:rsidRPr="00107E40">
        <w:rPr>
          <w:rFonts w:cs="David" w:hint="cs"/>
          <w:rtl/>
        </w:rPr>
        <w:t>ישנן עבירות קנס שבהן ברירת המחדל היא הפוכה, דהיינו: ברירת המחדל היא כי הנאשם</w:t>
      </w:r>
      <w:r w:rsidR="00C75253">
        <w:rPr>
          <w:rFonts w:cs="David" w:hint="cs"/>
          <w:rtl/>
        </w:rPr>
        <w:t xml:space="preserve"> חייב לשלם את הקנס</w:t>
      </w:r>
      <w:r w:rsidRPr="00107E40">
        <w:rPr>
          <w:rFonts w:cs="David" w:hint="cs"/>
          <w:rtl/>
        </w:rPr>
        <w:t xml:space="preserve">, </w:t>
      </w:r>
      <w:r w:rsidRPr="00C75253">
        <w:rPr>
          <w:rFonts w:cs="David" w:hint="cs"/>
          <w:b/>
          <w:bCs/>
          <w:u w:val="single"/>
          <w:rtl/>
        </w:rPr>
        <w:t>אלא אם כן הנאשם בוחר באופן פוזיטיבי להישפט</w:t>
      </w:r>
      <w:r w:rsidR="00C75253">
        <w:rPr>
          <w:rFonts w:cs="David" w:hint="cs"/>
          <w:rtl/>
        </w:rPr>
        <w:t>:</w:t>
      </w:r>
      <w:r w:rsidRPr="00107E40">
        <w:rPr>
          <w:rFonts w:cs="David" w:hint="cs"/>
          <w:rtl/>
        </w:rPr>
        <w:t xml:space="preserve"> </w:t>
      </w:r>
      <w:r w:rsidRPr="00C75253">
        <w:rPr>
          <w:rFonts w:cs="David" w:hint="cs"/>
          <w:b/>
          <w:bCs/>
          <w:u w:val="single"/>
          <w:rtl/>
        </w:rPr>
        <w:t>עבירות אלה מכונות עבירות "ברירת משפט".</w:t>
      </w:r>
      <w:r>
        <w:rPr>
          <w:rFonts w:cs="David" w:hint="cs"/>
          <w:rtl/>
        </w:rPr>
        <w:t xml:space="preserve"> </w:t>
      </w:r>
      <w:r w:rsidR="00C75253">
        <w:rPr>
          <w:rFonts w:cs="David" w:hint="cs"/>
          <w:rtl/>
        </w:rPr>
        <w:t xml:space="preserve">אם הנאשם לא שילם את הקנס ולא הודיע שיש ברצונו להישפט, המדינה יכולה להתחיל בהליך גבייה מיד, ללא צורך במשפט. </w:t>
      </w:r>
      <w:r w:rsidRPr="00615C40">
        <w:rPr>
          <w:rFonts w:cs="David" w:hint="cs"/>
          <w:b/>
          <w:bCs/>
          <w:u w:val="single"/>
          <w:rtl/>
        </w:rPr>
        <w:t xml:space="preserve">מכוח הסמכות שהוענקה לו בס' 228 </w:t>
      </w:r>
      <w:proofErr w:type="spellStart"/>
      <w:r w:rsidR="00615C40" w:rsidRPr="00615C40">
        <w:rPr>
          <w:rFonts w:cs="David" w:hint="cs"/>
          <w:b/>
          <w:bCs/>
          <w:u w:val="single"/>
          <w:rtl/>
        </w:rPr>
        <w:t>לחסד"פ</w:t>
      </w:r>
      <w:proofErr w:type="spellEnd"/>
      <w:r w:rsidRPr="00615C40">
        <w:rPr>
          <w:rFonts w:cs="David" w:hint="cs"/>
          <w:b/>
          <w:bCs/>
          <w:u w:val="single"/>
          <w:rtl/>
        </w:rPr>
        <w:t>, מוסמך שר המשפטים, באישור ועדת החוקה, לקבוע כי עבירות קנס יהיו עבירות של ברירת משפט (במקום ברירת קנס), וכך מבקש</w:t>
      </w:r>
      <w:r w:rsidR="00F567EA" w:rsidRPr="00615C40">
        <w:rPr>
          <w:rFonts w:cs="David" w:hint="cs"/>
          <w:b/>
          <w:bCs/>
          <w:u w:val="single"/>
          <w:rtl/>
        </w:rPr>
        <w:t>ת</w:t>
      </w:r>
      <w:r w:rsidRPr="00615C40">
        <w:rPr>
          <w:rFonts w:cs="David" w:hint="cs"/>
          <w:b/>
          <w:bCs/>
          <w:u w:val="single"/>
          <w:rtl/>
        </w:rPr>
        <w:t xml:space="preserve"> </w:t>
      </w:r>
      <w:r w:rsidR="00F567EA" w:rsidRPr="00615C40">
        <w:rPr>
          <w:rFonts w:cs="David" w:hint="cs"/>
          <w:b/>
          <w:bCs/>
          <w:u w:val="single"/>
          <w:rtl/>
        </w:rPr>
        <w:t xml:space="preserve">שרת המשפטים לגבי רשימת עבירות הקנס של </w:t>
      </w:r>
      <w:r w:rsidR="00F567EA" w:rsidRPr="00615C40">
        <w:rPr>
          <w:rFonts w:cs="David"/>
          <w:b/>
          <w:bCs/>
          <w:u w:val="single"/>
          <w:rtl/>
        </w:rPr>
        <w:t>חולון, אזור, סביון, כפר שמריהו, באר טוביה, לב השרון, פרדס-חנה-כרכור, אור עקיבא, חיפה, ועכו</w:t>
      </w:r>
      <w:r w:rsidRPr="00615C40">
        <w:rPr>
          <w:rFonts w:cs="David" w:hint="cs"/>
          <w:b/>
          <w:bCs/>
          <w:u w:val="single"/>
          <w:rtl/>
        </w:rPr>
        <w:t>.</w:t>
      </w:r>
    </w:p>
    <w:p w:rsidR="00615C40" w:rsidRDefault="00615C40" w:rsidP="00F918B3">
      <w:pPr>
        <w:spacing w:before="240" w:after="120" w:line="360" w:lineRule="auto"/>
        <w:jc w:val="both"/>
        <w:rPr>
          <w:rFonts w:cs="David"/>
          <w:rtl/>
        </w:rPr>
      </w:pPr>
      <w:r>
        <w:rPr>
          <w:rFonts w:cs="David" w:hint="cs"/>
          <w:rtl/>
        </w:rPr>
        <w:t>ועדת החוקה אישרה בעבר צווים דומים למספר רב של רשויות מקומיות</w:t>
      </w:r>
      <w:r w:rsidR="00EA3487">
        <w:rPr>
          <w:rFonts w:cs="David" w:hint="cs"/>
          <w:rtl/>
        </w:rPr>
        <w:t>, שכן ההסדר של ברירת משפט</w:t>
      </w:r>
      <w:r w:rsidR="00F918B3">
        <w:rPr>
          <w:rFonts w:cs="David" w:hint="cs"/>
          <w:rtl/>
        </w:rPr>
        <w:t xml:space="preserve"> חוסך </w:t>
      </w:r>
      <w:r w:rsidR="00F918B3">
        <w:rPr>
          <w:rFonts w:cs="David" w:hint="cs"/>
          <w:rtl/>
        </w:rPr>
        <w:t xml:space="preserve">לגורמי האכיפה </w:t>
      </w:r>
      <w:r w:rsidR="00F918B3">
        <w:rPr>
          <w:rFonts w:cs="David" w:hint="cs"/>
          <w:rtl/>
        </w:rPr>
        <w:t>זמן ומשאבים</w:t>
      </w:r>
      <w:r w:rsidR="00EA3487">
        <w:rPr>
          <w:rFonts w:cs="David" w:hint="cs"/>
          <w:rtl/>
        </w:rPr>
        <w:t xml:space="preserve"> מצד אחד, ומצד שני אינו פוגע יתר על המידה בזכויות הנאשם, שנשמרת לו הזכות לבקש את יומו בבית משפט, באמצעות מנגנון שהוא קל להפעלה וככל הנראה מובן לכלל האוכלוסיי</w:t>
      </w:r>
      <w:r w:rsidR="00EA3487">
        <w:rPr>
          <w:rFonts w:cs="David" w:hint="eastAsia"/>
          <w:rtl/>
        </w:rPr>
        <w:t>ה</w:t>
      </w:r>
      <w:r w:rsidR="00EA3487">
        <w:rPr>
          <w:rFonts w:cs="David" w:hint="cs"/>
          <w:rtl/>
        </w:rPr>
        <w:t xml:space="preserve">.  </w:t>
      </w:r>
      <w:r w:rsidR="00F918B3">
        <w:rPr>
          <w:rFonts w:cs="David" w:hint="cs"/>
          <w:rtl/>
        </w:rPr>
        <w:t>בעבר, לא נשמעו בוועדה טענות כנגד הסדר זה.</w:t>
      </w:r>
    </w:p>
    <w:p w:rsidR="00EA3487" w:rsidRPr="00615C40" w:rsidRDefault="00EA3487" w:rsidP="001962C8">
      <w:pPr>
        <w:spacing w:before="240" w:after="120" w:line="360" w:lineRule="auto"/>
        <w:jc w:val="both"/>
        <w:rPr>
          <w:rFonts w:cs="David"/>
          <w:rtl/>
        </w:rPr>
      </w:pPr>
      <w:r>
        <w:rPr>
          <w:rFonts w:cs="David" w:hint="cs"/>
          <w:rtl/>
        </w:rPr>
        <w:t xml:space="preserve">יוער כי בעבר ביקשה ועדת החוקה מנציגי משרד הפנים </w:t>
      </w:r>
      <w:r w:rsidR="00E909D4">
        <w:rPr>
          <w:rFonts w:cs="David" w:hint="cs"/>
          <w:rtl/>
        </w:rPr>
        <w:t xml:space="preserve">לשקול תיקון </w:t>
      </w:r>
      <w:proofErr w:type="spellStart"/>
      <w:r w:rsidR="00E909D4">
        <w:rPr>
          <w:rFonts w:cs="David" w:hint="cs"/>
          <w:rtl/>
        </w:rPr>
        <w:t>לחסד"פ</w:t>
      </w:r>
      <w:proofErr w:type="spellEnd"/>
      <w:r w:rsidR="00E909D4">
        <w:rPr>
          <w:rFonts w:cs="David" w:hint="cs"/>
          <w:rtl/>
        </w:rPr>
        <w:t xml:space="preserve"> לפיו כל עבירות הקנס, או למצער עבירות הקנס של הרשויות המקומיות, ייקבעו מלכתחילה כעבירות של ברירת משפט, ולא </w:t>
      </w:r>
      <w:r w:rsidR="00F918B3">
        <w:rPr>
          <w:rFonts w:cs="David" w:hint="cs"/>
          <w:rtl/>
        </w:rPr>
        <w:t>כ</w:t>
      </w:r>
      <w:r w:rsidR="00E909D4">
        <w:rPr>
          <w:rFonts w:cs="David" w:hint="cs"/>
          <w:rtl/>
        </w:rPr>
        <w:t xml:space="preserve">ברירת קנס. ככל שהמנגנון של ברירת משפט עדיף, לדעת הממשלה, אין סיבה לבקש אישור לכל רשות ורשות בנפרד, ואין לוועדה מה לבדוק או לשקול בקשר לכל רשות. ראוי שההחלטה בעניין זה </w:t>
      </w:r>
      <w:r w:rsidR="00F918B3">
        <w:rPr>
          <w:rFonts w:cs="David" w:hint="cs"/>
          <w:rtl/>
        </w:rPr>
        <w:t>תהייה החלטה רוחבית</w:t>
      </w:r>
      <w:r w:rsidR="001962C8">
        <w:rPr>
          <w:rFonts w:cs="David" w:hint="cs"/>
          <w:rtl/>
        </w:rPr>
        <w:t xml:space="preserve"> וייקבע בחוק –</w:t>
      </w:r>
      <w:r w:rsidR="00E909D4">
        <w:rPr>
          <w:rFonts w:cs="David" w:hint="cs"/>
          <w:rtl/>
        </w:rPr>
        <w:t xml:space="preserve"> מוצע לבקש עדכון בנושא.</w:t>
      </w:r>
    </w:p>
    <w:p w:rsidR="009B1D74" w:rsidRDefault="00261CA4"/>
    <w:sectPr w:rsidR="009B1D74" w:rsidSect="00573D24">
      <w:pgSz w:w="11906" w:h="16838"/>
      <w:pgMar w:top="567" w:right="1797" w:bottom="1440" w:left="1276"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3E3"/>
    <w:rsid w:val="0007080F"/>
    <w:rsid w:val="000F73E3"/>
    <w:rsid w:val="001554C4"/>
    <w:rsid w:val="00181ABA"/>
    <w:rsid w:val="001962C8"/>
    <w:rsid w:val="004C2177"/>
    <w:rsid w:val="00573D24"/>
    <w:rsid w:val="00615C40"/>
    <w:rsid w:val="007F381C"/>
    <w:rsid w:val="00986A2A"/>
    <w:rsid w:val="00A90C32"/>
    <w:rsid w:val="00C75253"/>
    <w:rsid w:val="00E909D4"/>
    <w:rsid w:val="00EA3487"/>
    <w:rsid w:val="00F567EA"/>
    <w:rsid w:val="00F918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2C7A21AE-E31A-4F8C-83F6-82423F17B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3E3"/>
    <w:pPr>
      <w:bidi/>
      <w:spacing w:after="0" w:line="240" w:lineRule="auto"/>
    </w:pPr>
    <w:rPr>
      <w:rFonts w:ascii="Times New Roman" w:eastAsia="Times New Roman" w:hAnsi="Times New Roman" w:cs="Times New Roman"/>
      <w:sz w:val="24"/>
      <w:szCs w:val="24"/>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3E3"/>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1A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ABA"/>
    <w:rPr>
      <w:rFonts w:ascii="Segoe UI" w:eastAsia="Times New Roman" w:hAnsi="Segoe UI" w:cs="Segoe UI"/>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35D2E-B150-4BFB-9E96-FA5310679126}"/>
</file>

<file path=customXml/itemProps2.xml><?xml version="1.0" encoding="utf-8"?>
<ds:datastoreItem xmlns:ds="http://schemas.openxmlformats.org/officeDocument/2006/customXml" ds:itemID="{F7AD674B-92BA-455E-914C-899F3435C4B2}"/>
</file>

<file path=customXml/itemProps3.xml><?xml version="1.0" encoding="utf-8"?>
<ds:datastoreItem xmlns:ds="http://schemas.openxmlformats.org/officeDocument/2006/customXml" ds:itemID="{D86D46DE-28D8-4A81-8462-8F61C7F240B8}"/>
</file>

<file path=docProps/app.xml><?xml version="1.0" encoding="utf-8"?>
<Properties xmlns="http://schemas.openxmlformats.org/officeDocument/2006/extended-properties" xmlns:vt="http://schemas.openxmlformats.org/officeDocument/2006/docPropsVTypes">
  <Template>Normal</Template>
  <TotalTime>90</TotalTime>
  <Pages>1</Pages>
  <Words>610</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Knesset</Company>
  <LinksUpToDate>false</LinksUpToDate>
  <CharactersWithSpaces>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10</cp:revision>
  <cp:lastPrinted>2015-06-29T08:02:00Z</cp:lastPrinted>
  <dcterms:created xsi:type="dcterms:W3CDTF">2015-06-28T12:42:00Z</dcterms:created>
  <dcterms:modified xsi:type="dcterms:W3CDTF">2015-06-29T07:58:00Z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