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3.xml" ContentType="application/vnd.openxmlformats-officedocument.wordprocessingml.header+xml"/>
  <Override PartName="/word/footer2.xml" ContentType="application/vnd.openxmlformats-officedocument.wordprocessingml.footer+xml"/>
  <Override PartName="/word/footer1.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400CD" w:rsidRPr="00BC76B6" w:rsidRDefault="002400CD" w:rsidP="002400CD">
      <w:pPr>
        <w:spacing w:line="360" w:lineRule="auto"/>
        <w:jc w:val="both"/>
        <w:rPr>
          <w:rFonts w:cs="David"/>
          <w:sz w:val="24"/>
          <w:szCs w:val="24"/>
          <w:rtl/>
        </w:rPr>
      </w:pPr>
      <w:bookmarkStart w:id="0" w:name="_GoBack"/>
      <w:bookmarkEnd w:id="0"/>
      <w:r w:rsidRPr="00BC76B6">
        <w:rPr>
          <w:rFonts w:cs="David" w:hint="cs"/>
          <w:sz w:val="24"/>
          <w:szCs w:val="24"/>
          <w:rtl/>
        </w:rPr>
        <w:t xml:space="preserve">הנחיית יועץ/פ"מ </w:t>
      </w:r>
      <w:r w:rsidRPr="00BC76B6">
        <w:rPr>
          <w:rFonts w:cs="David"/>
          <w:sz w:val="24"/>
          <w:szCs w:val="24"/>
          <w:rtl/>
        </w:rPr>
        <w:t>–</w:t>
      </w:r>
      <w:r w:rsidRPr="00BC76B6">
        <w:rPr>
          <w:rFonts w:cs="David" w:hint="cs"/>
          <w:sz w:val="24"/>
          <w:szCs w:val="24"/>
          <w:rtl/>
        </w:rPr>
        <w:t xml:space="preserve"> מדיניות האכיפה בעבירות של הלבנת הון כאשר עבירות המקור הן עבירות מס</w:t>
      </w:r>
      <w:r w:rsidR="00771CC1" w:rsidRPr="00BC76B6">
        <w:rPr>
          <w:rFonts w:cs="David" w:hint="cs"/>
          <w:sz w:val="24"/>
          <w:szCs w:val="24"/>
          <w:rtl/>
        </w:rPr>
        <w:t xml:space="preserve"> </w:t>
      </w:r>
    </w:p>
    <w:p w:rsidR="002400CD" w:rsidRPr="00BC76B6" w:rsidRDefault="002400CD" w:rsidP="002400CD">
      <w:pPr>
        <w:numPr>
          <w:ilvl w:val="0"/>
          <w:numId w:val="1"/>
        </w:numPr>
        <w:spacing w:line="360" w:lineRule="auto"/>
        <w:jc w:val="both"/>
        <w:rPr>
          <w:rFonts w:cs="David"/>
          <w:b/>
          <w:bCs/>
          <w:sz w:val="24"/>
          <w:szCs w:val="24"/>
        </w:rPr>
      </w:pPr>
      <w:r w:rsidRPr="00BC76B6">
        <w:rPr>
          <w:rFonts w:cs="David" w:hint="cs"/>
          <w:b/>
          <w:bCs/>
          <w:sz w:val="24"/>
          <w:szCs w:val="24"/>
          <w:rtl/>
        </w:rPr>
        <w:t>רקע</w:t>
      </w:r>
    </w:p>
    <w:p w:rsidR="002400CD" w:rsidRPr="00BC76B6" w:rsidRDefault="002400CD" w:rsidP="00FF40FC">
      <w:pPr>
        <w:keepLines/>
        <w:numPr>
          <w:ilvl w:val="0"/>
          <w:numId w:val="2"/>
        </w:numPr>
        <w:spacing w:after="0" w:line="360" w:lineRule="auto"/>
        <w:jc w:val="both"/>
        <w:rPr>
          <w:rFonts w:cs="David"/>
          <w:sz w:val="24"/>
          <w:szCs w:val="24"/>
        </w:rPr>
      </w:pPr>
      <w:r w:rsidRPr="00BC76B6">
        <w:rPr>
          <w:rFonts w:cs="David" w:hint="cs"/>
          <w:sz w:val="24"/>
          <w:szCs w:val="24"/>
          <w:rtl/>
        </w:rPr>
        <w:t xml:space="preserve">הנחיה זו עניינה בעבירות הלבנת הון </w:t>
      </w:r>
      <w:r w:rsidR="00FF40FC" w:rsidRPr="00BC76B6">
        <w:rPr>
          <w:rFonts w:cs="David" w:hint="cs"/>
          <w:sz w:val="24"/>
          <w:szCs w:val="24"/>
          <w:rtl/>
        </w:rPr>
        <w:t xml:space="preserve">ברכוש אסור המתייחס לעבירות מקור שהן </w:t>
      </w:r>
      <w:r w:rsidRPr="00BC76B6">
        <w:rPr>
          <w:rFonts w:cs="David" w:hint="cs"/>
          <w:sz w:val="24"/>
          <w:szCs w:val="24"/>
          <w:rtl/>
        </w:rPr>
        <w:t xml:space="preserve">עבירות מס הקבועות בתוספת הראשונה לחוק איסור הלבנת הון: סעיף 220 לפקודת מס הכנסה, סעיף 117 לחוק מע"מ וסעיף 98ג לחוק מיסוי מקרקעין. </w:t>
      </w:r>
    </w:p>
    <w:p w:rsidR="002400CD" w:rsidRPr="00BC76B6" w:rsidRDefault="002400CD" w:rsidP="00767DD6">
      <w:pPr>
        <w:keepLines/>
        <w:numPr>
          <w:ilvl w:val="0"/>
          <w:numId w:val="2"/>
        </w:numPr>
        <w:spacing w:after="0" w:line="360" w:lineRule="auto"/>
        <w:jc w:val="both"/>
        <w:rPr>
          <w:rFonts w:cs="David"/>
          <w:sz w:val="24"/>
          <w:szCs w:val="24"/>
        </w:rPr>
      </w:pPr>
      <w:r w:rsidRPr="00BC76B6">
        <w:rPr>
          <w:rFonts w:cs="David" w:hint="cs"/>
          <w:sz w:val="24"/>
          <w:szCs w:val="24"/>
          <w:rtl/>
        </w:rPr>
        <w:t>לאחרונה תוקן חוק איסור הלבנת הון והתווספו לרשימת עבירות המקור המנויות בתוספת הראשונה לחוק עבירות .... כן נקבע כי עבירות אלו יהוו עבירות מקור בנסיבות המפורטות להלן [...]</w:t>
      </w:r>
    </w:p>
    <w:p w:rsidR="00761EFA" w:rsidRPr="00BC76B6" w:rsidRDefault="00761EFA" w:rsidP="00761EFA">
      <w:pPr>
        <w:keepLines/>
        <w:numPr>
          <w:ilvl w:val="0"/>
          <w:numId w:val="2"/>
        </w:numPr>
        <w:spacing w:after="0" w:line="360" w:lineRule="auto"/>
        <w:jc w:val="both"/>
        <w:rPr>
          <w:rFonts w:cs="David"/>
          <w:sz w:val="24"/>
          <w:szCs w:val="24"/>
          <w:rtl/>
        </w:rPr>
      </w:pPr>
      <w:r w:rsidRPr="00BC76B6">
        <w:rPr>
          <w:rFonts w:cs="David" w:hint="cs"/>
          <w:sz w:val="24"/>
          <w:szCs w:val="24"/>
          <w:rtl/>
        </w:rPr>
        <w:t>מטרתה של הנחיה זו להבנות את שיקול דעת הפרקליט באשר לנסיבות בהן ראוי להוסיף אישום בעבירת הלבנת הון מקום שעבירת המקור נשוא ההלבנה הינה אחת משלושת העבירות המנויות לעיל</w:t>
      </w:r>
      <w:r w:rsidR="001E449D" w:rsidRPr="00BC76B6">
        <w:rPr>
          <w:rFonts w:cs="David" w:hint="cs"/>
          <w:sz w:val="24"/>
          <w:szCs w:val="24"/>
          <w:rtl/>
        </w:rPr>
        <w:t xml:space="preserve">, למעט עבירות הנוגעות לחשבוניות פיקטיביות המנויות בפרט 17 לתוספת הראשונה (להלן </w:t>
      </w:r>
      <w:r w:rsidR="001E449D" w:rsidRPr="00BC76B6">
        <w:rPr>
          <w:rFonts w:cs="David"/>
          <w:sz w:val="24"/>
          <w:szCs w:val="24"/>
          <w:rtl/>
        </w:rPr>
        <w:t>–</w:t>
      </w:r>
      <w:r w:rsidR="001E449D" w:rsidRPr="00BC76B6">
        <w:rPr>
          <w:rFonts w:cs="David" w:hint="cs"/>
          <w:sz w:val="24"/>
          <w:szCs w:val="24"/>
          <w:rtl/>
        </w:rPr>
        <w:t xml:space="preserve"> עבירות מס)</w:t>
      </w:r>
      <w:r w:rsidRPr="00BC76B6">
        <w:rPr>
          <w:rFonts w:cs="David" w:hint="cs"/>
          <w:sz w:val="24"/>
          <w:szCs w:val="24"/>
          <w:rtl/>
        </w:rPr>
        <w:t>.</w:t>
      </w:r>
    </w:p>
    <w:p w:rsidR="003028BA" w:rsidRPr="00BC76B6" w:rsidRDefault="00805A83" w:rsidP="00937CAB">
      <w:pPr>
        <w:keepLines/>
        <w:numPr>
          <w:ilvl w:val="0"/>
          <w:numId w:val="2"/>
        </w:numPr>
        <w:spacing w:after="0" w:line="360" w:lineRule="auto"/>
        <w:jc w:val="both"/>
        <w:rPr>
          <w:rFonts w:cs="David"/>
          <w:sz w:val="24"/>
          <w:szCs w:val="24"/>
        </w:rPr>
      </w:pPr>
      <w:r w:rsidRPr="00BC76B6">
        <w:rPr>
          <w:rFonts w:cs="David" w:hint="cs"/>
          <w:sz w:val="24"/>
          <w:szCs w:val="24"/>
          <w:rtl/>
        </w:rPr>
        <w:t>לעניין ה</w:t>
      </w:r>
      <w:r w:rsidR="00A016C6" w:rsidRPr="00BC76B6">
        <w:rPr>
          <w:rFonts w:cs="David" w:hint="cs"/>
          <w:sz w:val="24"/>
          <w:szCs w:val="24"/>
          <w:rtl/>
        </w:rPr>
        <w:t>תנאי</w:t>
      </w:r>
      <w:r w:rsidRPr="00BC76B6">
        <w:rPr>
          <w:rFonts w:cs="David" w:hint="cs"/>
          <w:sz w:val="24"/>
          <w:szCs w:val="24"/>
          <w:rtl/>
        </w:rPr>
        <w:t xml:space="preserve"> של תחכום יובהר כי </w:t>
      </w:r>
      <w:r w:rsidR="00A016C6" w:rsidRPr="00BC76B6">
        <w:rPr>
          <w:rFonts w:cs="David" w:hint="cs"/>
          <w:sz w:val="24"/>
          <w:szCs w:val="24"/>
          <w:rtl/>
        </w:rPr>
        <w:t>בתנאי זה</w:t>
      </w:r>
      <w:r w:rsidRPr="00BC76B6">
        <w:rPr>
          <w:rFonts w:cs="David" w:hint="cs"/>
          <w:sz w:val="24"/>
          <w:szCs w:val="24"/>
          <w:rtl/>
        </w:rPr>
        <w:t xml:space="preserve"> ייכללו מקרים כגון</w:t>
      </w:r>
      <w:r w:rsidR="00A016C6" w:rsidRPr="00BC76B6">
        <w:rPr>
          <w:rFonts w:cs="David" w:hint="cs"/>
          <w:sz w:val="24"/>
          <w:szCs w:val="24"/>
          <w:rtl/>
        </w:rPr>
        <w:t>:</w:t>
      </w:r>
      <w:r w:rsidRPr="00BC76B6">
        <w:rPr>
          <w:rFonts w:cs="David" w:hint="cs"/>
          <w:sz w:val="24"/>
          <w:szCs w:val="24"/>
          <w:rtl/>
        </w:rPr>
        <w:t xml:space="preserve"> שימוש בתאגידים ומבנים משפטיים (נאמנויות)</w:t>
      </w:r>
      <w:r w:rsidR="00EF1763" w:rsidRPr="00BC76B6">
        <w:rPr>
          <w:rFonts w:cs="David" w:hint="cs"/>
          <w:sz w:val="24"/>
          <w:szCs w:val="24"/>
          <w:rtl/>
        </w:rPr>
        <w:t>, פתיחה וסגירה של תאגידים או שימוש במספר רב של תאגידים</w:t>
      </w:r>
      <w:r w:rsidRPr="00BC76B6">
        <w:rPr>
          <w:rFonts w:cs="David" w:hint="cs"/>
          <w:sz w:val="24"/>
          <w:szCs w:val="24"/>
          <w:rtl/>
        </w:rPr>
        <w:t xml:space="preserve">, </w:t>
      </w:r>
      <w:r w:rsidR="004F51FF" w:rsidRPr="00BC76B6">
        <w:rPr>
          <w:rFonts w:cs="David"/>
          <w:sz w:val="24"/>
          <w:szCs w:val="24"/>
          <w:rtl/>
        </w:rPr>
        <w:t>צמצום בסיס המס על ידי שימוש במחירי העברה</w:t>
      </w:r>
      <w:r w:rsidR="004F51FF" w:rsidRPr="00BC76B6">
        <w:rPr>
          <w:rFonts w:cs="David" w:hint="cs"/>
          <w:sz w:val="24"/>
          <w:szCs w:val="24"/>
          <w:rtl/>
        </w:rPr>
        <w:t xml:space="preserve"> (מחיר</w:t>
      </w:r>
      <w:r w:rsidR="004F51FF" w:rsidRPr="00BC76B6">
        <w:rPr>
          <w:rFonts w:cs="David"/>
          <w:sz w:val="24"/>
          <w:szCs w:val="24"/>
          <w:rtl/>
        </w:rPr>
        <w:t xml:space="preserve"> </w:t>
      </w:r>
      <w:r w:rsidR="004F51FF" w:rsidRPr="00BC76B6">
        <w:rPr>
          <w:rFonts w:cs="David" w:hint="cs"/>
          <w:sz w:val="24"/>
          <w:szCs w:val="24"/>
          <w:rtl/>
        </w:rPr>
        <w:t>שיש</w:t>
      </w:r>
      <w:r w:rsidR="004F51FF" w:rsidRPr="00BC76B6">
        <w:rPr>
          <w:rFonts w:cs="David"/>
          <w:sz w:val="24"/>
          <w:szCs w:val="24"/>
          <w:rtl/>
        </w:rPr>
        <w:t xml:space="preserve"> </w:t>
      </w:r>
      <w:r w:rsidR="004F51FF" w:rsidRPr="00BC76B6">
        <w:rPr>
          <w:rFonts w:cs="David" w:hint="cs"/>
          <w:sz w:val="24"/>
          <w:szCs w:val="24"/>
          <w:rtl/>
        </w:rPr>
        <w:t>לייחס</w:t>
      </w:r>
      <w:r w:rsidR="004F51FF" w:rsidRPr="00BC76B6">
        <w:rPr>
          <w:rFonts w:cs="David"/>
          <w:sz w:val="24"/>
          <w:szCs w:val="24"/>
          <w:rtl/>
        </w:rPr>
        <w:t xml:space="preserve"> </w:t>
      </w:r>
      <w:r w:rsidR="004F51FF" w:rsidRPr="00BC76B6">
        <w:rPr>
          <w:rFonts w:cs="David" w:hint="cs"/>
          <w:sz w:val="24"/>
          <w:szCs w:val="24"/>
          <w:rtl/>
        </w:rPr>
        <w:t>לעסקאות</w:t>
      </w:r>
      <w:r w:rsidR="004F51FF" w:rsidRPr="00BC76B6">
        <w:rPr>
          <w:rFonts w:cs="David"/>
          <w:sz w:val="24"/>
          <w:szCs w:val="24"/>
          <w:rtl/>
        </w:rPr>
        <w:t xml:space="preserve"> </w:t>
      </w:r>
      <w:r w:rsidR="004F51FF" w:rsidRPr="00BC76B6">
        <w:rPr>
          <w:rFonts w:cs="David" w:hint="cs"/>
          <w:sz w:val="24"/>
          <w:szCs w:val="24"/>
          <w:rtl/>
        </w:rPr>
        <w:t>הנעשות</w:t>
      </w:r>
      <w:r w:rsidR="004F51FF" w:rsidRPr="00BC76B6">
        <w:rPr>
          <w:rFonts w:cs="David"/>
          <w:sz w:val="24"/>
          <w:szCs w:val="24"/>
          <w:rtl/>
        </w:rPr>
        <w:t xml:space="preserve"> </w:t>
      </w:r>
      <w:r w:rsidR="004F51FF" w:rsidRPr="00BC76B6">
        <w:rPr>
          <w:rFonts w:cs="David" w:hint="cs"/>
          <w:sz w:val="24"/>
          <w:szCs w:val="24"/>
          <w:rtl/>
        </w:rPr>
        <w:t>בין</w:t>
      </w:r>
      <w:r w:rsidR="004F51FF" w:rsidRPr="00BC76B6">
        <w:rPr>
          <w:rFonts w:cs="David"/>
          <w:sz w:val="24"/>
          <w:szCs w:val="24"/>
          <w:rtl/>
        </w:rPr>
        <w:t xml:space="preserve"> </w:t>
      </w:r>
      <w:r w:rsidR="004F51FF" w:rsidRPr="00BC76B6">
        <w:rPr>
          <w:rFonts w:cs="David" w:hint="cs"/>
          <w:sz w:val="24"/>
          <w:szCs w:val="24"/>
          <w:rtl/>
        </w:rPr>
        <w:t>צדדים</w:t>
      </w:r>
      <w:r w:rsidR="004F51FF" w:rsidRPr="00BC76B6">
        <w:rPr>
          <w:rFonts w:cs="David"/>
          <w:sz w:val="24"/>
          <w:szCs w:val="24"/>
          <w:rtl/>
        </w:rPr>
        <w:t xml:space="preserve"> </w:t>
      </w:r>
      <w:r w:rsidR="004F51FF" w:rsidRPr="00BC76B6">
        <w:rPr>
          <w:rFonts w:cs="David" w:hint="cs"/>
          <w:sz w:val="24"/>
          <w:szCs w:val="24"/>
          <w:rtl/>
        </w:rPr>
        <w:t>שמתקיימים</w:t>
      </w:r>
      <w:r w:rsidR="004F51FF" w:rsidRPr="00BC76B6">
        <w:rPr>
          <w:rFonts w:cs="David"/>
          <w:sz w:val="24"/>
          <w:szCs w:val="24"/>
          <w:rtl/>
        </w:rPr>
        <w:t xml:space="preserve"> </w:t>
      </w:r>
      <w:r w:rsidR="004F51FF" w:rsidRPr="00BC76B6">
        <w:rPr>
          <w:rFonts w:cs="David" w:hint="cs"/>
          <w:sz w:val="24"/>
          <w:szCs w:val="24"/>
          <w:rtl/>
        </w:rPr>
        <w:t>ביניהם</w:t>
      </w:r>
      <w:r w:rsidR="004F51FF" w:rsidRPr="00BC76B6">
        <w:rPr>
          <w:rFonts w:cs="David"/>
          <w:sz w:val="24"/>
          <w:szCs w:val="24"/>
          <w:rtl/>
        </w:rPr>
        <w:t xml:space="preserve"> </w:t>
      </w:r>
      <w:r w:rsidR="004F51FF" w:rsidRPr="00BC76B6">
        <w:rPr>
          <w:rFonts w:cs="David" w:hint="cs"/>
          <w:sz w:val="24"/>
          <w:szCs w:val="24"/>
          <w:rtl/>
        </w:rPr>
        <w:t>יחסים</w:t>
      </w:r>
      <w:r w:rsidR="004F51FF" w:rsidRPr="00BC76B6">
        <w:rPr>
          <w:rFonts w:cs="David"/>
          <w:sz w:val="24"/>
          <w:szCs w:val="24"/>
          <w:rtl/>
        </w:rPr>
        <w:t xml:space="preserve"> </w:t>
      </w:r>
      <w:r w:rsidR="004F51FF" w:rsidRPr="00BC76B6">
        <w:rPr>
          <w:rFonts w:cs="David" w:hint="cs"/>
          <w:sz w:val="24"/>
          <w:szCs w:val="24"/>
          <w:rtl/>
        </w:rPr>
        <w:t>מיוחדים</w:t>
      </w:r>
      <w:r w:rsidR="004F51FF" w:rsidRPr="00BC76B6">
        <w:rPr>
          <w:rFonts w:cs="David"/>
          <w:sz w:val="24"/>
          <w:szCs w:val="24"/>
          <w:rtl/>
        </w:rPr>
        <w:t>), חברות דיגיטליות ושימוש במקלטי מס</w:t>
      </w:r>
      <w:r w:rsidR="004F51FF" w:rsidRPr="00BC76B6">
        <w:rPr>
          <w:rFonts w:cs="David" w:hint="cs"/>
          <w:sz w:val="24"/>
          <w:szCs w:val="24"/>
          <w:rtl/>
        </w:rPr>
        <w:t xml:space="preserve">, </w:t>
      </w:r>
      <w:r w:rsidRPr="00BC76B6">
        <w:rPr>
          <w:rFonts w:cs="David" w:hint="cs"/>
          <w:sz w:val="24"/>
          <w:szCs w:val="24"/>
          <w:rtl/>
        </w:rPr>
        <w:t xml:space="preserve">, העברת רכוש בין מדינות, תנועות סיבוביות, </w:t>
      </w:r>
      <w:r w:rsidR="00FE1ED9" w:rsidRPr="00BC76B6">
        <w:rPr>
          <w:rFonts w:cs="David" w:hint="cs"/>
          <w:sz w:val="24"/>
          <w:szCs w:val="24"/>
          <w:rtl/>
        </w:rPr>
        <w:t>שימוש באנשי קש, שימוש מניפולטיבי בגופים פיננסיים</w:t>
      </w:r>
      <w:r w:rsidR="00E85697" w:rsidRPr="00BC76B6">
        <w:rPr>
          <w:rFonts w:cs="David" w:hint="cs"/>
          <w:sz w:val="24"/>
          <w:szCs w:val="24"/>
          <w:rtl/>
        </w:rPr>
        <w:t xml:space="preserve">, שימוש בזירות </w:t>
      </w:r>
      <w:r w:rsidR="00BD0C30" w:rsidRPr="00BC76B6">
        <w:rPr>
          <w:rFonts w:cs="David" w:hint="cs"/>
          <w:sz w:val="24"/>
          <w:szCs w:val="24"/>
          <w:rtl/>
        </w:rPr>
        <w:t xml:space="preserve">לסחר במטבע </w:t>
      </w:r>
      <w:r w:rsidR="00E85697" w:rsidRPr="00BC76B6">
        <w:rPr>
          <w:rFonts w:cs="David" w:hint="cs"/>
          <w:sz w:val="24"/>
          <w:szCs w:val="24"/>
          <w:rtl/>
        </w:rPr>
        <w:t>וירטואלי</w:t>
      </w:r>
      <w:r w:rsidR="00EF1763" w:rsidRPr="00BC76B6">
        <w:rPr>
          <w:rFonts w:cs="David" w:hint="cs"/>
          <w:sz w:val="24"/>
          <w:szCs w:val="24"/>
          <w:rtl/>
        </w:rPr>
        <w:t xml:space="preserve">, </w:t>
      </w:r>
      <w:r w:rsidR="00AF5104" w:rsidRPr="00BC76B6">
        <w:rPr>
          <w:rFonts w:cs="David" w:hint="cs"/>
          <w:sz w:val="24"/>
          <w:szCs w:val="24"/>
          <w:rtl/>
        </w:rPr>
        <w:t>בניית תוכניות מחשב מתוחכמות</w:t>
      </w:r>
      <w:r w:rsidR="00FE1ED9" w:rsidRPr="00BC76B6">
        <w:rPr>
          <w:rFonts w:cs="David" w:hint="cs"/>
          <w:sz w:val="24"/>
          <w:szCs w:val="24"/>
          <w:rtl/>
        </w:rPr>
        <w:t>.</w:t>
      </w:r>
      <w:r w:rsidRPr="00BC76B6">
        <w:rPr>
          <w:rFonts w:cs="David" w:hint="cs"/>
          <w:sz w:val="24"/>
          <w:szCs w:val="24"/>
          <w:rtl/>
        </w:rPr>
        <w:t xml:space="preserve"> </w:t>
      </w:r>
      <w:r w:rsidR="00F6564F" w:rsidRPr="00BC76B6">
        <w:rPr>
          <w:rFonts w:cs="David" w:hint="cs"/>
          <w:sz w:val="24"/>
          <w:szCs w:val="24"/>
          <w:rtl/>
        </w:rPr>
        <w:t>וכן טיפולוגיה מוכרת של הלבנת הון</w:t>
      </w:r>
      <w:r w:rsidR="00761EFA" w:rsidRPr="00BC76B6">
        <w:rPr>
          <w:rFonts w:cs="David" w:hint="cs"/>
          <w:sz w:val="24"/>
          <w:szCs w:val="24"/>
          <w:rtl/>
        </w:rPr>
        <w:t xml:space="preserve">, כפי שמפרסם מעת לעת ארגון </w:t>
      </w:r>
      <w:r w:rsidR="00761EFA" w:rsidRPr="00BC76B6">
        <w:rPr>
          <w:rFonts w:cs="David"/>
          <w:sz w:val="24"/>
          <w:szCs w:val="24"/>
        </w:rPr>
        <w:t>FATF</w:t>
      </w:r>
      <w:r w:rsidR="00F6564F" w:rsidRPr="00BC76B6">
        <w:rPr>
          <w:rFonts w:cs="David" w:hint="cs"/>
          <w:sz w:val="24"/>
          <w:szCs w:val="24"/>
          <w:rtl/>
        </w:rPr>
        <w:t>.</w:t>
      </w:r>
    </w:p>
    <w:p w:rsidR="00805A83" w:rsidRPr="00BC76B6" w:rsidRDefault="00A016C6" w:rsidP="00925300">
      <w:pPr>
        <w:keepLines/>
        <w:numPr>
          <w:ilvl w:val="0"/>
          <w:numId w:val="2"/>
        </w:numPr>
        <w:spacing w:after="0" w:line="360" w:lineRule="auto"/>
        <w:jc w:val="both"/>
        <w:rPr>
          <w:rFonts w:cs="David"/>
          <w:sz w:val="24"/>
          <w:szCs w:val="24"/>
          <w:rtl/>
        </w:rPr>
      </w:pPr>
      <w:r w:rsidRPr="00BC76B6">
        <w:rPr>
          <w:rFonts w:cs="David" w:hint="cs"/>
          <w:sz w:val="24"/>
          <w:szCs w:val="24"/>
          <w:rtl/>
        </w:rPr>
        <w:t xml:space="preserve">לגבי התנאי של ביצוע עבירת הלבנת הון בידי מי שאינו האדם החייב במס, יובהר כי בתנאי זה יכללו מצבים בהם </w:t>
      </w:r>
      <w:r w:rsidRPr="00BC76B6">
        <w:rPr>
          <w:rFonts w:cs="David" w:hint="cs"/>
          <w:b/>
          <w:bCs/>
          <w:sz w:val="24"/>
          <w:szCs w:val="24"/>
          <w:rtl/>
        </w:rPr>
        <w:t>עבירת הלבנת ההון</w:t>
      </w:r>
      <w:r w:rsidRPr="00BC76B6">
        <w:rPr>
          <w:rFonts w:cs="David" w:hint="cs"/>
          <w:sz w:val="24"/>
          <w:szCs w:val="24"/>
          <w:rtl/>
        </w:rPr>
        <w:t xml:space="preserve"> בוצעה בידי צד ג', ולא כאשר אדם נוסף זולת העבריין היה שותף לעבירת המס, מבלי שביצע עבירות לפי חוק איסור הלבנת הון. כך למשל, תנאי זה אינו מתקיים </w:t>
      </w:r>
      <w:r w:rsidR="00264B8C" w:rsidRPr="00BC76B6">
        <w:rPr>
          <w:rFonts w:cs="David" w:hint="cs"/>
          <w:sz w:val="24"/>
          <w:szCs w:val="24"/>
          <w:rtl/>
        </w:rPr>
        <w:t xml:space="preserve">לגבי בן זוג של מעלים מס כאשר מעורבותו של בן הזוג מתמצית אך ורק </w:t>
      </w:r>
      <w:r w:rsidRPr="00BC76B6">
        <w:rPr>
          <w:rFonts w:cs="David" w:hint="cs"/>
          <w:sz w:val="24"/>
          <w:szCs w:val="24"/>
          <w:rtl/>
        </w:rPr>
        <w:t>ב</w:t>
      </w:r>
      <w:r w:rsidR="00264B8C" w:rsidRPr="00BC76B6">
        <w:rPr>
          <w:rFonts w:cs="David" w:hint="cs"/>
          <w:sz w:val="24"/>
          <w:szCs w:val="24"/>
          <w:rtl/>
        </w:rPr>
        <w:t>סיוע ל</w:t>
      </w:r>
      <w:r w:rsidRPr="00BC76B6">
        <w:rPr>
          <w:rFonts w:cs="David" w:hint="cs"/>
          <w:sz w:val="24"/>
          <w:szCs w:val="24"/>
          <w:rtl/>
        </w:rPr>
        <w:t>העלמת המס</w:t>
      </w:r>
      <w:r w:rsidR="00264B8C" w:rsidRPr="00BC76B6">
        <w:rPr>
          <w:rFonts w:cs="David" w:hint="cs"/>
          <w:sz w:val="24"/>
          <w:szCs w:val="24"/>
          <w:rtl/>
        </w:rPr>
        <w:t xml:space="preserve"> עצמה.</w:t>
      </w:r>
    </w:p>
    <w:p w:rsidR="002400CD" w:rsidRPr="00BC76B6" w:rsidRDefault="002400CD" w:rsidP="002400CD">
      <w:pPr>
        <w:spacing w:line="360" w:lineRule="auto"/>
        <w:jc w:val="both"/>
        <w:rPr>
          <w:rFonts w:cs="David"/>
          <w:sz w:val="24"/>
          <w:szCs w:val="24"/>
        </w:rPr>
      </w:pPr>
    </w:p>
    <w:p w:rsidR="002400CD" w:rsidRPr="00BC76B6" w:rsidRDefault="002400CD" w:rsidP="002400CD">
      <w:pPr>
        <w:numPr>
          <w:ilvl w:val="0"/>
          <w:numId w:val="1"/>
        </w:numPr>
        <w:spacing w:line="360" w:lineRule="auto"/>
        <w:jc w:val="both"/>
        <w:rPr>
          <w:rFonts w:cs="David"/>
          <w:b/>
          <w:bCs/>
          <w:sz w:val="24"/>
          <w:szCs w:val="24"/>
        </w:rPr>
      </w:pPr>
      <w:r w:rsidRPr="00BC76B6">
        <w:rPr>
          <w:rFonts w:cs="David" w:hint="cs"/>
          <w:b/>
          <w:bCs/>
          <w:sz w:val="24"/>
          <w:szCs w:val="24"/>
          <w:rtl/>
        </w:rPr>
        <w:t>מדיניות התביעה בהגשת כתבי אישום</w:t>
      </w:r>
    </w:p>
    <w:p w:rsidR="002400CD" w:rsidRPr="00BC76B6" w:rsidRDefault="009922DF" w:rsidP="007D18B7">
      <w:pPr>
        <w:numPr>
          <w:ilvl w:val="0"/>
          <w:numId w:val="3"/>
        </w:numPr>
        <w:spacing w:line="360" w:lineRule="auto"/>
        <w:jc w:val="both"/>
        <w:rPr>
          <w:rFonts w:cs="David"/>
          <w:sz w:val="24"/>
          <w:szCs w:val="24"/>
        </w:rPr>
      </w:pPr>
      <w:r w:rsidRPr="00BC76B6">
        <w:rPr>
          <w:rFonts w:cs="David" w:hint="cs"/>
          <w:sz w:val="24"/>
          <w:szCs w:val="24"/>
          <w:rtl/>
        </w:rPr>
        <w:t xml:space="preserve">עבירות של הלבנת הון לפי סעיפים 3 ו-4 לחוק הן עבירות נפרדות מעבירות המקור, והן מאפשרות הטלת עונש נפרד ונוסף. לכן, </w:t>
      </w:r>
      <w:r w:rsidR="002400CD" w:rsidRPr="00BC76B6">
        <w:rPr>
          <w:rFonts w:cs="David" w:hint="cs"/>
          <w:sz w:val="24"/>
          <w:szCs w:val="24"/>
          <w:rtl/>
        </w:rPr>
        <w:t>הגש</w:t>
      </w:r>
      <w:r w:rsidR="00663ED2" w:rsidRPr="00BC76B6">
        <w:rPr>
          <w:rFonts w:cs="David" w:hint="cs"/>
          <w:sz w:val="24"/>
          <w:szCs w:val="24"/>
          <w:rtl/>
        </w:rPr>
        <w:t>ת כתב אישום בעבירה של הלבנת הון</w:t>
      </w:r>
      <w:r w:rsidR="002400CD" w:rsidRPr="00BC76B6">
        <w:rPr>
          <w:rFonts w:cs="David" w:hint="cs"/>
          <w:sz w:val="24"/>
          <w:szCs w:val="24"/>
          <w:rtl/>
        </w:rPr>
        <w:t xml:space="preserve"> דורשת </w:t>
      </w:r>
      <w:r w:rsidR="00871821" w:rsidRPr="00BC76B6">
        <w:rPr>
          <w:rFonts w:cs="David" w:hint="cs"/>
          <w:sz w:val="24"/>
          <w:szCs w:val="24"/>
          <w:rtl/>
        </w:rPr>
        <w:t xml:space="preserve">פגיעה </w:t>
      </w:r>
      <w:r w:rsidR="00BC3034" w:rsidRPr="00BC76B6">
        <w:rPr>
          <w:rFonts w:cs="David" w:hint="cs"/>
          <w:sz w:val="24"/>
          <w:szCs w:val="24"/>
          <w:rtl/>
        </w:rPr>
        <w:t>ב</w:t>
      </w:r>
      <w:r w:rsidR="002400CD" w:rsidRPr="00BC76B6">
        <w:rPr>
          <w:rFonts w:cs="David" w:hint="cs"/>
          <w:sz w:val="24"/>
          <w:szCs w:val="24"/>
          <w:rtl/>
        </w:rPr>
        <w:t>ערך מוגן נוסף פרט ל</w:t>
      </w:r>
      <w:r w:rsidR="00771CC1" w:rsidRPr="00BC76B6">
        <w:rPr>
          <w:rFonts w:cs="David" w:hint="cs"/>
          <w:sz w:val="24"/>
          <w:szCs w:val="24"/>
          <w:rtl/>
        </w:rPr>
        <w:t>ע</w:t>
      </w:r>
      <w:r w:rsidR="00AD4DFE" w:rsidRPr="00BC76B6">
        <w:rPr>
          <w:rFonts w:cs="David" w:hint="cs"/>
          <w:sz w:val="24"/>
          <w:szCs w:val="24"/>
          <w:rtl/>
        </w:rPr>
        <w:t>בירת המקור</w:t>
      </w:r>
      <w:r w:rsidR="002400CD" w:rsidRPr="00BC76B6">
        <w:rPr>
          <w:rFonts w:cs="David" w:hint="cs"/>
          <w:sz w:val="24"/>
          <w:szCs w:val="24"/>
          <w:rtl/>
        </w:rPr>
        <w:t>.</w:t>
      </w:r>
    </w:p>
    <w:p w:rsidR="002400CD" w:rsidRPr="00BC76B6" w:rsidRDefault="00871821" w:rsidP="009568D2">
      <w:pPr>
        <w:numPr>
          <w:ilvl w:val="0"/>
          <w:numId w:val="3"/>
        </w:numPr>
        <w:spacing w:line="360" w:lineRule="auto"/>
        <w:jc w:val="both"/>
        <w:rPr>
          <w:rFonts w:cs="David"/>
          <w:sz w:val="24"/>
          <w:szCs w:val="24"/>
        </w:rPr>
      </w:pPr>
      <w:r w:rsidRPr="00BC76B6">
        <w:rPr>
          <w:rFonts w:cs="David" w:hint="cs"/>
          <w:sz w:val="24"/>
          <w:szCs w:val="24"/>
          <w:rtl/>
        </w:rPr>
        <w:t>הפגיעה ב</w:t>
      </w:r>
      <w:r w:rsidR="002400CD" w:rsidRPr="00BC76B6">
        <w:rPr>
          <w:rFonts w:cs="David" w:hint="cs"/>
          <w:sz w:val="24"/>
          <w:szCs w:val="24"/>
          <w:rtl/>
        </w:rPr>
        <w:t xml:space="preserve">ערך המוגן </w:t>
      </w:r>
      <w:r w:rsidRPr="00BC76B6">
        <w:rPr>
          <w:rFonts w:cs="David" w:hint="cs"/>
          <w:sz w:val="24"/>
          <w:szCs w:val="24"/>
          <w:rtl/>
        </w:rPr>
        <w:t xml:space="preserve">בחוק איסור הלבנת הון </w:t>
      </w:r>
      <w:r w:rsidR="008A63DB" w:rsidRPr="00BC76B6">
        <w:rPr>
          <w:rFonts w:cs="David" w:hint="cs"/>
          <w:sz w:val="24"/>
          <w:szCs w:val="24"/>
          <w:rtl/>
        </w:rPr>
        <w:t>קיימת מקום שבו נעשתה פעולה ש</w:t>
      </w:r>
      <w:r w:rsidR="00EB22C6" w:rsidRPr="00BC76B6">
        <w:rPr>
          <w:rFonts w:cs="David" w:hint="cs"/>
          <w:sz w:val="24"/>
          <w:szCs w:val="24"/>
          <w:rtl/>
        </w:rPr>
        <w:t>ל</w:t>
      </w:r>
      <w:r w:rsidR="008A63DB" w:rsidRPr="00BC76B6" w:rsidDel="008A63DB">
        <w:rPr>
          <w:rFonts w:cs="David" w:hint="cs"/>
          <w:sz w:val="24"/>
          <w:szCs w:val="24"/>
          <w:rtl/>
        </w:rPr>
        <w:t xml:space="preserve"> </w:t>
      </w:r>
      <w:r w:rsidR="002400CD" w:rsidRPr="00BC76B6">
        <w:rPr>
          <w:rFonts w:cs="David" w:hint="cs"/>
          <w:sz w:val="24"/>
          <w:szCs w:val="24"/>
          <w:rtl/>
        </w:rPr>
        <w:t>הסתרה והסווא</w:t>
      </w:r>
      <w:r w:rsidR="008A63DB" w:rsidRPr="00BC76B6">
        <w:rPr>
          <w:rFonts w:cs="David" w:hint="cs"/>
          <w:sz w:val="24"/>
          <w:szCs w:val="24"/>
          <w:rtl/>
        </w:rPr>
        <w:t>ה</w:t>
      </w:r>
      <w:r w:rsidR="002400CD" w:rsidRPr="00BC76B6">
        <w:rPr>
          <w:rFonts w:cs="David" w:hint="cs"/>
          <w:sz w:val="24"/>
          <w:szCs w:val="24"/>
          <w:rtl/>
        </w:rPr>
        <w:t xml:space="preserve"> </w:t>
      </w:r>
      <w:r w:rsidRPr="00BC76B6">
        <w:rPr>
          <w:rFonts w:cs="David" w:hint="cs"/>
          <w:sz w:val="24"/>
          <w:szCs w:val="24"/>
          <w:rtl/>
        </w:rPr>
        <w:t xml:space="preserve">של </w:t>
      </w:r>
      <w:r w:rsidR="001E449D" w:rsidRPr="00BC76B6">
        <w:rPr>
          <w:rFonts w:cs="David" w:hint="cs"/>
          <w:sz w:val="24"/>
          <w:szCs w:val="24"/>
          <w:rtl/>
        </w:rPr>
        <w:t xml:space="preserve">הרכוש </w:t>
      </w:r>
      <w:r w:rsidRPr="00BC76B6">
        <w:rPr>
          <w:rFonts w:cs="David" w:hint="cs"/>
          <w:sz w:val="24"/>
          <w:szCs w:val="24"/>
          <w:rtl/>
        </w:rPr>
        <w:t xml:space="preserve">נשוא עבירות המס, </w:t>
      </w:r>
      <w:r w:rsidR="001E449D" w:rsidRPr="00BC76B6">
        <w:rPr>
          <w:rFonts w:cs="David" w:hint="cs"/>
          <w:sz w:val="24"/>
          <w:szCs w:val="24"/>
          <w:rtl/>
        </w:rPr>
        <w:t>מיקומו</w:t>
      </w:r>
      <w:r w:rsidRPr="00BC76B6">
        <w:rPr>
          <w:rFonts w:cs="David" w:hint="cs"/>
          <w:sz w:val="24"/>
          <w:szCs w:val="24"/>
          <w:rtl/>
        </w:rPr>
        <w:t xml:space="preserve">, זהות </w:t>
      </w:r>
      <w:r w:rsidR="001E449D" w:rsidRPr="00BC76B6">
        <w:rPr>
          <w:rFonts w:cs="David" w:hint="cs"/>
          <w:sz w:val="24"/>
          <w:szCs w:val="24"/>
          <w:rtl/>
        </w:rPr>
        <w:t>בעלי הזכויות בו</w:t>
      </w:r>
      <w:r w:rsidRPr="00BC76B6">
        <w:rPr>
          <w:rFonts w:cs="David" w:hint="cs"/>
          <w:sz w:val="24"/>
          <w:szCs w:val="24"/>
          <w:rtl/>
        </w:rPr>
        <w:t xml:space="preserve"> ועוד</w:t>
      </w:r>
      <w:r w:rsidR="008A63DB" w:rsidRPr="00BC76B6">
        <w:rPr>
          <w:rFonts w:cs="David" w:hint="cs"/>
          <w:sz w:val="24"/>
          <w:szCs w:val="24"/>
          <w:rtl/>
        </w:rPr>
        <w:t xml:space="preserve">, </w:t>
      </w:r>
      <w:r w:rsidR="001E449D" w:rsidRPr="00BC76B6">
        <w:rPr>
          <w:rFonts w:cs="David" w:hint="cs"/>
          <w:sz w:val="24"/>
          <w:szCs w:val="24"/>
          <w:rtl/>
        </w:rPr>
        <w:t xml:space="preserve">בדרך כלל </w:t>
      </w:r>
      <w:r w:rsidR="00EB22C6" w:rsidRPr="00BC76B6">
        <w:rPr>
          <w:rFonts w:cs="David" w:hint="cs"/>
          <w:sz w:val="24"/>
          <w:szCs w:val="24"/>
          <w:rtl/>
        </w:rPr>
        <w:t xml:space="preserve">כחלק מהחדרת </w:t>
      </w:r>
      <w:r w:rsidR="008A63DB" w:rsidRPr="00BC76B6">
        <w:rPr>
          <w:rFonts w:cs="David" w:hint="cs"/>
          <w:sz w:val="24"/>
          <w:szCs w:val="24"/>
          <w:rtl/>
        </w:rPr>
        <w:t xml:space="preserve">פירות עבירת המקור לתוך </w:t>
      </w:r>
      <w:r w:rsidR="001E449D" w:rsidRPr="00BC76B6">
        <w:rPr>
          <w:rFonts w:cs="David" w:hint="cs"/>
          <w:sz w:val="24"/>
          <w:szCs w:val="24"/>
          <w:rtl/>
        </w:rPr>
        <w:t>הפעילות</w:t>
      </w:r>
      <w:r w:rsidR="008A63DB" w:rsidRPr="00BC76B6">
        <w:rPr>
          <w:rFonts w:cs="David" w:hint="cs"/>
          <w:sz w:val="24"/>
          <w:szCs w:val="24"/>
          <w:rtl/>
        </w:rPr>
        <w:t xml:space="preserve"> הפיננסית </w:t>
      </w:r>
      <w:r w:rsidR="00701A90" w:rsidRPr="00BC76B6">
        <w:rPr>
          <w:rFonts w:cs="David" w:hint="cs"/>
          <w:sz w:val="24"/>
          <w:szCs w:val="24"/>
          <w:rtl/>
        </w:rPr>
        <w:t xml:space="preserve">והעסקית </w:t>
      </w:r>
      <w:r w:rsidR="008A63DB" w:rsidRPr="00BC76B6">
        <w:rPr>
          <w:rFonts w:cs="David" w:hint="cs"/>
          <w:sz w:val="24"/>
          <w:szCs w:val="24"/>
          <w:rtl/>
        </w:rPr>
        <w:t>הלגיטימית</w:t>
      </w:r>
      <w:r w:rsidRPr="00BC76B6">
        <w:rPr>
          <w:rFonts w:cs="David" w:hint="cs"/>
          <w:sz w:val="24"/>
          <w:szCs w:val="24"/>
          <w:rtl/>
        </w:rPr>
        <w:t xml:space="preserve">. הדבר </w:t>
      </w:r>
      <w:r w:rsidR="002400CD" w:rsidRPr="00BC76B6">
        <w:rPr>
          <w:rFonts w:cs="David" w:hint="cs"/>
          <w:sz w:val="24"/>
          <w:szCs w:val="24"/>
          <w:rtl/>
        </w:rPr>
        <w:t xml:space="preserve"> יכול לבוא לידי ביטוי, למשל, </w:t>
      </w:r>
      <w:r w:rsidRPr="00BC76B6">
        <w:rPr>
          <w:rFonts w:cs="David" w:hint="cs"/>
          <w:sz w:val="24"/>
          <w:szCs w:val="24"/>
          <w:rtl/>
        </w:rPr>
        <w:t xml:space="preserve">בהפקדת </w:t>
      </w:r>
      <w:r w:rsidR="002400CD" w:rsidRPr="00BC76B6">
        <w:rPr>
          <w:rFonts w:cs="David" w:hint="cs"/>
          <w:sz w:val="24"/>
          <w:szCs w:val="24"/>
          <w:rtl/>
        </w:rPr>
        <w:t>כספי המס שהועלמו לחשבונות על שם אנשים אחרים, לחשבונות בחו"ל, שימוש באנשי קש או בחברות קש, הקמת ישויות משפטיו</w:t>
      </w:r>
      <w:r w:rsidR="009076FE" w:rsidRPr="00BC76B6">
        <w:rPr>
          <w:rFonts w:cs="David" w:hint="cs"/>
          <w:sz w:val="24"/>
          <w:szCs w:val="24"/>
          <w:rtl/>
        </w:rPr>
        <w:t xml:space="preserve">ת </w:t>
      </w:r>
      <w:r w:rsidR="009076FE" w:rsidRPr="00BC76B6">
        <w:rPr>
          <w:rFonts w:cs="David" w:hint="cs"/>
          <w:sz w:val="24"/>
          <w:szCs w:val="24"/>
          <w:rtl/>
        </w:rPr>
        <w:lastRenderedPageBreak/>
        <w:t>מורכבות, ניצול המערכת הפיננסית</w:t>
      </w:r>
      <w:r w:rsidR="002400CD" w:rsidRPr="00BC76B6">
        <w:rPr>
          <w:rFonts w:cs="David" w:hint="cs"/>
          <w:sz w:val="24"/>
          <w:szCs w:val="24"/>
          <w:rtl/>
        </w:rPr>
        <w:t xml:space="preserve"> או העסקית לצורך הסוואת מקור הרכוש</w:t>
      </w:r>
      <w:r w:rsidRPr="00BC76B6">
        <w:rPr>
          <w:rFonts w:cs="David" w:hint="cs"/>
          <w:sz w:val="24"/>
          <w:szCs w:val="24"/>
          <w:rtl/>
        </w:rPr>
        <w:t>, ערבובם בעסק אחר</w:t>
      </w:r>
      <w:r w:rsidR="002400CD" w:rsidRPr="00BC76B6">
        <w:rPr>
          <w:rFonts w:cs="David" w:hint="cs"/>
          <w:sz w:val="24"/>
          <w:szCs w:val="24"/>
          <w:rtl/>
        </w:rPr>
        <w:t xml:space="preserve"> ועוד.</w:t>
      </w:r>
      <w:r w:rsidR="00341BCA" w:rsidRPr="00BC76B6">
        <w:rPr>
          <w:rFonts w:cs="David" w:hint="cs"/>
          <w:sz w:val="24"/>
          <w:szCs w:val="24"/>
          <w:rtl/>
        </w:rPr>
        <w:t xml:space="preserve">  </w:t>
      </w:r>
    </w:p>
    <w:p w:rsidR="00BD0C30" w:rsidRPr="00BC76B6" w:rsidRDefault="00BD0C30" w:rsidP="008A63DB">
      <w:pPr>
        <w:numPr>
          <w:ilvl w:val="0"/>
          <w:numId w:val="3"/>
        </w:numPr>
        <w:spacing w:line="360" w:lineRule="auto"/>
        <w:jc w:val="both"/>
        <w:rPr>
          <w:rFonts w:cs="David"/>
          <w:sz w:val="24"/>
          <w:szCs w:val="24"/>
        </w:rPr>
      </w:pPr>
      <w:r w:rsidRPr="00BC76B6">
        <w:rPr>
          <w:rFonts w:cs="David" w:hint="cs"/>
          <w:sz w:val="24"/>
          <w:szCs w:val="24"/>
          <w:rtl/>
        </w:rPr>
        <w:t xml:space="preserve">בית המשפט העליון (ע"פ 8235/05 </w:t>
      </w:r>
      <w:r w:rsidRPr="00BC76B6">
        <w:rPr>
          <w:rFonts w:cs="David" w:hint="cs"/>
          <w:b/>
          <w:bCs/>
          <w:sz w:val="24"/>
          <w:szCs w:val="24"/>
          <w:rtl/>
        </w:rPr>
        <w:t>בלס נ' מדינת ישראל</w:t>
      </w:r>
      <w:r w:rsidRPr="00BC76B6">
        <w:rPr>
          <w:rFonts w:cs="David" w:hint="cs"/>
          <w:sz w:val="24"/>
          <w:szCs w:val="24"/>
          <w:rtl/>
        </w:rPr>
        <w:t xml:space="preserve"> (פורסם בנבו 10.1.07)) הכיר בכך שחוק איסור הלבנת הון אינו מחייב נתק בין עבירת המקור ההופכת את הרכוש לרכוש אסור, לבין פעולת ההסתרה וההסוואה של אותו רכוש, המהווה עבירות הלבנת הון לפי החוק. ואולם, במקרים של "התמזגות" בין עבירת המקור לעבירת הלבנת ההון יש מקום להוסיף לכתב האישום אישום נפרד בעבירה של הלבנת הון, רק אם קיימת פגיעה בערך מוגן נוסף</w:t>
      </w:r>
      <w:r w:rsidR="008A63DB" w:rsidRPr="00BC76B6">
        <w:rPr>
          <w:rFonts w:cs="David" w:hint="cs"/>
          <w:sz w:val="24"/>
          <w:szCs w:val="24"/>
          <w:rtl/>
        </w:rPr>
        <w:t xml:space="preserve"> ונפרד מזה של עבירת המקור</w:t>
      </w:r>
      <w:r w:rsidRPr="00BC76B6">
        <w:rPr>
          <w:rFonts w:cs="David" w:hint="cs"/>
          <w:sz w:val="24"/>
          <w:szCs w:val="24"/>
          <w:rtl/>
        </w:rPr>
        <w:t>.</w:t>
      </w:r>
    </w:p>
    <w:p w:rsidR="00E47B40" w:rsidRPr="00BC76B6" w:rsidRDefault="00E47B40" w:rsidP="009568D2">
      <w:pPr>
        <w:numPr>
          <w:ilvl w:val="0"/>
          <w:numId w:val="3"/>
        </w:numPr>
        <w:spacing w:line="360" w:lineRule="auto"/>
        <w:jc w:val="both"/>
        <w:rPr>
          <w:rFonts w:cs="David"/>
          <w:sz w:val="24"/>
          <w:szCs w:val="24"/>
        </w:rPr>
      </w:pPr>
      <w:r w:rsidRPr="00BC76B6">
        <w:rPr>
          <w:rFonts w:cs="David" w:hint="cs"/>
          <w:sz w:val="24"/>
          <w:szCs w:val="24"/>
          <w:rtl/>
        </w:rPr>
        <w:t xml:space="preserve">במקרים של הלבנה עצמית בעבירות המס האמורות, כאשר קיימת זהות רבה בין דפוסי העלמת המס לדפוסי הלבנת ההון, הפגיעה בערך המוגן הנפרד הינה מינימאלית ולפיכך, ככלל, אין הצדקה לאישום נוסף הנוגע להלבנת כספים אלו. לפיכך, הוספת אישום נוסף בגין עבירות של הלבנת הון לפי החוק ביחס לעבירות המקור האמורות דורשת פעולת הסתרה נוספת על הפעולות שגיבשו את עבירות המס. </w:t>
      </w:r>
    </w:p>
    <w:p w:rsidR="001E449D" w:rsidRPr="00BC76B6" w:rsidRDefault="00EE7125" w:rsidP="009568D2">
      <w:pPr>
        <w:numPr>
          <w:ilvl w:val="0"/>
          <w:numId w:val="3"/>
        </w:numPr>
        <w:spacing w:line="360" w:lineRule="auto"/>
        <w:jc w:val="both"/>
        <w:rPr>
          <w:rFonts w:cs="David"/>
          <w:sz w:val="24"/>
          <w:szCs w:val="24"/>
        </w:rPr>
      </w:pPr>
      <w:r w:rsidRPr="00BC76B6">
        <w:rPr>
          <w:rFonts w:cs="David" w:hint="cs"/>
          <w:sz w:val="24"/>
          <w:szCs w:val="24"/>
          <w:rtl/>
        </w:rPr>
        <w:t xml:space="preserve">נוכח </w:t>
      </w:r>
      <w:r w:rsidR="00F233F0" w:rsidRPr="00BC76B6">
        <w:rPr>
          <w:rFonts w:cs="David" w:hint="cs"/>
          <w:sz w:val="24"/>
          <w:szCs w:val="24"/>
          <w:rtl/>
        </w:rPr>
        <w:t>אופיין המיוחד</w:t>
      </w:r>
      <w:r w:rsidRPr="00BC76B6">
        <w:rPr>
          <w:rFonts w:cs="David" w:hint="cs"/>
          <w:sz w:val="24"/>
          <w:szCs w:val="24"/>
          <w:rtl/>
        </w:rPr>
        <w:t xml:space="preserve"> של עבירות מס ביחס לעבירות הלבנת הון כאמור לעיל</w:t>
      </w:r>
      <w:r w:rsidR="001E449D" w:rsidRPr="00BC76B6">
        <w:rPr>
          <w:rFonts w:cs="David" w:hint="cs"/>
          <w:sz w:val="24"/>
          <w:szCs w:val="24"/>
          <w:rtl/>
        </w:rPr>
        <w:t xml:space="preserve"> </w:t>
      </w:r>
      <w:r w:rsidR="00B66BD6" w:rsidRPr="00BC76B6">
        <w:rPr>
          <w:rFonts w:cs="David" w:hint="cs"/>
          <w:sz w:val="24"/>
          <w:szCs w:val="24"/>
          <w:rtl/>
        </w:rPr>
        <w:t xml:space="preserve">והיסוד נפשי המיוחד של </w:t>
      </w:r>
      <w:r w:rsidR="00065CA4" w:rsidRPr="00BC76B6">
        <w:rPr>
          <w:rFonts w:cs="David" w:hint="cs"/>
          <w:sz w:val="24"/>
          <w:szCs w:val="24"/>
          <w:rtl/>
        </w:rPr>
        <w:t>'</w:t>
      </w:r>
      <w:r w:rsidR="00B66BD6" w:rsidRPr="00BC76B6">
        <w:rPr>
          <w:rFonts w:cs="David" w:hint="cs"/>
          <w:sz w:val="24"/>
          <w:szCs w:val="24"/>
          <w:rtl/>
        </w:rPr>
        <w:t>מטרה להתחמק או להשתמט מתשלום מס</w:t>
      </w:r>
      <w:r w:rsidR="00065CA4" w:rsidRPr="00BC76B6">
        <w:rPr>
          <w:rFonts w:cs="David" w:hint="cs"/>
          <w:sz w:val="24"/>
          <w:szCs w:val="24"/>
          <w:rtl/>
        </w:rPr>
        <w:t>'</w:t>
      </w:r>
      <w:r w:rsidR="002125DA" w:rsidRPr="00BC76B6">
        <w:rPr>
          <w:rFonts w:cs="David" w:hint="cs"/>
          <w:sz w:val="24"/>
          <w:szCs w:val="24"/>
          <w:rtl/>
        </w:rPr>
        <w:t xml:space="preserve"> שנדרש בהם</w:t>
      </w:r>
      <w:r w:rsidR="00B66BD6" w:rsidRPr="00BC76B6">
        <w:rPr>
          <w:rFonts w:cs="David" w:hint="cs"/>
          <w:sz w:val="24"/>
          <w:szCs w:val="24"/>
          <w:rtl/>
        </w:rPr>
        <w:t xml:space="preserve">, </w:t>
      </w:r>
      <w:r w:rsidR="001E449D" w:rsidRPr="00BC76B6">
        <w:rPr>
          <w:rFonts w:cs="David" w:hint="cs"/>
          <w:sz w:val="24"/>
          <w:szCs w:val="24"/>
          <w:rtl/>
        </w:rPr>
        <w:t>כעניין שבמדיניות לא יוגש כתב אישום בנוגע למעשים שמטרתם להסתיר רק את עצם ביצוע עבירת המס. כתב אישום בעבירה לפי סעיף 3(א) לחוק, יוגש מקום שבוצעו מעשים שמטרתם הסתרה או הסוואה של הרכוש האסור.</w:t>
      </w:r>
    </w:p>
    <w:p w:rsidR="00E47B40" w:rsidRPr="00BC76B6" w:rsidRDefault="00E47B40" w:rsidP="00FB5BDE">
      <w:pPr>
        <w:numPr>
          <w:ilvl w:val="0"/>
          <w:numId w:val="3"/>
        </w:numPr>
        <w:spacing w:line="360" w:lineRule="auto"/>
        <w:jc w:val="both"/>
        <w:rPr>
          <w:rFonts w:cs="David"/>
          <w:sz w:val="24"/>
          <w:szCs w:val="24"/>
        </w:rPr>
      </w:pPr>
      <w:r w:rsidRPr="00BC76B6">
        <w:rPr>
          <w:rFonts w:cs="David" w:hint="cs"/>
          <w:sz w:val="24"/>
          <w:szCs w:val="24"/>
          <w:rtl/>
        </w:rPr>
        <w:t>על יסוד אותו רציונאל, מובהר כי חרף עובדה שהגדרת "פעולה ברכוש" כוללת החזקה (ראו סעיף 1 לחוק איסור הלבנת הון), אין, ככלל, מקום להגיש כתב אישום בעבירה לפי סעיף 4 לחוק איסור הלבנת הון נגד מבצע עבירת המקור, בגין עצם החזקת הרכוש, למעט במקרים חריגים, באישור פרקליט מחוז</w:t>
      </w:r>
      <w:r w:rsidR="00B66BD6" w:rsidRPr="00BC76B6">
        <w:rPr>
          <w:rFonts w:cs="David" w:hint="cs"/>
          <w:sz w:val="24"/>
          <w:szCs w:val="24"/>
          <w:rtl/>
        </w:rPr>
        <w:t xml:space="preserve">. מקרה חריג יכול להיות </w:t>
      </w:r>
      <w:r w:rsidR="00A74F99" w:rsidRPr="00BC76B6">
        <w:rPr>
          <w:rFonts w:cs="David" w:hint="cs"/>
          <w:sz w:val="24"/>
          <w:szCs w:val="24"/>
          <w:rtl/>
        </w:rPr>
        <w:t xml:space="preserve">, למשל, </w:t>
      </w:r>
      <w:r w:rsidR="00B66BD6" w:rsidRPr="00BC76B6">
        <w:rPr>
          <w:rFonts w:cs="David" w:hint="cs"/>
          <w:sz w:val="24"/>
          <w:szCs w:val="24"/>
          <w:rtl/>
        </w:rPr>
        <w:t xml:space="preserve">אם עבירת המס בוצעה לגבי רכוש שהושג כתוצאה מעבירת מקור אחרת. </w:t>
      </w:r>
    </w:p>
    <w:p w:rsidR="00217351" w:rsidRPr="00BC76B6" w:rsidRDefault="00217351" w:rsidP="00960967">
      <w:pPr>
        <w:numPr>
          <w:ilvl w:val="0"/>
          <w:numId w:val="3"/>
        </w:numPr>
        <w:spacing w:line="360" w:lineRule="auto"/>
        <w:jc w:val="both"/>
        <w:rPr>
          <w:rFonts w:cs="David"/>
          <w:sz w:val="24"/>
          <w:szCs w:val="24"/>
        </w:rPr>
      </w:pPr>
      <w:r w:rsidRPr="00BC76B6">
        <w:rPr>
          <w:rFonts w:cs="David"/>
          <w:sz w:val="24"/>
          <w:szCs w:val="24"/>
          <w:rtl/>
        </w:rPr>
        <w:t>מדיניות הפרקליטות הינה ככלל</w:t>
      </w:r>
      <w:r w:rsidRPr="00BC76B6">
        <w:rPr>
          <w:rFonts w:cs="David" w:hint="cs"/>
          <w:sz w:val="24"/>
          <w:szCs w:val="24"/>
          <w:rtl/>
        </w:rPr>
        <w:t>,</w:t>
      </w:r>
      <w:r w:rsidRPr="00BC76B6">
        <w:rPr>
          <w:rFonts w:cs="David"/>
          <w:sz w:val="24"/>
          <w:szCs w:val="24"/>
          <w:rtl/>
        </w:rPr>
        <w:t xml:space="preserve"> שלא להעמיד לדין בעבירה לפי סעיף 4 לחוק איסור הלבנת הון בגין "פעולה ברכוש" שעשה אדם, מקום שמדובר ברכוש אסור שמקורו עביר</w:t>
      </w:r>
      <w:r w:rsidR="00960967" w:rsidRPr="00BC76B6">
        <w:rPr>
          <w:rFonts w:cs="David" w:hint="cs"/>
          <w:sz w:val="24"/>
          <w:szCs w:val="24"/>
          <w:rtl/>
        </w:rPr>
        <w:t>ו</w:t>
      </w:r>
      <w:r w:rsidRPr="00BC76B6">
        <w:rPr>
          <w:rFonts w:cs="David"/>
          <w:sz w:val="24"/>
          <w:szCs w:val="24"/>
          <w:rtl/>
        </w:rPr>
        <w:t>ת מס בלבד</w:t>
      </w:r>
      <w:r w:rsidR="0056540F" w:rsidRPr="00BC76B6">
        <w:rPr>
          <w:rFonts w:cs="David" w:hint="cs"/>
          <w:sz w:val="24"/>
          <w:szCs w:val="24"/>
          <w:rtl/>
        </w:rPr>
        <w:t xml:space="preserve"> (ושאחרת היה רכוש לגיטימי)</w:t>
      </w:r>
      <w:r w:rsidRPr="00BC76B6">
        <w:rPr>
          <w:rFonts w:cs="David"/>
          <w:sz w:val="24"/>
          <w:szCs w:val="24"/>
          <w:rtl/>
        </w:rPr>
        <w:t>, והפעולה הינה שימוש ברכוש זה לצריכה עצמית</w:t>
      </w:r>
      <w:r w:rsidR="00EE7125" w:rsidRPr="00BC76B6">
        <w:rPr>
          <w:rFonts w:cs="David" w:hint="cs"/>
          <w:sz w:val="24"/>
          <w:szCs w:val="24"/>
          <w:rtl/>
        </w:rPr>
        <w:t>, ו</w:t>
      </w:r>
      <w:r w:rsidR="001E449D" w:rsidRPr="00BC76B6">
        <w:rPr>
          <w:rFonts w:cs="David" w:hint="cs"/>
          <w:sz w:val="24"/>
          <w:szCs w:val="24"/>
          <w:rtl/>
        </w:rPr>
        <w:t>לא העברה לאחרים ובסכומים סבירים</w:t>
      </w:r>
      <w:r w:rsidRPr="00BC76B6">
        <w:rPr>
          <w:rFonts w:cs="David"/>
          <w:sz w:val="24"/>
          <w:szCs w:val="24"/>
          <w:rtl/>
        </w:rPr>
        <w:t>. יובהר, כי הדברים אמורים מקום שהפעולה אינה פוגעת באפשרות לאתר את המקור של הרכוש האסור</w:t>
      </w:r>
      <w:r w:rsidRPr="00BC76B6">
        <w:rPr>
          <w:rFonts w:cs="David" w:hint="cs"/>
          <w:sz w:val="24"/>
          <w:szCs w:val="24"/>
          <w:rtl/>
        </w:rPr>
        <w:t>.</w:t>
      </w:r>
    </w:p>
    <w:p w:rsidR="002400CD" w:rsidRPr="00BC76B6" w:rsidRDefault="002400CD" w:rsidP="007D18B7">
      <w:pPr>
        <w:numPr>
          <w:ilvl w:val="0"/>
          <w:numId w:val="3"/>
        </w:numPr>
        <w:spacing w:line="360" w:lineRule="auto"/>
        <w:jc w:val="both"/>
        <w:rPr>
          <w:rFonts w:cs="David"/>
          <w:sz w:val="24"/>
          <w:szCs w:val="24"/>
        </w:rPr>
      </w:pPr>
      <w:r w:rsidRPr="00BC76B6">
        <w:rPr>
          <w:rFonts w:cs="David" w:hint="cs"/>
          <w:sz w:val="24"/>
          <w:szCs w:val="24"/>
          <w:rtl/>
        </w:rPr>
        <w:t>יודגש כי מדיניות אכיפה זו נוגעת למצבים בהם הלבנת ההון היא עצמית</w:t>
      </w:r>
      <w:r w:rsidR="00871821" w:rsidRPr="00BC76B6">
        <w:rPr>
          <w:rFonts w:cs="David" w:hint="cs"/>
          <w:sz w:val="24"/>
          <w:szCs w:val="24"/>
          <w:rtl/>
        </w:rPr>
        <w:t xml:space="preserve"> (</w:t>
      </w:r>
      <w:r w:rsidR="00871821" w:rsidRPr="00BC76B6">
        <w:rPr>
          <w:rFonts w:cs="David"/>
          <w:sz w:val="24"/>
          <w:szCs w:val="24"/>
        </w:rPr>
        <w:t>self</w:t>
      </w:r>
      <w:r w:rsidR="00175A66" w:rsidRPr="00BC76B6">
        <w:rPr>
          <w:rFonts w:cs="David"/>
          <w:sz w:val="24"/>
          <w:szCs w:val="24"/>
        </w:rPr>
        <w:t>-</w:t>
      </w:r>
      <w:r w:rsidR="00871821" w:rsidRPr="00BC76B6">
        <w:rPr>
          <w:rFonts w:cs="David"/>
          <w:sz w:val="24"/>
          <w:szCs w:val="24"/>
        </w:rPr>
        <w:t>launderi</w:t>
      </w:r>
      <w:r w:rsidR="009076FE" w:rsidRPr="00BC76B6">
        <w:rPr>
          <w:rFonts w:cs="David"/>
          <w:sz w:val="24"/>
          <w:szCs w:val="24"/>
        </w:rPr>
        <w:t>n</w:t>
      </w:r>
      <w:r w:rsidR="00871821" w:rsidRPr="00BC76B6">
        <w:rPr>
          <w:rFonts w:cs="David"/>
          <w:sz w:val="24"/>
          <w:szCs w:val="24"/>
        </w:rPr>
        <w:t>g</w:t>
      </w:r>
      <w:r w:rsidR="00871821" w:rsidRPr="00BC76B6">
        <w:rPr>
          <w:rFonts w:cs="David" w:hint="cs"/>
          <w:sz w:val="24"/>
          <w:szCs w:val="24"/>
          <w:rtl/>
        </w:rPr>
        <w:t>)</w:t>
      </w:r>
      <w:r w:rsidRPr="00BC76B6">
        <w:rPr>
          <w:rFonts w:cs="David" w:hint="cs"/>
          <w:sz w:val="24"/>
          <w:szCs w:val="24"/>
          <w:rtl/>
        </w:rPr>
        <w:t>, כלומר על ידי מעלים המס עצ</w:t>
      </w:r>
      <w:r w:rsidR="004E592B" w:rsidRPr="00BC76B6">
        <w:rPr>
          <w:rFonts w:cs="David" w:hint="cs"/>
          <w:sz w:val="24"/>
          <w:szCs w:val="24"/>
          <w:rtl/>
        </w:rPr>
        <w:t xml:space="preserve">מו, </w:t>
      </w:r>
      <w:r w:rsidR="00321895" w:rsidRPr="00BC76B6">
        <w:rPr>
          <w:rFonts w:cs="David"/>
          <w:sz w:val="24"/>
          <w:szCs w:val="24"/>
          <w:rtl/>
        </w:rPr>
        <w:t>ואינה נוגעת למצבים בהם פעולת הלבנ</w:t>
      </w:r>
      <w:r w:rsidR="00321895" w:rsidRPr="00BC76B6">
        <w:rPr>
          <w:rFonts w:cs="David" w:hint="cs"/>
          <w:sz w:val="24"/>
          <w:szCs w:val="24"/>
          <w:rtl/>
        </w:rPr>
        <w:t>ת ההון</w:t>
      </w:r>
      <w:r w:rsidR="00321895" w:rsidRPr="00BC76B6">
        <w:rPr>
          <w:rFonts w:cs="David"/>
          <w:sz w:val="24"/>
          <w:szCs w:val="24"/>
          <w:rtl/>
        </w:rPr>
        <w:t xml:space="preserve"> מתבצעת על ידי צד ג</w:t>
      </w:r>
      <w:r w:rsidR="00321895" w:rsidRPr="00BC76B6">
        <w:rPr>
          <w:rFonts w:cs="David" w:hint="cs"/>
          <w:sz w:val="24"/>
          <w:szCs w:val="24"/>
          <w:rtl/>
        </w:rPr>
        <w:t>'</w:t>
      </w:r>
      <w:r w:rsidRPr="00BC76B6">
        <w:rPr>
          <w:rFonts w:cs="David" w:hint="cs"/>
          <w:sz w:val="24"/>
          <w:szCs w:val="24"/>
          <w:rtl/>
        </w:rPr>
        <w:t xml:space="preserve">. הטעם לכך הוא </w:t>
      </w:r>
      <w:r w:rsidR="00E47B40" w:rsidRPr="00BC76B6">
        <w:rPr>
          <w:rFonts w:cs="David" w:hint="cs"/>
          <w:sz w:val="24"/>
          <w:szCs w:val="24"/>
          <w:rtl/>
        </w:rPr>
        <w:t xml:space="preserve">הקרבה הגדולה </w:t>
      </w:r>
      <w:r w:rsidR="002C2B12" w:rsidRPr="00BC76B6">
        <w:rPr>
          <w:rFonts w:cs="David" w:hint="cs"/>
          <w:sz w:val="24"/>
          <w:szCs w:val="24"/>
          <w:rtl/>
        </w:rPr>
        <w:t xml:space="preserve">בין דפוסי העלמת המס לדפוסי הלבנת ההון, </w:t>
      </w:r>
      <w:r w:rsidR="00E47B40" w:rsidRPr="00BC76B6">
        <w:rPr>
          <w:rFonts w:cs="David" w:hint="cs"/>
          <w:sz w:val="24"/>
          <w:szCs w:val="24"/>
          <w:rtl/>
        </w:rPr>
        <w:t>כאמור לעיל</w:t>
      </w:r>
      <w:r w:rsidR="00871821" w:rsidRPr="00BC76B6">
        <w:rPr>
          <w:rFonts w:cs="David" w:hint="cs"/>
          <w:sz w:val="24"/>
          <w:szCs w:val="24"/>
          <w:rtl/>
        </w:rPr>
        <w:t>.</w:t>
      </w:r>
    </w:p>
    <w:p w:rsidR="00DE322C" w:rsidRPr="00BC76B6" w:rsidRDefault="00DE322C" w:rsidP="00321895">
      <w:pPr>
        <w:numPr>
          <w:ilvl w:val="0"/>
          <w:numId w:val="3"/>
        </w:numPr>
        <w:spacing w:line="360" w:lineRule="auto"/>
        <w:jc w:val="both"/>
        <w:rPr>
          <w:rFonts w:cs="David"/>
          <w:sz w:val="24"/>
          <w:szCs w:val="24"/>
        </w:rPr>
      </w:pPr>
    </w:p>
    <w:p w:rsidR="002400CD" w:rsidRPr="00BC76B6" w:rsidRDefault="002400CD" w:rsidP="00107CD4">
      <w:pPr>
        <w:numPr>
          <w:ilvl w:val="0"/>
          <w:numId w:val="1"/>
        </w:numPr>
        <w:spacing w:line="360" w:lineRule="auto"/>
        <w:jc w:val="both"/>
        <w:rPr>
          <w:rFonts w:cs="David"/>
          <w:b/>
          <w:bCs/>
          <w:sz w:val="24"/>
          <w:szCs w:val="24"/>
        </w:rPr>
      </w:pPr>
      <w:r w:rsidRPr="00BC76B6">
        <w:rPr>
          <w:rFonts w:cs="David" w:hint="cs"/>
          <w:b/>
          <w:bCs/>
          <w:sz w:val="24"/>
          <w:szCs w:val="24"/>
          <w:rtl/>
        </w:rPr>
        <w:lastRenderedPageBreak/>
        <w:t>מדיניות התביעה בחילוט רכוש</w:t>
      </w:r>
      <w:r w:rsidR="009F243F" w:rsidRPr="00BC76B6">
        <w:rPr>
          <w:rFonts w:cs="David" w:hint="cs"/>
          <w:b/>
          <w:bCs/>
          <w:sz w:val="24"/>
          <w:szCs w:val="24"/>
          <w:rtl/>
        </w:rPr>
        <w:t xml:space="preserve"> </w:t>
      </w:r>
    </w:p>
    <w:p w:rsidR="002400CD" w:rsidRPr="00BC76B6" w:rsidRDefault="002400CD" w:rsidP="0056540F">
      <w:pPr>
        <w:numPr>
          <w:ilvl w:val="0"/>
          <w:numId w:val="4"/>
        </w:numPr>
        <w:spacing w:line="360" w:lineRule="auto"/>
        <w:jc w:val="both"/>
        <w:rPr>
          <w:rFonts w:cs="David"/>
          <w:sz w:val="24"/>
          <w:szCs w:val="24"/>
        </w:rPr>
      </w:pPr>
      <w:r w:rsidRPr="00BC76B6">
        <w:rPr>
          <w:rFonts w:cs="David" w:hint="cs"/>
          <w:sz w:val="24"/>
          <w:szCs w:val="24"/>
          <w:rtl/>
        </w:rPr>
        <w:t>הוראות החילוט בחוק איסור הלבנת הון מאפשרות לבקש את חילוט הרכוש של מלבין ההון בשווי רכוש ששימש לביצוע העבירה, איפשר את ביצוע העבירה, או שיועד לכך</w:t>
      </w:r>
      <w:r w:rsidR="005D5439" w:rsidRPr="00BC76B6">
        <w:rPr>
          <w:rFonts w:cs="David"/>
          <w:sz w:val="24"/>
          <w:szCs w:val="24"/>
          <w:rtl/>
        </w:rPr>
        <w:t xml:space="preserve"> (</w:t>
      </w:r>
      <w:r w:rsidR="005D5439" w:rsidRPr="00BC76B6">
        <w:rPr>
          <w:rFonts w:cs="David" w:hint="cs"/>
          <w:sz w:val="24"/>
          <w:szCs w:val="24"/>
          <w:rtl/>
        </w:rPr>
        <w:t>סעיף</w:t>
      </w:r>
      <w:r w:rsidR="005D5439" w:rsidRPr="00BC76B6">
        <w:rPr>
          <w:rFonts w:cs="David"/>
          <w:sz w:val="24"/>
          <w:szCs w:val="24"/>
          <w:rtl/>
        </w:rPr>
        <w:t xml:space="preserve"> 21 </w:t>
      </w:r>
      <w:r w:rsidR="005D5439" w:rsidRPr="00BC76B6">
        <w:rPr>
          <w:rFonts w:cs="David" w:hint="cs"/>
          <w:sz w:val="24"/>
          <w:szCs w:val="24"/>
          <w:rtl/>
        </w:rPr>
        <w:t>לחוק</w:t>
      </w:r>
      <w:r w:rsidR="009076FE" w:rsidRPr="00BC76B6">
        <w:rPr>
          <w:rFonts w:cs="David"/>
          <w:sz w:val="24"/>
          <w:szCs w:val="24"/>
          <w:rtl/>
        </w:rPr>
        <w:t xml:space="preserve"> – </w:t>
      </w:r>
      <w:r w:rsidR="009076FE" w:rsidRPr="00BC76B6">
        <w:rPr>
          <w:rFonts w:cs="David" w:hint="cs"/>
          <w:sz w:val="24"/>
          <w:szCs w:val="24"/>
          <w:rtl/>
        </w:rPr>
        <w:t>להביאו</w:t>
      </w:r>
      <w:r w:rsidR="009076FE" w:rsidRPr="00BC76B6">
        <w:rPr>
          <w:rFonts w:cs="David"/>
          <w:sz w:val="24"/>
          <w:szCs w:val="24"/>
          <w:rtl/>
        </w:rPr>
        <w:t xml:space="preserve"> </w:t>
      </w:r>
      <w:r w:rsidR="009076FE" w:rsidRPr="00BC76B6">
        <w:rPr>
          <w:rFonts w:cs="David" w:hint="cs"/>
          <w:sz w:val="24"/>
          <w:szCs w:val="24"/>
          <w:rtl/>
        </w:rPr>
        <w:t>במלואו</w:t>
      </w:r>
      <w:r w:rsidR="009076FE" w:rsidRPr="00BC76B6">
        <w:rPr>
          <w:rFonts w:cs="David"/>
          <w:sz w:val="24"/>
          <w:szCs w:val="24"/>
          <w:rtl/>
        </w:rPr>
        <w:t>).</w:t>
      </w:r>
    </w:p>
    <w:p w:rsidR="002400CD" w:rsidRPr="00BC76B6" w:rsidRDefault="002400CD" w:rsidP="00153185">
      <w:pPr>
        <w:numPr>
          <w:ilvl w:val="0"/>
          <w:numId w:val="4"/>
        </w:numPr>
        <w:spacing w:line="360" w:lineRule="auto"/>
        <w:jc w:val="both"/>
        <w:rPr>
          <w:rFonts w:cs="David"/>
          <w:sz w:val="24"/>
          <w:szCs w:val="24"/>
        </w:rPr>
      </w:pPr>
      <w:r w:rsidRPr="00BC76B6">
        <w:rPr>
          <w:rFonts w:cs="David" w:hint="cs"/>
          <w:sz w:val="24"/>
          <w:szCs w:val="24"/>
          <w:rtl/>
        </w:rPr>
        <w:t>תפיסה זמנית של רכוש</w:t>
      </w:r>
      <w:r w:rsidR="00FA54A0" w:rsidRPr="00BC76B6">
        <w:rPr>
          <w:rFonts w:cs="David" w:hint="cs"/>
          <w:sz w:val="24"/>
          <w:szCs w:val="24"/>
          <w:rtl/>
        </w:rPr>
        <w:t xml:space="preserve"> </w:t>
      </w:r>
      <w:r w:rsidR="001E449D" w:rsidRPr="00BC76B6">
        <w:rPr>
          <w:rFonts w:cs="David" w:hint="cs"/>
          <w:sz w:val="24"/>
          <w:szCs w:val="24"/>
          <w:rtl/>
        </w:rPr>
        <w:t xml:space="preserve">לצורך חילוטו העתידי </w:t>
      </w:r>
      <w:r w:rsidR="00FA54A0" w:rsidRPr="00BC76B6">
        <w:rPr>
          <w:rFonts w:cs="David" w:hint="cs"/>
          <w:sz w:val="24"/>
          <w:szCs w:val="24"/>
          <w:rtl/>
        </w:rPr>
        <w:t>יכול ותעשה בשלב החקירה על ידי שוטר לפי הוראות הפסד"פ בהפנייה מסעיף 26 לחוק איסור הלבנת הון, ובשלב מאוחר יותר לפי סעיף 23 לחוק איסור הלבנת הון המפנה לסמכויות שלפי פקודת הסמים המסוכנים, ב</w:t>
      </w:r>
      <w:r w:rsidRPr="00BC76B6">
        <w:rPr>
          <w:rFonts w:cs="David" w:hint="cs"/>
          <w:sz w:val="24"/>
          <w:szCs w:val="24"/>
          <w:rtl/>
        </w:rPr>
        <w:t xml:space="preserve">אישור בכתב של פרקליט המחוז, כדי להבטיח כי תפיסה זו </w:t>
      </w:r>
      <w:r w:rsidR="00153185" w:rsidRPr="00BC76B6">
        <w:rPr>
          <w:rFonts w:cs="David" w:hint="cs"/>
          <w:sz w:val="24"/>
          <w:szCs w:val="24"/>
          <w:rtl/>
        </w:rPr>
        <w:t xml:space="preserve">לא </w:t>
      </w:r>
      <w:r w:rsidRPr="00BC76B6">
        <w:rPr>
          <w:rFonts w:cs="David" w:hint="cs"/>
          <w:sz w:val="24"/>
          <w:szCs w:val="24"/>
          <w:rtl/>
        </w:rPr>
        <w:t xml:space="preserve">לא </w:t>
      </w:r>
      <w:r w:rsidR="00153185" w:rsidRPr="00BC76B6">
        <w:rPr>
          <w:rFonts w:cs="David" w:hint="cs"/>
          <w:sz w:val="24"/>
          <w:szCs w:val="24"/>
          <w:rtl/>
        </w:rPr>
        <w:t xml:space="preserve">תפגע </w:t>
      </w:r>
      <w:r w:rsidR="0056540F" w:rsidRPr="00BC76B6">
        <w:rPr>
          <w:rFonts w:cs="David" w:hint="cs"/>
          <w:sz w:val="24"/>
          <w:szCs w:val="24"/>
          <w:rtl/>
        </w:rPr>
        <w:t xml:space="preserve">מעבר לנדרש בהמשך פעילות עסקו </w:t>
      </w:r>
      <w:r w:rsidRPr="00BC76B6">
        <w:rPr>
          <w:rFonts w:cs="David" w:hint="cs"/>
          <w:sz w:val="24"/>
          <w:szCs w:val="24"/>
          <w:rtl/>
        </w:rPr>
        <w:t xml:space="preserve">של החשוד </w:t>
      </w:r>
      <w:r w:rsidR="0056540F" w:rsidRPr="00BC76B6">
        <w:rPr>
          <w:rFonts w:cs="David" w:hint="cs"/>
          <w:sz w:val="24"/>
          <w:szCs w:val="24"/>
          <w:rtl/>
        </w:rPr>
        <w:t xml:space="preserve">(לרבות במי שאינם קשורים לביצוע העבירה כגון עובדיו, לקוחותיו, ספקיו, נושיו וכו') </w:t>
      </w:r>
      <w:r w:rsidRPr="00BC76B6">
        <w:rPr>
          <w:rFonts w:cs="David" w:hint="cs"/>
          <w:sz w:val="24"/>
          <w:szCs w:val="24"/>
          <w:rtl/>
        </w:rPr>
        <w:t>מחד, ולאפשר חילוט</w:t>
      </w:r>
      <w:r w:rsidR="0056540F" w:rsidRPr="00BC76B6">
        <w:rPr>
          <w:rFonts w:cs="David" w:hint="cs"/>
          <w:sz w:val="24"/>
          <w:szCs w:val="24"/>
          <w:rtl/>
        </w:rPr>
        <w:t xml:space="preserve">ו של </w:t>
      </w:r>
      <w:r w:rsidRPr="00BC76B6">
        <w:rPr>
          <w:rFonts w:cs="David" w:hint="cs"/>
          <w:sz w:val="24"/>
          <w:szCs w:val="24"/>
          <w:rtl/>
        </w:rPr>
        <w:t xml:space="preserve"> רכוש </w:t>
      </w:r>
      <w:r w:rsidR="0056540F" w:rsidRPr="00BC76B6">
        <w:rPr>
          <w:rFonts w:cs="David" w:hint="cs"/>
          <w:sz w:val="24"/>
          <w:szCs w:val="24"/>
          <w:rtl/>
        </w:rPr>
        <w:t xml:space="preserve">בר חילוט </w:t>
      </w:r>
      <w:r w:rsidRPr="00BC76B6">
        <w:rPr>
          <w:rFonts w:cs="David" w:hint="cs"/>
          <w:sz w:val="24"/>
          <w:szCs w:val="24"/>
          <w:rtl/>
        </w:rPr>
        <w:t>בסוף ההליך</w:t>
      </w:r>
      <w:r w:rsidR="00153185" w:rsidRPr="00BC76B6">
        <w:rPr>
          <w:rFonts w:cs="David" w:hint="cs"/>
          <w:sz w:val="24"/>
          <w:szCs w:val="24"/>
          <w:rtl/>
        </w:rPr>
        <w:t>,</w:t>
      </w:r>
      <w:r w:rsidRPr="00BC76B6">
        <w:rPr>
          <w:rFonts w:cs="David" w:hint="cs"/>
          <w:sz w:val="24"/>
          <w:szCs w:val="24"/>
          <w:rtl/>
        </w:rPr>
        <w:t xml:space="preserve"> מאידך.</w:t>
      </w:r>
    </w:p>
    <w:p w:rsidR="002400CD" w:rsidRPr="00BC76B6" w:rsidRDefault="00701389" w:rsidP="00153185">
      <w:pPr>
        <w:numPr>
          <w:ilvl w:val="0"/>
          <w:numId w:val="4"/>
        </w:numPr>
        <w:spacing w:line="360" w:lineRule="auto"/>
        <w:jc w:val="both"/>
        <w:rPr>
          <w:rFonts w:cs="David"/>
          <w:sz w:val="24"/>
          <w:szCs w:val="24"/>
        </w:rPr>
      </w:pPr>
      <w:r w:rsidRPr="00BC76B6">
        <w:rPr>
          <w:rFonts w:cs="David" w:hint="cs"/>
          <w:sz w:val="24"/>
          <w:szCs w:val="24"/>
          <w:rtl/>
        </w:rPr>
        <w:t>במקרים בהם עורבב הרכוש שמקורו בעביר</w:t>
      </w:r>
      <w:r w:rsidR="00153185" w:rsidRPr="00BC76B6">
        <w:rPr>
          <w:rFonts w:cs="David" w:hint="cs"/>
          <w:sz w:val="24"/>
          <w:szCs w:val="24"/>
          <w:rtl/>
        </w:rPr>
        <w:t xml:space="preserve">ת המס </w:t>
      </w:r>
      <w:r w:rsidRPr="00BC76B6">
        <w:rPr>
          <w:rFonts w:cs="David" w:hint="cs"/>
          <w:sz w:val="24"/>
          <w:szCs w:val="24"/>
          <w:rtl/>
        </w:rPr>
        <w:t xml:space="preserve">ברכוש לגיטימי אחר הופך גם הרכוש הלגיטימי לרכוש אסור בר חילוט לפי סעיף 21 (ע"א 6212/14 </w:t>
      </w:r>
      <w:r w:rsidRPr="00BC76B6">
        <w:rPr>
          <w:rFonts w:cs="David" w:hint="cs"/>
          <w:i/>
          <w:iCs/>
          <w:sz w:val="24"/>
          <w:szCs w:val="24"/>
          <w:rtl/>
        </w:rPr>
        <w:t>מדינת ישראל נ' ג</w:t>
      </w:r>
      <w:r w:rsidR="00153185" w:rsidRPr="00BC76B6">
        <w:rPr>
          <w:rFonts w:cs="David" w:hint="cs"/>
          <w:i/>
          <w:iCs/>
          <w:sz w:val="24"/>
          <w:szCs w:val="24"/>
          <w:rtl/>
        </w:rPr>
        <w:t>א</w:t>
      </w:r>
      <w:r w:rsidRPr="00BC76B6">
        <w:rPr>
          <w:rFonts w:cs="David" w:hint="cs"/>
          <w:i/>
          <w:iCs/>
          <w:sz w:val="24"/>
          <w:szCs w:val="24"/>
          <w:rtl/>
        </w:rPr>
        <w:t>'ס</w:t>
      </w:r>
      <w:r w:rsidR="00153185" w:rsidRPr="00BC76B6">
        <w:rPr>
          <w:rFonts w:cs="David" w:hint="cs"/>
          <w:i/>
          <w:iCs/>
          <w:sz w:val="24"/>
          <w:szCs w:val="24"/>
          <w:rtl/>
        </w:rPr>
        <w:t>ה</w:t>
      </w:r>
      <w:r w:rsidRPr="00BC76B6">
        <w:rPr>
          <w:rFonts w:cs="David" w:hint="cs"/>
          <w:sz w:val="24"/>
          <w:szCs w:val="24"/>
          <w:rtl/>
        </w:rPr>
        <w:t xml:space="preserve">, ע"פ 2333/07 </w:t>
      </w:r>
      <w:r w:rsidRPr="00BC76B6">
        <w:rPr>
          <w:rFonts w:cs="David" w:hint="cs"/>
          <w:i/>
          <w:iCs/>
          <w:sz w:val="24"/>
          <w:szCs w:val="24"/>
          <w:rtl/>
        </w:rPr>
        <w:t>תענך</w:t>
      </w:r>
      <w:r w:rsidRPr="00BC76B6">
        <w:rPr>
          <w:rFonts w:cs="David" w:hint="cs"/>
          <w:sz w:val="24"/>
          <w:szCs w:val="24"/>
          <w:rtl/>
        </w:rPr>
        <w:t>). מובן כי סמכות זו של פרקליט מחוז צריכה להיעשות במידתיות</w:t>
      </w:r>
      <w:r w:rsidR="00826399" w:rsidRPr="00BC76B6">
        <w:rPr>
          <w:rStyle w:val="af"/>
          <w:rFonts w:cs="David"/>
          <w:sz w:val="24"/>
          <w:szCs w:val="24"/>
          <w:rtl/>
        </w:rPr>
        <w:footnoteReference w:id="1"/>
      </w:r>
      <w:r w:rsidRPr="00BC76B6">
        <w:rPr>
          <w:rFonts w:cs="David" w:hint="cs"/>
          <w:sz w:val="24"/>
          <w:szCs w:val="24"/>
          <w:rtl/>
        </w:rPr>
        <w:t xml:space="preserve"> בהתחשב בקווים המנחים הבאים: חלקו היחסי של הרכוש האסור ברכוש הלגיטימי, מידת הפגיעה בערך המוגן הנוסף, שיטתיות, תחכום או מורכבות ההסתרה, החשש שהרכוש ישמש להמשך ביצוע עבירות (מניעה מצבית), זיקה לארגוני פשיעה ולארגוני </w:t>
      </w:r>
      <w:r w:rsidR="00844A4F" w:rsidRPr="00BC76B6">
        <w:rPr>
          <w:rFonts w:cs="David" w:hint="cs"/>
          <w:sz w:val="24"/>
          <w:szCs w:val="24"/>
          <w:rtl/>
        </w:rPr>
        <w:t xml:space="preserve"> </w:t>
      </w:r>
      <w:r w:rsidRPr="00BC76B6">
        <w:rPr>
          <w:rFonts w:cs="David" w:hint="cs"/>
          <w:sz w:val="24"/>
          <w:szCs w:val="24"/>
          <w:rtl/>
        </w:rPr>
        <w:t xml:space="preserve">טרור. </w:t>
      </w:r>
    </w:p>
    <w:p w:rsidR="00805A83" w:rsidRPr="00BC76B6" w:rsidRDefault="00805A83" w:rsidP="00E03AE7">
      <w:pPr>
        <w:pStyle w:val="a3"/>
        <w:numPr>
          <w:ilvl w:val="0"/>
          <w:numId w:val="4"/>
        </w:numPr>
        <w:spacing w:line="360" w:lineRule="auto"/>
        <w:jc w:val="both"/>
        <w:rPr>
          <w:rFonts w:cs="David"/>
          <w:sz w:val="24"/>
          <w:szCs w:val="24"/>
        </w:rPr>
      </w:pPr>
      <w:r w:rsidRPr="00BC76B6">
        <w:rPr>
          <w:rFonts w:cs="David" w:hint="cs"/>
          <w:sz w:val="24"/>
          <w:szCs w:val="24"/>
          <w:rtl/>
        </w:rPr>
        <w:t xml:space="preserve"> כך למשל, כאשר מדובר ברכוש אסור </w:t>
      </w:r>
      <w:r w:rsidR="00153185" w:rsidRPr="00BC76B6">
        <w:rPr>
          <w:rFonts w:cs="David" w:hint="cs"/>
          <w:sz w:val="24"/>
          <w:szCs w:val="24"/>
          <w:rtl/>
        </w:rPr>
        <w:t xml:space="preserve">שמקורו בעבירות מס </w:t>
      </w:r>
      <w:r w:rsidRPr="00BC76B6">
        <w:rPr>
          <w:rFonts w:cs="David" w:hint="cs"/>
          <w:sz w:val="24"/>
          <w:szCs w:val="24"/>
          <w:rtl/>
        </w:rPr>
        <w:t xml:space="preserve">שעורבב בעסק הפועל באופן חוקי, אשר </w:t>
      </w:r>
      <w:r w:rsidR="00844A4F" w:rsidRPr="00BC76B6">
        <w:rPr>
          <w:rFonts w:cs="David" w:hint="cs"/>
          <w:sz w:val="24"/>
          <w:szCs w:val="24"/>
          <w:rtl/>
        </w:rPr>
        <w:t xml:space="preserve">מוכח כי </w:t>
      </w:r>
      <w:r w:rsidRPr="00BC76B6">
        <w:rPr>
          <w:rFonts w:cs="David" w:hint="cs"/>
          <w:sz w:val="24"/>
          <w:szCs w:val="24"/>
          <w:rtl/>
        </w:rPr>
        <w:t>מקורותיו אינם נובעים מכספי עבירות, ובעסק מעורבים צדדים שלישיים שאינם קשורים לעבירות,</w:t>
      </w:r>
      <w:r w:rsidR="00844A4F" w:rsidRPr="00BC76B6">
        <w:rPr>
          <w:rFonts w:cs="David" w:hint="cs"/>
          <w:sz w:val="24"/>
          <w:szCs w:val="24"/>
          <w:rtl/>
        </w:rPr>
        <w:t xml:space="preserve"> במישרין או בעקיפין</w:t>
      </w:r>
      <w:r w:rsidR="00264B8C" w:rsidRPr="00BC76B6">
        <w:rPr>
          <w:rFonts w:cs="David" w:hint="cs"/>
          <w:sz w:val="24"/>
          <w:szCs w:val="24"/>
          <w:rtl/>
        </w:rPr>
        <w:t>,</w:t>
      </w:r>
      <w:r w:rsidRPr="00BC76B6">
        <w:rPr>
          <w:rFonts w:cs="David" w:hint="cs"/>
          <w:sz w:val="24"/>
          <w:szCs w:val="24"/>
          <w:rtl/>
        </w:rPr>
        <w:t xml:space="preserve"> </w:t>
      </w:r>
      <w:r w:rsidR="00844A4F" w:rsidRPr="00BC76B6">
        <w:rPr>
          <w:rFonts w:cs="David" w:hint="cs"/>
          <w:sz w:val="24"/>
          <w:szCs w:val="24"/>
          <w:rtl/>
        </w:rPr>
        <w:t>כ</w:t>
      </w:r>
      <w:r w:rsidRPr="00BC76B6">
        <w:rPr>
          <w:rFonts w:cs="David" w:hint="cs"/>
          <w:sz w:val="24"/>
          <w:szCs w:val="24"/>
          <w:rtl/>
        </w:rPr>
        <w:t xml:space="preserve">כלל לא יתבקש צו חילוט זמני </w:t>
      </w:r>
      <w:r w:rsidR="009A0706" w:rsidRPr="00BC76B6">
        <w:rPr>
          <w:rFonts w:cs="David" w:hint="cs"/>
          <w:sz w:val="24"/>
          <w:szCs w:val="24"/>
          <w:rtl/>
        </w:rPr>
        <w:t xml:space="preserve">מכוח סעיף 36ו לפקודת הסמים המסוכנים </w:t>
      </w:r>
      <w:r w:rsidRPr="00BC76B6">
        <w:rPr>
          <w:rFonts w:cs="David" w:hint="cs"/>
          <w:sz w:val="24"/>
          <w:szCs w:val="24"/>
          <w:rtl/>
        </w:rPr>
        <w:t>שיהיה בו כדי לשבש באופן מהותי את פעילותו של העסק, והמדינה תסתפק במצב כזה</w:t>
      </w:r>
      <w:r w:rsidR="00844A4F" w:rsidRPr="00BC76B6">
        <w:rPr>
          <w:rFonts w:cs="David" w:hint="cs"/>
          <w:sz w:val="24"/>
          <w:szCs w:val="24"/>
          <w:rtl/>
        </w:rPr>
        <w:t xml:space="preserve"> בצו חילוט זמני רק על חלקו של הרכוש, </w:t>
      </w:r>
      <w:r w:rsidR="00960967" w:rsidRPr="00BC76B6">
        <w:rPr>
          <w:rFonts w:cs="David" w:hint="cs"/>
          <w:sz w:val="24"/>
          <w:szCs w:val="24"/>
          <w:rtl/>
        </w:rPr>
        <w:t>ו</w:t>
      </w:r>
      <w:r w:rsidRPr="00BC76B6">
        <w:rPr>
          <w:rFonts w:cs="David" w:hint="cs"/>
          <w:sz w:val="24"/>
          <w:szCs w:val="24"/>
          <w:rtl/>
        </w:rPr>
        <w:t>בהטלת שיעבוד ומתן ערבויות מתאימות, לרבות ערבויות אישיות, שיינתנו להבטחת החילוט הסופי היה וייקבע בסוף ההליך על ידי בית המשפט.</w:t>
      </w:r>
      <w:r w:rsidR="001E449D" w:rsidRPr="00BC76B6">
        <w:rPr>
          <w:rFonts w:cs="David" w:hint="cs"/>
          <w:sz w:val="24"/>
          <w:szCs w:val="24"/>
          <w:rtl/>
        </w:rPr>
        <w:t xml:space="preserve">  </w:t>
      </w:r>
      <w:r w:rsidR="00CB2A43" w:rsidRPr="00BC76B6">
        <w:rPr>
          <w:rFonts w:cs="David" w:hint="cs"/>
          <w:sz w:val="24"/>
          <w:szCs w:val="24"/>
          <w:rtl/>
        </w:rPr>
        <w:t xml:space="preserve">למען הסר ספק </w:t>
      </w:r>
      <w:r w:rsidR="00CB2A43" w:rsidRPr="00BC76B6">
        <w:rPr>
          <w:rFonts w:cs="David"/>
          <w:sz w:val="24"/>
          <w:szCs w:val="24"/>
          <w:rtl/>
        </w:rPr>
        <w:t>–</w:t>
      </w:r>
      <w:r w:rsidR="00CB2A43" w:rsidRPr="00BC76B6">
        <w:rPr>
          <w:rFonts w:cs="David" w:hint="cs"/>
          <w:sz w:val="24"/>
          <w:szCs w:val="24"/>
          <w:rtl/>
        </w:rPr>
        <w:t xml:space="preserve"> הנחיה זו אינה עוסקת בנושא הגבייה האזרחית של מס מהנישום, ובכלל זה באמצעות פקודת המסים (גבייה) והטלת עיקולים.</w:t>
      </w:r>
    </w:p>
    <w:p w:rsidR="00744CDF" w:rsidRPr="00BC76B6" w:rsidRDefault="0056540F" w:rsidP="00107CD4">
      <w:pPr>
        <w:pStyle w:val="a3"/>
        <w:numPr>
          <w:ilvl w:val="0"/>
          <w:numId w:val="4"/>
        </w:numPr>
        <w:spacing w:line="360" w:lineRule="auto"/>
        <w:jc w:val="both"/>
        <w:rPr>
          <w:rFonts w:cs="David"/>
          <w:sz w:val="24"/>
          <w:szCs w:val="24"/>
        </w:rPr>
      </w:pPr>
      <w:r w:rsidRPr="00BC76B6">
        <w:rPr>
          <w:rFonts w:cs="David" w:hint="cs"/>
          <w:sz w:val="24"/>
          <w:szCs w:val="24"/>
          <w:rtl/>
        </w:rPr>
        <w:t>גם בבקשה לחילוט סופי יש לפעול על פי העקרונות דלעיל</w:t>
      </w:r>
      <w:r w:rsidR="00546192" w:rsidRPr="00BC76B6">
        <w:rPr>
          <w:rFonts w:cs="David" w:hint="cs"/>
          <w:sz w:val="24"/>
          <w:szCs w:val="24"/>
          <w:rtl/>
        </w:rPr>
        <w:t xml:space="preserve">. </w:t>
      </w:r>
      <w:r w:rsidRPr="00BC76B6">
        <w:rPr>
          <w:rFonts w:cs="David" w:hint="cs"/>
          <w:sz w:val="24"/>
          <w:szCs w:val="24"/>
          <w:rtl/>
        </w:rPr>
        <w:t xml:space="preserve">במקרים בהם הוכח כי מקורו של הרכוש האסור הינו בעסקים לגיטימיים, והרכוש הינו רכוש אסור, אך בשל עבירות מס שבוצעו, </w:t>
      </w:r>
      <w:r w:rsidR="00546192" w:rsidRPr="00BC76B6">
        <w:rPr>
          <w:rFonts w:cs="David" w:hint="cs"/>
          <w:sz w:val="24"/>
          <w:szCs w:val="24"/>
          <w:rtl/>
        </w:rPr>
        <w:t xml:space="preserve">יש ליתן לכך משקל בקביעת היקף הרכוש שחילוטו מבוקש, כדי לתת ביטוי להיבט המעין עונשי והמניעתי שבחילוט </w:t>
      </w:r>
      <w:r w:rsidR="00556BCD" w:rsidRPr="00BC76B6">
        <w:rPr>
          <w:rFonts w:cs="David" w:hint="cs"/>
          <w:sz w:val="24"/>
          <w:szCs w:val="24"/>
          <w:rtl/>
        </w:rPr>
        <w:t>מחד</w:t>
      </w:r>
      <w:r w:rsidR="00153185" w:rsidRPr="00BC76B6">
        <w:rPr>
          <w:rFonts w:cs="David" w:hint="cs"/>
          <w:sz w:val="24"/>
          <w:szCs w:val="24"/>
          <w:rtl/>
        </w:rPr>
        <w:t>,</w:t>
      </w:r>
      <w:r w:rsidR="00556BCD" w:rsidRPr="00BC76B6">
        <w:rPr>
          <w:rFonts w:cs="David" w:hint="cs"/>
          <w:sz w:val="24"/>
          <w:szCs w:val="24"/>
          <w:rtl/>
        </w:rPr>
        <w:t xml:space="preserve"> תוך שקיל</w:t>
      </w:r>
      <w:r w:rsidR="00153185" w:rsidRPr="00BC76B6">
        <w:rPr>
          <w:rFonts w:cs="David" w:hint="cs"/>
          <w:sz w:val="24"/>
          <w:szCs w:val="24"/>
          <w:rtl/>
        </w:rPr>
        <w:t xml:space="preserve">ת השיקול שלא יצא חוטא נשכר  ("הוצאת </w:t>
      </w:r>
      <w:r w:rsidR="00556BCD" w:rsidRPr="00BC76B6">
        <w:rPr>
          <w:rFonts w:cs="David" w:hint="cs"/>
          <w:sz w:val="24"/>
          <w:szCs w:val="24"/>
          <w:rtl/>
        </w:rPr>
        <w:t xml:space="preserve"> </w:t>
      </w:r>
      <w:r w:rsidR="00546192" w:rsidRPr="00BC76B6">
        <w:rPr>
          <w:rFonts w:cs="David" w:hint="cs"/>
          <w:sz w:val="24"/>
          <w:szCs w:val="24"/>
          <w:rtl/>
        </w:rPr>
        <w:t>בלעו של גזלן</w:t>
      </w:r>
      <w:r w:rsidR="00153185" w:rsidRPr="00BC76B6">
        <w:rPr>
          <w:rFonts w:cs="David" w:hint="cs"/>
          <w:sz w:val="24"/>
          <w:szCs w:val="24"/>
          <w:rtl/>
        </w:rPr>
        <w:t xml:space="preserve"> מפיו</w:t>
      </w:r>
      <w:r w:rsidR="00546192" w:rsidRPr="00BC76B6">
        <w:rPr>
          <w:rFonts w:cs="David" w:hint="cs"/>
          <w:sz w:val="24"/>
          <w:szCs w:val="24"/>
          <w:rtl/>
        </w:rPr>
        <w:t>"</w:t>
      </w:r>
      <w:r w:rsidR="00153185" w:rsidRPr="00BC76B6">
        <w:rPr>
          <w:rFonts w:cs="David" w:hint="cs"/>
          <w:sz w:val="24"/>
          <w:szCs w:val="24"/>
          <w:rtl/>
        </w:rPr>
        <w:t>)</w:t>
      </w:r>
      <w:r w:rsidR="00556BCD" w:rsidRPr="00BC76B6">
        <w:rPr>
          <w:rFonts w:cs="David" w:hint="cs"/>
          <w:sz w:val="24"/>
          <w:szCs w:val="24"/>
          <w:rtl/>
        </w:rPr>
        <w:t xml:space="preserve"> </w:t>
      </w:r>
      <w:r w:rsidR="00153185" w:rsidRPr="00BC76B6">
        <w:rPr>
          <w:rFonts w:cs="David" w:hint="cs"/>
          <w:sz w:val="24"/>
          <w:szCs w:val="24"/>
          <w:rtl/>
        </w:rPr>
        <w:t xml:space="preserve">קרי </w:t>
      </w:r>
      <w:r w:rsidR="00546192" w:rsidRPr="00BC76B6">
        <w:rPr>
          <w:rFonts w:cs="David" w:hint="cs"/>
          <w:sz w:val="24"/>
          <w:szCs w:val="24"/>
          <w:rtl/>
        </w:rPr>
        <w:t>האם שולמו בינתיים כל המיסים מצידו של העבריין (הסרת מחדל)</w:t>
      </w:r>
      <w:r w:rsidR="00556BCD" w:rsidRPr="00BC76B6">
        <w:rPr>
          <w:rFonts w:cs="David" w:hint="cs"/>
          <w:sz w:val="24"/>
          <w:szCs w:val="24"/>
          <w:rtl/>
        </w:rPr>
        <w:t>, מאידך</w:t>
      </w:r>
      <w:r w:rsidR="00546192" w:rsidRPr="00BC76B6">
        <w:rPr>
          <w:rFonts w:cs="David" w:hint="cs"/>
          <w:sz w:val="24"/>
          <w:szCs w:val="24"/>
          <w:rtl/>
        </w:rPr>
        <w:t>.</w:t>
      </w:r>
    </w:p>
    <w:sectPr w:rsidR="00744CDF" w:rsidRPr="00BC76B6" w:rsidSect="00BC3034">
      <w:headerReference w:type="even" r:id="rId8"/>
      <w:headerReference w:type="default" r:id="rId9"/>
      <w:footerReference w:type="even" r:id="rId10"/>
      <w:footerReference w:type="default" r:id="rId11"/>
      <w:headerReference w:type="first" r:id="rId12"/>
      <w:footerReference w:type="first" r:id="rId13"/>
      <w:pgSz w:w="11906" w:h="16838"/>
      <w:pgMar w:top="1440" w:right="1800" w:bottom="1440" w:left="1800" w:header="708" w:footer="708" w:gutter="0"/>
      <w:cols w:space="708"/>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E204F" w:rsidRDefault="00EE204F">
      <w:pPr>
        <w:spacing w:after="0" w:line="240" w:lineRule="auto"/>
      </w:pPr>
      <w:r>
        <w:separator/>
      </w:r>
    </w:p>
  </w:endnote>
  <w:endnote w:type="continuationSeparator" w:id="0">
    <w:p w:rsidR="00EE204F" w:rsidRDefault="00EE204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B1"/>
    <w:family w:val="swiss"/>
    <w:notTrueType/>
    <w:pitch w:val="variable"/>
    <w:sig w:usb0="00000801" w:usb1="00000000" w:usb2="00000000" w:usb3="00000000" w:csb0="00000020"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6564F" w:rsidRDefault="00F6564F">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6564F" w:rsidRDefault="00F6564F">
    <w:pPr>
      <w:pStyle w:val="a9"/>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6564F" w:rsidRDefault="00F6564F">
    <w:pPr>
      <w:pStyle w:val="a9"/>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E204F" w:rsidRDefault="00EE204F">
      <w:pPr>
        <w:spacing w:after="0" w:line="240" w:lineRule="auto"/>
      </w:pPr>
      <w:r>
        <w:separator/>
      </w:r>
    </w:p>
  </w:footnote>
  <w:footnote w:type="continuationSeparator" w:id="0">
    <w:p w:rsidR="00EE204F" w:rsidRDefault="00EE204F">
      <w:pPr>
        <w:spacing w:after="0" w:line="240" w:lineRule="auto"/>
      </w:pPr>
      <w:r>
        <w:continuationSeparator/>
      </w:r>
    </w:p>
  </w:footnote>
  <w:footnote w:id="1">
    <w:p w:rsidR="00F6564F" w:rsidRDefault="00F6564F" w:rsidP="00960967">
      <w:pPr>
        <w:pStyle w:val="ad"/>
        <w:rPr>
          <w:rtl/>
        </w:rPr>
      </w:pPr>
      <w:r>
        <w:rPr>
          <w:rStyle w:val="af"/>
        </w:rPr>
        <w:footnoteRef/>
      </w:r>
      <w:r>
        <w:rPr>
          <w:rtl/>
        </w:rPr>
        <w:t xml:space="preserve"> </w:t>
      </w:r>
      <w:r>
        <w:rPr>
          <w:rFonts w:hint="cs"/>
          <w:rtl/>
        </w:rPr>
        <w:t>השווה</w:t>
      </w:r>
    </w:p>
    <w:p w:rsidR="00F6564F" w:rsidRDefault="00F6564F" w:rsidP="00960967">
      <w:pPr>
        <w:pStyle w:val="ad"/>
      </w:pPr>
      <w:r>
        <w:rPr>
          <w:rFonts w:hint="cs"/>
          <w:rtl/>
        </w:rPr>
        <w:t xml:space="preserve"> </w:t>
      </w:r>
      <w:r>
        <w:rPr>
          <w:rFonts w:ascii="Arial" w:hAnsi="Arial"/>
          <w:i/>
          <w:iCs/>
        </w:rPr>
        <w:t>United States v. Aguasvivas-Castillo,</w:t>
      </w:r>
      <w:r>
        <w:rPr>
          <w:rFonts w:ascii="Arial" w:hAnsi="Arial"/>
        </w:rPr>
        <w:t xml:space="preserve"> 668 F.3d 7, 17 (1st Cir. 2012)</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6564F" w:rsidRDefault="00F6564F">
    <w:pPr>
      <w:pStyle w:val="a7"/>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6564F" w:rsidRDefault="00E50F70">
    <w:pPr>
      <w:pStyle w:val="a7"/>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357831064" o:spid="_x0000_s2049" type="#_x0000_t136" style="position:absolute;left:0;text-align:left;margin-left:0;margin-top:0;width:412.4pt;height:247.45pt;rotation:315;z-index:-251658752;mso-position-horizontal:center;mso-position-horizontal-relative:margin;mso-position-vertical:center;mso-position-vertical-relative:margin" o:allowincell="f" fillcolor="silver" stroked="f">
          <v:fill opacity=".5"/>
          <v:textpath style="font-family:&quot;calibri&quot;;font-size:1pt" string="טיוטה"/>
          <w10:wrap anchorx="margin" anchory="margin"/>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6564F" w:rsidRDefault="00F6564F">
    <w:pPr>
      <w:pStyle w:val="a7"/>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D3F2C03"/>
    <w:multiLevelType w:val="hybridMultilevel"/>
    <w:tmpl w:val="F2D68912"/>
    <w:lvl w:ilvl="0" w:tplc="B5DE78CE">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2B3137E0"/>
    <w:multiLevelType w:val="hybridMultilevel"/>
    <w:tmpl w:val="71428486"/>
    <w:lvl w:ilvl="0" w:tplc="FF168A5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2F2A0817"/>
    <w:multiLevelType w:val="hybridMultilevel"/>
    <w:tmpl w:val="2A123FA0"/>
    <w:lvl w:ilvl="0" w:tplc="7A327162">
      <w:start w:val="1"/>
      <w:numFmt w:val="decimal"/>
      <w:lvlText w:val="%1."/>
      <w:lvlJc w:val="left"/>
      <w:pPr>
        <w:ind w:left="720" w:hanging="360"/>
      </w:pPr>
      <w:rPr>
        <w:rFonts w:hint="default"/>
        <w:b w:val="0"/>
        <w:bCs w:val="0"/>
        <w:lang w:bidi="he-IL"/>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3C7064B9"/>
    <w:multiLevelType w:val="hybridMultilevel"/>
    <w:tmpl w:val="D8BE88C4"/>
    <w:lvl w:ilvl="0" w:tplc="B5DE78CE">
      <w:start w:val="1"/>
      <w:numFmt w:val="decimal"/>
      <w:lvlText w:val="%1."/>
      <w:lvlJc w:val="left"/>
      <w:pPr>
        <w:ind w:left="720" w:hanging="360"/>
      </w:pPr>
      <w:rPr>
        <w:rFonts w:hint="default"/>
      </w:rPr>
    </w:lvl>
    <w:lvl w:ilvl="1" w:tplc="04090013">
      <w:start w:val="1"/>
      <w:numFmt w:val="hebrew1"/>
      <w:lvlText w:val="%2."/>
      <w:lvlJc w:val="center"/>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4E7102B6"/>
    <w:multiLevelType w:val="hybridMultilevel"/>
    <w:tmpl w:val="42E6CEE8"/>
    <w:lvl w:ilvl="0" w:tplc="7A327162">
      <w:start w:val="1"/>
      <w:numFmt w:val="decimal"/>
      <w:lvlText w:val="%1."/>
      <w:lvlJc w:val="left"/>
      <w:pPr>
        <w:ind w:left="720" w:hanging="360"/>
      </w:pPr>
      <w:rPr>
        <w:rFonts w:hint="default"/>
        <w:b w:val="0"/>
        <w:bCs w:val="0"/>
        <w:lang w:bidi="he-IL"/>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5D1E11CF"/>
    <w:multiLevelType w:val="hybridMultilevel"/>
    <w:tmpl w:val="5302C5F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697F70AB"/>
    <w:multiLevelType w:val="hybridMultilevel"/>
    <w:tmpl w:val="FEFEE66A"/>
    <w:lvl w:ilvl="0" w:tplc="2FB82DA8">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6"/>
  </w:num>
  <w:num w:numId="2">
    <w:abstractNumId w:val="2"/>
  </w:num>
  <w:num w:numId="3">
    <w:abstractNumId w:val="0"/>
  </w:num>
  <w:num w:numId="4">
    <w:abstractNumId w:val="4"/>
  </w:num>
  <w:num w:numId="5">
    <w:abstractNumId w:val="1"/>
  </w:num>
  <w:num w:numId="6">
    <w:abstractNumId w:val="5"/>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400CD"/>
    <w:rsid w:val="0001388D"/>
    <w:rsid w:val="00017973"/>
    <w:rsid w:val="00030D77"/>
    <w:rsid w:val="000361CA"/>
    <w:rsid w:val="00065CA4"/>
    <w:rsid w:val="000A48B4"/>
    <w:rsid w:val="00107CD4"/>
    <w:rsid w:val="0011761F"/>
    <w:rsid w:val="00120000"/>
    <w:rsid w:val="00147269"/>
    <w:rsid w:val="00153185"/>
    <w:rsid w:val="0016518B"/>
    <w:rsid w:val="00175A66"/>
    <w:rsid w:val="00196F4F"/>
    <w:rsid w:val="001A6084"/>
    <w:rsid w:val="001A7741"/>
    <w:rsid w:val="001B3DA2"/>
    <w:rsid w:val="001E449D"/>
    <w:rsid w:val="002125DA"/>
    <w:rsid w:val="00217351"/>
    <w:rsid w:val="002312F7"/>
    <w:rsid w:val="002400CD"/>
    <w:rsid w:val="00264B8C"/>
    <w:rsid w:val="00265398"/>
    <w:rsid w:val="002A76C4"/>
    <w:rsid w:val="002C2B12"/>
    <w:rsid w:val="002D7C28"/>
    <w:rsid w:val="003028BA"/>
    <w:rsid w:val="00321895"/>
    <w:rsid w:val="00325AF0"/>
    <w:rsid w:val="00341BCA"/>
    <w:rsid w:val="00366C87"/>
    <w:rsid w:val="004020EA"/>
    <w:rsid w:val="00404818"/>
    <w:rsid w:val="00423E0D"/>
    <w:rsid w:val="00431F9C"/>
    <w:rsid w:val="00432BA6"/>
    <w:rsid w:val="0044520F"/>
    <w:rsid w:val="004557E1"/>
    <w:rsid w:val="00462CEC"/>
    <w:rsid w:val="00473C06"/>
    <w:rsid w:val="004A713B"/>
    <w:rsid w:val="004E592B"/>
    <w:rsid w:val="004F51FF"/>
    <w:rsid w:val="00546192"/>
    <w:rsid w:val="00556BCD"/>
    <w:rsid w:val="0056540F"/>
    <w:rsid w:val="005A5EE2"/>
    <w:rsid w:val="005C679C"/>
    <w:rsid w:val="005D02FB"/>
    <w:rsid w:val="005D0A77"/>
    <w:rsid w:val="005D5439"/>
    <w:rsid w:val="00601ABC"/>
    <w:rsid w:val="00610D22"/>
    <w:rsid w:val="00663ED2"/>
    <w:rsid w:val="006B4B82"/>
    <w:rsid w:val="006D4598"/>
    <w:rsid w:val="00701389"/>
    <w:rsid w:val="00701A90"/>
    <w:rsid w:val="00727B67"/>
    <w:rsid w:val="00744CDF"/>
    <w:rsid w:val="00752EE2"/>
    <w:rsid w:val="00761EFA"/>
    <w:rsid w:val="00767DD6"/>
    <w:rsid w:val="00771CC1"/>
    <w:rsid w:val="007928EF"/>
    <w:rsid w:val="007A34A5"/>
    <w:rsid w:val="007D18B7"/>
    <w:rsid w:val="007E256B"/>
    <w:rsid w:val="00802704"/>
    <w:rsid w:val="00805A83"/>
    <w:rsid w:val="00810F2D"/>
    <w:rsid w:val="00826399"/>
    <w:rsid w:val="00844A4F"/>
    <w:rsid w:val="00871821"/>
    <w:rsid w:val="008739EB"/>
    <w:rsid w:val="008A63DB"/>
    <w:rsid w:val="008D4050"/>
    <w:rsid w:val="008D7985"/>
    <w:rsid w:val="008E0746"/>
    <w:rsid w:val="008E38D2"/>
    <w:rsid w:val="0090191D"/>
    <w:rsid w:val="009076FE"/>
    <w:rsid w:val="00920015"/>
    <w:rsid w:val="00920DE9"/>
    <w:rsid w:val="00925300"/>
    <w:rsid w:val="009324A8"/>
    <w:rsid w:val="00937CAB"/>
    <w:rsid w:val="00942C39"/>
    <w:rsid w:val="009568D2"/>
    <w:rsid w:val="00960967"/>
    <w:rsid w:val="00963327"/>
    <w:rsid w:val="009922DF"/>
    <w:rsid w:val="00994E3A"/>
    <w:rsid w:val="009A0706"/>
    <w:rsid w:val="009A0E30"/>
    <w:rsid w:val="009B6B1B"/>
    <w:rsid w:val="009C4159"/>
    <w:rsid w:val="009E02CB"/>
    <w:rsid w:val="009F243F"/>
    <w:rsid w:val="00A016C6"/>
    <w:rsid w:val="00A14A45"/>
    <w:rsid w:val="00A74F99"/>
    <w:rsid w:val="00A95DBE"/>
    <w:rsid w:val="00AD4DFE"/>
    <w:rsid w:val="00AF5104"/>
    <w:rsid w:val="00B371C5"/>
    <w:rsid w:val="00B66BD6"/>
    <w:rsid w:val="00B93EAA"/>
    <w:rsid w:val="00BB4B9A"/>
    <w:rsid w:val="00BC3034"/>
    <w:rsid w:val="00BC511B"/>
    <w:rsid w:val="00BC76B6"/>
    <w:rsid w:val="00BD0C30"/>
    <w:rsid w:val="00C709A3"/>
    <w:rsid w:val="00CB0ED4"/>
    <w:rsid w:val="00CB2A43"/>
    <w:rsid w:val="00D70E68"/>
    <w:rsid w:val="00D7678C"/>
    <w:rsid w:val="00DD241D"/>
    <w:rsid w:val="00DE322C"/>
    <w:rsid w:val="00DE4C62"/>
    <w:rsid w:val="00E03AE7"/>
    <w:rsid w:val="00E104AF"/>
    <w:rsid w:val="00E47B40"/>
    <w:rsid w:val="00E50F70"/>
    <w:rsid w:val="00E85697"/>
    <w:rsid w:val="00EA2E4F"/>
    <w:rsid w:val="00EB22C6"/>
    <w:rsid w:val="00ED701C"/>
    <w:rsid w:val="00EE204F"/>
    <w:rsid w:val="00EE7125"/>
    <w:rsid w:val="00EF1763"/>
    <w:rsid w:val="00F233F0"/>
    <w:rsid w:val="00F35729"/>
    <w:rsid w:val="00F6564F"/>
    <w:rsid w:val="00F80186"/>
    <w:rsid w:val="00FA54A0"/>
    <w:rsid w:val="00FB5BDE"/>
    <w:rsid w:val="00FD7D28"/>
    <w:rsid w:val="00FE1ED9"/>
    <w:rsid w:val="00FF40FC"/>
    <w:rsid w:val="00FF650F"/>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5:docId w15:val="{C4FD479D-9BA7-43F0-BD7F-0CC8C7CB88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he-IL"/>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2400CD"/>
    <w:pPr>
      <w:bidi/>
    </w:pPr>
    <w:rPr>
      <w:rFonts w:ascii="Calibri" w:eastAsia="Calibri" w:hAnsi="Calibri" w:cs="Arial"/>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F80186"/>
    <w:pPr>
      <w:ind w:left="720"/>
      <w:contextualSpacing/>
    </w:pPr>
  </w:style>
  <w:style w:type="character" w:styleId="a4">
    <w:name w:val="annotation reference"/>
    <w:uiPriority w:val="99"/>
    <w:semiHidden/>
    <w:unhideWhenUsed/>
    <w:rsid w:val="002400CD"/>
    <w:rPr>
      <w:sz w:val="16"/>
      <w:szCs w:val="16"/>
    </w:rPr>
  </w:style>
  <w:style w:type="paragraph" w:styleId="a5">
    <w:name w:val="annotation text"/>
    <w:basedOn w:val="a"/>
    <w:link w:val="a6"/>
    <w:uiPriority w:val="99"/>
    <w:semiHidden/>
    <w:unhideWhenUsed/>
    <w:rsid w:val="002400CD"/>
    <w:rPr>
      <w:sz w:val="20"/>
      <w:szCs w:val="20"/>
    </w:rPr>
  </w:style>
  <w:style w:type="character" w:customStyle="1" w:styleId="a6">
    <w:name w:val="טקסט הערה תו"/>
    <w:basedOn w:val="a0"/>
    <w:link w:val="a5"/>
    <w:uiPriority w:val="99"/>
    <w:semiHidden/>
    <w:rsid w:val="002400CD"/>
    <w:rPr>
      <w:rFonts w:ascii="Calibri" w:eastAsia="Calibri" w:hAnsi="Calibri" w:cs="Arial"/>
      <w:sz w:val="20"/>
      <w:szCs w:val="20"/>
    </w:rPr>
  </w:style>
  <w:style w:type="paragraph" w:styleId="a7">
    <w:name w:val="header"/>
    <w:basedOn w:val="a"/>
    <w:link w:val="a8"/>
    <w:uiPriority w:val="99"/>
    <w:unhideWhenUsed/>
    <w:rsid w:val="002400CD"/>
    <w:pPr>
      <w:tabs>
        <w:tab w:val="center" w:pos="4153"/>
        <w:tab w:val="right" w:pos="8306"/>
      </w:tabs>
    </w:pPr>
  </w:style>
  <w:style w:type="character" w:customStyle="1" w:styleId="a8">
    <w:name w:val="כותרת עליונה תו"/>
    <w:basedOn w:val="a0"/>
    <w:link w:val="a7"/>
    <w:uiPriority w:val="99"/>
    <w:rsid w:val="002400CD"/>
    <w:rPr>
      <w:rFonts w:ascii="Calibri" w:eastAsia="Calibri" w:hAnsi="Calibri" w:cs="Arial"/>
    </w:rPr>
  </w:style>
  <w:style w:type="paragraph" w:styleId="a9">
    <w:name w:val="footer"/>
    <w:basedOn w:val="a"/>
    <w:link w:val="aa"/>
    <w:uiPriority w:val="99"/>
    <w:unhideWhenUsed/>
    <w:rsid w:val="002400CD"/>
    <w:pPr>
      <w:tabs>
        <w:tab w:val="center" w:pos="4153"/>
        <w:tab w:val="right" w:pos="8306"/>
      </w:tabs>
    </w:pPr>
  </w:style>
  <w:style w:type="character" w:customStyle="1" w:styleId="aa">
    <w:name w:val="כותרת תחתונה תו"/>
    <w:basedOn w:val="a0"/>
    <w:link w:val="a9"/>
    <w:uiPriority w:val="99"/>
    <w:rsid w:val="002400CD"/>
    <w:rPr>
      <w:rFonts w:ascii="Calibri" w:eastAsia="Calibri" w:hAnsi="Calibri" w:cs="Arial"/>
    </w:rPr>
  </w:style>
  <w:style w:type="paragraph" w:styleId="ab">
    <w:name w:val="Balloon Text"/>
    <w:basedOn w:val="a"/>
    <w:link w:val="ac"/>
    <w:uiPriority w:val="99"/>
    <w:semiHidden/>
    <w:unhideWhenUsed/>
    <w:rsid w:val="002400CD"/>
    <w:pPr>
      <w:spacing w:after="0" w:line="240" w:lineRule="auto"/>
    </w:pPr>
    <w:rPr>
      <w:rFonts w:ascii="Tahoma" w:hAnsi="Tahoma" w:cs="Tahoma"/>
      <w:sz w:val="16"/>
      <w:szCs w:val="16"/>
    </w:rPr>
  </w:style>
  <w:style w:type="character" w:customStyle="1" w:styleId="ac">
    <w:name w:val="טקסט בלונים תו"/>
    <w:basedOn w:val="a0"/>
    <w:link w:val="ab"/>
    <w:uiPriority w:val="99"/>
    <w:semiHidden/>
    <w:rsid w:val="002400CD"/>
    <w:rPr>
      <w:rFonts w:ascii="Tahoma" w:eastAsia="Calibri" w:hAnsi="Tahoma" w:cs="Tahoma"/>
      <w:sz w:val="16"/>
      <w:szCs w:val="16"/>
    </w:rPr>
  </w:style>
  <w:style w:type="paragraph" w:styleId="ad">
    <w:name w:val="footnote text"/>
    <w:basedOn w:val="a"/>
    <w:link w:val="ae"/>
    <w:uiPriority w:val="99"/>
    <w:semiHidden/>
    <w:unhideWhenUsed/>
    <w:rsid w:val="00826399"/>
    <w:pPr>
      <w:spacing w:after="0" w:line="240" w:lineRule="auto"/>
    </w:pPr>
    <w:rPr>
      <w:sz w:val="20"/>
      <w:szCs w:val="20"/>
    </w:rPr>
  </w:style>
  <w:style w:type="character" w:customStyle="1" w:styleId="ae">
    <w:name w:val="טקסט הערת שוליים תו"/>
    <w:basedOn w:val="a0"/>
    <w:link w:val="ad"/>
    <w:uiPriority w:val="99"/>
    <w:semiHidden/>
    <w:rsid w:val="00826399"/>
    <w:rPr>
      <w:rFonts w:ascii="Calibri" w:eastAsia="Calibri" w:hAnsi="Calibri" w:cs="Arial"/>
      <w:sz w:val="20"/>
      <w:szCs w:val="20"/>
    </w:rPr>
  </w:style>
  <w:style w:type="character" w:styleId="af">
    <w:name w:val="footnote reference"/>
    <w:basedOn w:val="a0"/>
    <w:uiPriority w:val="99"/>
    <w:semiHidden/>
    <w:unhideWhenUsed/>
    <w:rsid w:val="00826399"/>
    <w:rPr>
      <w:vertAlign w:val="superscript"/>
    </w:rPr>
  </w:style>
  <w:style w:type="paragraph" w:styleId="af0">
    <w:name w:val="annotation subject"/>
    <w:basedOn w:val="a5"/>
    <w:next w:val="a5"/>
    <w:link w:val="af1"/>
    <w:uiPriority w:val="99"/>
    <w:semiHidden/>
    <w:unhideWhenUsed/>
    <w:rsid w:val="00B371C5"/>
    <w:pPr>
      <w:spacing w:line="240" w:lineRule="auto"/>
    </w:pPr>
    <w:rPr>
      <w:b/>
      <w:bCs/>
    </w:rPr>
  </w:style>
  <w:style w:type="character" w:customStyle="1" w:styleId="af1">
    <w:name w:val="נושא הערה תו"/>
    <w:basedOn w:val="a6"/>
    <w:link w:val="af0"/>
    <w:uiPriority w:val="99"/>
    <w:semiHidden/>
    <w:rsid w:val="00B371C5"/>
    <w:rPr>
      <w:rFonts w:ascii="Calibri" w:eastAsia="Calibri" w:hAnsi="Calibri" w:cs="Arial"/>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99680670">
      <w:bodyDiv w:val="1"/>
      <w:marLeft w:val="0"/>
      <w:marRight w:val="0"/>
      <w:marTop w:val="0"/>
      <w:marBottom w:val="0"/>
      <w:divBdr>
        <w:top w:val="none" w:sz="0" w:space="0" w:color="auto"/>
        <w:left w:val="none" w:sz="0" w:space="0" w:color="auto"/>
        <w:bottom w:val="none" w:sz="0" w:space="0" w:color="auto"/>
        <w:right w:val="none" w:sz="0" w:space="0" w:color="auto"/>
      </w:divBdr>
    </w:div>
    <w:div w:id="1407075210">
      <w:bodyDiv w:val="1"/>
      <w:marLeft w:val="0"/>
      <w:marRight w:val="0"/>
      <w:marTop w:val="0"/>
      <w:marBottom w:val="0"/>
      <w:divBdr>
        <w:top w:val="none" w:sz="0" w:space="0" w:color="auto"/>
        <w:left w:val="none" w:sz="0" w:space="0" w:color="auto"/>
        <w:bottom w:val="none" w:sz="0" w:space="0" w:color="auto"/>
        <w:right w:val="none" w:sz="0" w:space="0" w:color="auto"/>
      </w:divBdr>
    </w:div>
    <w:div w:id="18137876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customXml" Target="../customXml/item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customXml" Target="../customXml/item3.xml"/><Relationship Id="rId2" Type="http://schemas.openxmlformats.org/officeDocument/2006/relationships/numbering" Target="numbering.xml"/><Relationship Id="rId16"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קלאסי">
      <a:majorFont>
        <a:latin typeface="Arial"/>
        <a:ea typeface=""/>
        <a:cs typeface=""/>
        <a:font script="Jpan" typeface="ＭＳ Ｐゴシック"/>
        <a:font script="Hang" typeface="돋움"/>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ajorFont>
      <a:minorFont>
        <a:latin typeface="Times New Roman"/>
        <a:ea typeface=""/>
        <a:cs typeface=""/>
        <a:font script="Jpan" typeface="ＭＳ Ｐ明朝"/>
        <a:font script="Hang" typeface="바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95D4A561-5973-4017-AB6F-485CEBD07E8F}"/>
</file>

<file path=customXml/itemProps2.xml><?xml version="1.0" encoding="utf-8"?>
<ds:datastoreItem xmlns:ds="http://schemas.openxmlformats.org/officeDocument/2006/customXml" ds:itemID="{6F73F324-7976-4227-A40C-BFE8526953CF}"/>
</file>

<file path=customXml/itemProps3.xml><?xml version="1.0" encoding="utf-8"?>
<ds:datastoreItem xmlns:ds="http://schemas.openxmlformats.org/officeDocument/2006/customXml" ds:itemID="{16C412E5-832C-433D-BE1D-2D830C1E539D}"/>
</file>

<file path=customXml/itemProps4.xml><?xml version="1.0" encoding="utf-8"?>
<ds:datastoreItem xmlns:ds="http://schemas.openxmlformats.org/officeDocument/2006/customXml" ds:itemID="{CB891C46-B962-4F03-91F4-BAA1E6F9A8DF}"/>
</file>

<file path=docProps/app.xml><?xml version="1.0" encoding="utf-8"?>
<Properties xmlns="http://schemas.openxmlformats.org/officeDocument/2006/extended-properties" xmlns:vt="http://schemas.openxmlformats.org/officeDocument/2006/docPropsVTypes">
  <Template>Normal</Template>
  <TotalTime>2</TotalTime>
  <Pages>3</Pages>
  <Words>1073</Words>
  <Characters>5367</Characters>
  <Application>Microsoft Office Word</Application>
  <DocSecurity>4</DocSecurity>
  <Lines>44</Lines>
  <Paragraphs>12</Paragraphs>
  <ScaleCrop>false</ScaleCrop>
  <HeadingPairs>
    <vt:vector size="2" baseType="variant">
      <vt:variant>
        <vt:lpstr>שם</vt:lpstr>
      </vt:variant>
      <vt:variant>
        <vt:i4>1</vt:i4>
      </vt:variant>
    </vt:vector>
  </HeadingPairs>
  <TitlesOfParts>
    <vt:vector size="1" baseType="lpstr">
      <vt:lpstr/>
    </vt:vector>
  </TitlesOfParts>
  <Company>MOJ</Company>
  <LinksUpToDate>false</LinksUpToDate>
  <CharactersWithSpaces>6428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tami</dc:creator>
  <cp:lastModifiedBy>חופית עלפי</cp:lastModifiedBy>
  <cp:revision>2</cp:revision>
  <cp:lastPrinted>2016-03-23T12:28:00Z</cp:lastPrinted>
  <dcterms:created xsi:type="dcterms:W3CDTF">2016-03-29T08:33:00Z</dcterms:created>
  <dcterms:modified xsi:type="dcterms:W3CDTF">2016-03-29T08:33:00Z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ies>
</file>