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4DA" w:rsidRPr="00CB47CA" w:rsidRDefault="00EA14DA" w:rsidP="00EA14DA">
      <w:pPr>
        <w:spacing w:after="0" w:line="240" w:lineRule="auto"/>
        <w:jc w:val="right"/>
        <w:rPr>
          <w:rFonts w:cs="David"/>
          <w:rtl/>
        </w:rPr>
      </w:pPr>
      <w:bookmarkStart w:id="0" w:name="_GoBack"/>
      <w:bookmarkEnd w:id="0"/>
      <w:r w:rsidRPr="00CB47CA">
        <w:rPr>
          <w:rFonts w:cs="David" w:hint="cs"/>
          <w:rtl/>
        </w:rPr>
        <w:t>י"ט באדר ב' התשע"ו</w:t>
      </w:r>
    </w:p>
    <w:p w:rsidR="00EA14DA" w:rsidRPr="00162D99" w:rsidRDefault="00EA14DA" w:rsidP="00EA14DA">
      <w:pPr>
        <w:spacing w:after="0" w:line="240" w:lineRule="auto"/>
        <w:jc w:val="right"/>
        <w:rPr>
          <w:rFonts w:cs="David"/>
          <w:rtl/>
        </w:rPr>
      </w:pPr>
      <w:r w:rsidRPr="00CB47CA">
        <w:rPr>
          <w:rFonts w:cs="David" w:hint="cs"/>
          <w:rtl/>
        </w:rPr>
        <w:t>29 במרס 2016</w:t>
      </w:r>
    </w:p>
    <w:p w:rsidR="00496A35" w:rsidRPr="00D63B3D" w:rsidRDefault="000F60C3" w:rsidP="00D63B3D">
      <w:pPr>
        <w:spacing w:after="120" w:line="360" w:lineRule="auto"/>
        <w:jc w:val="both"/>
        <w:rPr>
          <w:sz w:val="24"/>
          <w:szCs w:val="24"/>
          <w:rtl/>
        </w:rPr>
      </w:pPr>
    </w:p>
    <w:p w:rsidR="009A7C49" w:rsidRPr="004E38A4" w:rsidRDefault="009A7C49" w:rsidP="00CB0EE2">
      <w:pPr>
        <w:spacing w:after="120" w:line="240" w:lineRule="auto"/>
        <w:jc w:val="both"/>
        <w:rPr>
          <w:rFonts w:cs="David"/>
          <w:sz w:val="24"/>
          <w:szCs w:val="24"/>
          <w:rtl/>
        </w:rPr>
      </w:pPr>
      <w:r w:rsidRPr="004E38A4">
        <w:rPr>
          <w:rFonts w:cs="David" w:hint="cs"/>
          <w:sz w:val="24"/>
          <w:szCs w:val="24"/>
          <w:rtl/>
        </w:rPr>
        <w:t>אל: חברי וועדת החוקה, חוק ומשפט</w:t>
      </w:r>
    </w:p>
    <w:p w:rsidR="009A7C49" w:rsidRPr="004E38A4" w:rsidRDefault="009A7C49" w:rsidP="00D63B3D">
      <w:pPr>
        <w:spacing w:after="120" w:line="360" w:lineRule="auto"/>
        <w:jc w:val="both"/>
        <w:rPr>
          <w:rFonts w:cs="David"/>
          <w:sz w:val="24"/>
          <w:szCs w:val="24"/>
          <w:rtl/>
        </w:rPr>
      </w:pPr>
    </w:p>
    <w:p w:rsidR="009A7C49" w:rsidRPr="00045D7A" w:rsidRDefault="009A7C49" w:rsidP="0097414E">
      <w:pPr>
        <w:spacing w:after="12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045D7A">
        <w:rPr>
          <w:rFonts w:cs="David" w:hint="cs"/>
          <w:b/>
          <w:bCs/>
          <w:sz w:val="24"/>
          <w:szCs w:val="24"/>
          <w:u w:val="single"/>
          <w:rtl/>
        </w:rPr>
        <w:t>הנדון:</w:t>
      </w:r>
      <w:r w:rsidRPr="004E38A4">
        <w:rPr>
          <w:rFonts w:cs="David" w:hint="cs"/>
          <w:sz w:val="24"/>
          <w:szCs w:val="24"/>
          <w:u w:val="single"/>
          <w:rtl/>
        </w:rPr>
        <w:t xml:space="preserve"> </w:t>
      </w:r>
      <w:r w:rsidRPr="00045D7A">
        <w:rPr>
          <w:rFonts w:cs="David" w:hint="cs"/>
          <w:b/>
          <w:bCs/>
          <w:sz w:val="24"/>
          <w:szCs w:val="24"/>
          <w:u w:val="single"/>
          <w:rtl/>
        </w:rPr>
        <w:t>טיוט</w:t>
      </w:r>
      <w:r w:rsidR="00066D59"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Pr="00045D7A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="00066D59">
        <w:rPr>
          <w:rFonts w:cs="David" w:hint="cs"/>
          <w:b/>
          <w:bCs/>
          <w:sz w:val="24"/>
          <w:szCs w:val="24"/>
          <w:u w:val="single"/>
          <w:rtl/>
        </w:rPr>
        <w:t xml:space="preserve">מוסכמת של </w:t>
      </w:r>
      <w:r w:rsidRPr="00045D7A">
        <w:rPr>
          <w:rFonts w:cs="David" w:hint="cs"/>
          <w:b/>
          <w:bCs/>
          <w:sz w:val="24"/>
          <w:szCs w:val="24"/>
          <w:u w:val="single"/>
          <w:rtl/>
        </w:rPr>
        <w:t xml:space="preserve">הנחיות </w:t>
      </w:r>
      <w:r w:rsidR="004445D5" w:rsidRPr="00045D7A">
        <w:rPr>
          <w:rFonts w:cs="David" w:hint="cs"/>
          <w:b/>
          <w:bCs/>
          <w:sz w:val="24"/>
          <w:szCs w:val="24"/>
          <w:u w:val="single"/>
          <w:rtl/>
        </w:rPr>
        <w:t xml:space="preserve">היועץ המשפטי לממשלה / </w:t>
      </w:r>
      <w:r w:rsidRPr="00045D7A">
        <w:rPr>
          <w:rFonts w:cs="David" w:hint="cs"/>
          <w:b/>
          <w:bCs/>
          <w:sz w:val="24"/>
          <w:szCs w:val="24"/>
          <w:u w:val="single"/>
          <w:rtl/>
        </w:rPr>
        <w:t>פרקליט המדינה בקשר להצעת חוק איסור הלבנת הון (תי</w:t>
      </w:r>
      <w:r w:rsidR="004C3A9B" w:rsidRPr="00045D7A">
        <w:rPr>
          <w:rFonts w:cs="David" w:hint="cs"/>
          <w:b/>
          <w:bCs/>
          <w:sz w:val="24"/>
          <w:szCs w:val="24"/>
          <w:u w:val="single"/>
          <w:rtl/>
        </w:rPr>
        <w:t>ק</w:t>
      </w:r>
      <w:r w:rsidRPr="00045D7A">
        <w:rPr>
          <w:rFonts w:cs="David" w:hint="cs"/>
          <w:b/>
          <w:bCs/>
          <w:sz w:val="24"/>
          <w:szCs w:val="24"/>
          <w:u w:val="single"/>
          <w:rtl/>
        </w:rPr>
        <w:t>ון מס' 14), התשע"ו-2016</w:t>
      </w:r>
    </w:p>
    <w:p w:rsidR="009A7C49" w:rsidRPr="004E38A4" w:rsidRDefault="004C066E" w:rsidP="004E5371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ביום ראשון</w:t>
      </w:r>
      <w:r w:rsidR="004E5371">
        <w:rPr>
          <w:rFonts w:cs="David" w:hint="cs"/>
          <w:sz w:val="24"/>
          <w:szCs w:val="24"/>
          <w:rtl/>
        </w:rPr>
        <w:t>,</w:t>
      </w:r>
      <w:r w:rsidRPr="004E38A4">
        <w:rPr>
          <w:rFonts w:cs="David" w:hint="cs"/>
          <w:sz w:val="24"/>
          <w:szCs w:val="24"/>
          <w:rtl/>
        </w:rPr>
        <w:t xml:space="preserve"> י' באדר ב' התשע"ו (20 במרס 2016), אישרה וועדת החוקה, חוק ומשפט את הצעת החוק שבנדון לקריאה השניה והשלישית.</w:t>
      </w:r>
    </w:p>
    <w:p w:rsidR="00DA1CC6" w:rsidRPr="004E38A4" w:rsidRDefault="004445D5" w:rsidP="0031213F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במסגרת הדיונים שקיימה הוועדה עד לאישור הצעת החוק האמורה, הוחלט ש</w:t>
      </w:r>
      <w:r w:rsidRPr="004E38A4">
        <w:rPr>
          <w:rFonts w:cs="David" w:hint="cs"/>
          <w:sz w:val="24"/>
          <w:szCs w:val="24"/>
          <w:u w:val="single"/>
          <w:rtl/>
        </w:rPr>
        <w:t>כחלק בלתי נפרד מאישור הצעת החוק</w:t>
      </w:r>
      <w:r w:rsidR="007B0C0B">
        <w:rPr>
          <w:rFonts w:cs="David" w:hint="cs"/>
          <w:sz w:val="24"/>
          <w:szCs w:val="24"/>
          <w:u w:val="single"/>
          <w:rtl/>
        </w:rPr>
        <w:t xml:space="preserve"> וכתנאי לאישורה</w:t>
      </w:r>
      <w:r w:rsidRPr="004E38A4">
        <w:rPr>
          <w:rFonts w:cs="David" w:hint="cs"/>
          <w:sz w:val="24"/>
          <w:szCs w:val="24"/>
          <w:u w:val="single"/>
          <w:rtl/>
        </w:rPr>
        <w:t xml:space="preserve">, </w:t>
      </w:r>
      <w:r w:rsidR="004D612C">
        <w:rPr>
          <w:rFonts w:cs="David" w:hint="cs"/>
          <w:sz w:val="24"/>
          <w:szCs w:val="24"/>
          <w:u w:val="single"/>
          <w:rtl/>
        </w:rPr>
        <w:t>תוצג בפני הוועדה</w:t>
      </w:r>
      <w:r w:rsidRPr="004E38A4">
        <w:rPr>
          <w:rFonts w:cs="David" w:hint="cs"/>
          <w:sz w:val="24"/>
          <w:szCs w:val="24"/>
          <w:u w:val="single"/>
          <w:rtl/>
        </w:rPr>
        <w:t xml:space="preserve"> טיוטה של הנחיות שהיועץ המשפטי לממשלה / פרקליט המדינה יוציא לרשויות התביע</w:t>
      </w:r>
      <w:r w:rsidR="004C3A9B" w:rsidRPr="004E38A4">
        <w:rPr>
          <w:rFonts w:cs="David" w:hint="cs"/>
          <w:sz w:val="24"/>
          <w:szCs w:val="24"/>
          <w:u w:val="single"/>
          <w:rtl/>
        </w:rPr>
        <w:t>ה</w:t>
      </w:r>
      <w:r w:rsidRPr="004E38A4">
        <w:rPr>
          <w:rFonts w:cs="David" w:hint="cs"/>
          <w:sz w:val="24"/>
          <w:szCs w:val="24"/>
          <w:rtl/>
        </w:rPr>
        <w:t xml:space="preserve">. מטרת ההנחיות </w:t>
      </w:r>
      <w:r w:rsidR="004C3A9B" w:rsidRPr="004E38A4">
        <w:rPr>
          <w:rFonts w:cs="David" w:hint="cs"/>
          <w:sz w:val="24"/>
          <w:szCs w:val="24"/>
          <w:rtl/>
        </w:rPr>
        <w:t>היא להבנות את שיקול הדעת של רשויות התביעה באשר לאופן הפעלת התיקונים</w:t>
      </w:r>
      <w:r w:rsidR="00DA1CC6" w:rsidRPr="004E38A4">
        <w:rPr>
          <w:rFonts w:cs="David" w:hint="cs"/>
          <w:sz w:val="24"/>
          <w:szCs w:val="24"/>
          <w:rtl/>
        </w:rPr>
        <w:t xml:space="preserve"> שבהצעת החוק, באופן שייתן מענה </w:t>
      </w:r>
      <w:r w:rsidRPr="004E38A4">
        <w:rPr>
          <w:rFonts w:cs="David" w:hint="cs"/>
          <w:sz w:val="24"/>
          <w:szCs w:val="24"/>
          <w:rtl/>
        </w:rPr>
        <w:t xml:space="preserve">לסוגיות </w:t>
      </w:r>
      <w:r w:rsidR="00F31BFE" w:rsidRPr="004E38A4">
        <w:rPr>
          <w:rFonts w:cs="David" w:hint="cs"/>
          <w:sz w:val="24"/>
          <w:szCs w:val="24"/>
          <w:rtl/>
        </w:rPr>
        <w:t>ה</w:t>
      </w:r>
      <w:r w:rsidRPr="004E38A4">
        <w:rPr>
          <w:rFonts w:cs="David" w:hint="cs"/>
          <w:sz w:val="24"/>
          <w:szCs w:val="24"/>
          <w:rtl/>
        </w:rPr>
        <w:t>שונות שהטרידו את חברי הוועדה</w:t>
      </w:r>
      <w:r w:rsidR="00F31BFE" w:rsidRPr="004E38A4">
        <w:rPr>
          <w:rFonts w:cs="David" w:hint="cs"/>
          <w:sz w:val="24"/>
          <w:szCs w:val="24"/>
          <w:rtl/>
        </w:rPr>
        <w:t>.</w:t>
      </w:r>
      <w:r w:rsidRPr="004E38A4">
        <w:rPr>
          <w:rFonts w:cs="David" w:hint="cs"/>
          <w:sz w:val="24"/>
          <w:szCs w:val="24"/>
          <w:rtl/>
        </w:rPr>
        <w:t xml:space="preserve"> </w:t>
      </w:r>
    </w:p>
    <w:p w:rsidR="004445D5" w:rsidRPr="004E38A4" w:rsidRDefault="004445D5" w:rsidP="004F4B55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משיקולים שונים </w:t>
      </w:r>
      <w:r w:rsidRPr="004E38A4">
        <w:rPr>
          <w:rFonts w:cs="David"/>
          <w:sz w:val="24"/>
          <w:szCs w:val="24"/>
          <w:rtl/>
        </w:rPr>
        <w:t>–</w:t>
      </w:r>
      <w:r w:rsidRPr="004E38A4">
        <w:rPr>
          <w:rFonts w:cs="David" w:hint="cs"/>
          <w:sz w:val="24"/>
          <w:szCs w:val="24"/>
          <w:rtl/>
        </w:rPr>
        <w:t xml:space="preserve"> בין השאר, היכולת להתנסח בצורה גמישה </w:t>
      </w:r>
      <w:r w:rsidR="004C3A9B" w:rsidRPr="004E38A4">
        <w:rPr>
          <w:rFonts w:cs="David" w:hint="cs"/>
          <w:sz w:val="24"/>
          <w:szCs w:val="24"/>
          <w:rtl/>
        </w:rPr>
        <w:t xml:space="preserve">יותר </w:t>
      </w:r>
      <w:r w:rsidRPr="004E38A4">
        <w:rPr>
          <w:rFonts w:cs="David" w:hint="cs"/>
          <w:sz w:val="24"/>
          <w:szCs w:val="24"/>
          <w:rtl/>
        </w:rPr>
        <w:t xml:space="preserve">ולתת דוגמאות </w:t>
      </w:r>
      <w:r w:rsidRPr="004E38A4">
        <w:rPr>
          <w:rFonts w:cs="David"/>
          <w:sz w:val="24"/>
          <w:szCs w:val="24"/>
          <w:rtl/>
        </w:rPr>
        <w:t>–</w:t>
      </w:r>
      <w:r w:rsidRPr="004E38A4">
        <w:rPr>
          <w:rFonts w:cs="David" w:hint="cs"/>
          <w:sz w:val="24"/>
          <w:szCs w:val="24"/>
          <w:rtl/>
        </w:rPr>
        <w:t xml:space="preserve"> הוחלט כי המקום המתאים לתת מענה </w:t>
      </w:r>
      <w:r w:rsidR="00C328D7" w:rsidRPr="004E38A4">
        <w:rPr>
          <w:rFonts w:cs="David" w:hint="cs"/>
          <w:sz w:val="24"/>
          <w:szCs w:val="24"/>
          <w:rtl/>
        </w:rPr>
        <w:t xml:space="preserve">לבעיות שהטרידו את חברי הוועדה, </w:t>
      </w:r>
      <w:r w:rsidRPr="004E38A4">
        <w:rPr>
          <w:rFonts w:cs="David" w:hint="cs"/>
          <w:sz w:val="24"/>
          <w:szCs w:val="24"/>
          <w:rtl/>
        </w:rPr>
        <w:t xml:space="preserve">הוא במסגרת של הנחיות </w:t>
      </w:r>
      <w:r w:rsidR="00C328D7" w:rsidRPr="004E38A4">
        <w:rPr>
          <w:rFonts w:cs="David" w:hint="cs"/>
          <w:sz w:val="24"/>
          <w:szCs w:val="24"/>
          <w:rtl/>
        </w:rPr>
        <w:t xml:space="preserve">היועץ המשפטי לממשלה / פרקליט המדינה </w:t>
      </w:r>
      <w:r w:rsidRPr="004E38A4">
        <w:rPr>
          <w:rFonts w:cs="David" w:hint="cs"/>
          <w:sz w:val="24"/>
          <w:szCs w:val="24"/>
          <w:rtl/>
        </w:rPr>
        <w:t>לרשויות התביעה, ולא במסגרת החקיקה עצמה.</w:t>
      </w:r>
      <w:r w:rsidR="004C3A9B" w:rsidRPr="004E38A4">
        <w:rPr>
          <w:rFonts w:cs="David" w:hint="cs"/>
          <w:sz w:val="24"/>
          <w:szCs w:val="24"/>
          <w:rtl/>
        </w:rPr>
        <w:t xml:space="preserve"> </w:t>
      </w:r>
    </w:p>
    <w:p w:rsidR="004C3A9B" w:rsidRPr="00E916EE" w:rsidRDefault="004C3A9B" w:rsidP="00D221E9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בשל העובדה שנותרו מחלוקות </w:t>
      </w:r>
      <w:r w:rsidR="00DF7416">
        <w:rPr>
          <w:rFonts w:cs="David" w:hint="cs"/>
          <w:sz w:val="24"/>
          <w:szCs w:val="24"/>
          <w:rtl/>
        </w:rPr>
        <w:t>במספר</w:t>
      </w:r>
      <w:r w:rsidRPr="004E38A4">
        <w:rPr>
          <w:rFonts w:cs="David" w:hint="cs"/>
          <w:sz w:val="24"/>
          <w:szCs w:val="24"/>
          <w:rtl/>
        </w:rPr>
        <w:t xml:space="preserve"> נקודות חשובות לגבי </w:t>
      </w:r>
      <w:r w:rsidR="00DF7416">
        <w:rPr>
          <w:rFonts w:cs="David" w:hint="cs"/>
          <w:sz w:val="24"/>
          <w:szCs w:val="24"/>
          <w:rtl/>
        </w:rPr>
        <w:t>ההנחיות</w:t>
      </w:r>
      <w:r w:rsidRPr="004E38A4">
        <w:rPr>
          <w:rFonts w:cs="David" w:hint="cs"/>
          <w:sz w:val="24"/>
          <w:szCs w:val="24"/>
          <w:rtl/>
        </w:rPr>
        <w:t>, החליטו חברי הוועדה לאשר את הצעת החוק לקריאה השניה והשלישית, אך להגיש בקשה לדיון מחדש ("רביז</w:t>
      </w:r>
      <w:r w:rsidRPr="00E916EE">
        <w:rPr>
          <w:rFonts w:cs="David" w:hint="cs"/>
          <w:sz w:val="24"/>
          <w:szCs w:val="24"/>
          <w:rtl/>
        </w:rPr>
        <w:t>יה"), כדי לאפשר לייעוץ המשפטי לוועדה ולנציגי הממשלה לשבת ו</w:t>
      </w:r>
      <w:r w:rsidRPr="00D221E9">
        <w:rPr>
          <w:rFonts w:cs="David" w:hint="cs"/>
          <w:sz w:val="24"/>
          <w:szCs w:val="24"/>
          <w:u w:val="single"/>
          <w:rtl/>
        </w:rPr>
        <w:t>לגבש נוסח מוסכם של טיוטת ההנחיות</w:t>
      </w:r>
      <w:r w:rsidR="004F4B55" w:rsidRPr="00D221E9">
        <w:rPr>
          <w:rFonts w:cs="David" w:hint="cs"/>
          <w:sz w:val="24"/>
          <w:szCs w:val="24"/>
          <w:u w:val="single"/>
          <w:rtl/>
        </w:rPr>
        <w:t xml:space="preserve"> שיניח את דעתם של חברי הוועדה, </w:t>
      </w:r>
      <w:r w:rsidR="00DF7416" w:rsidRPr="00D221E9">
        <w:rPr>
          <w:rFonts w:cs="David" w:hint="cs"/>
          <w:sz w:val="24"/>
          <w:szCs w:val="24"/>
          <w:u w:val="single"/>
          <w:rtl/>
        </w:rPr>
        <w:t>בטרם תונח הצעת החוק על שולחן מליאת הכנסת</w:t>
      </w:r>
      <w:r w:rsidRPr="00E916EE">
        <w:rPr>
          <w:rFonts w:cs="David" w:hint="cs"/>
          <w:sz w:val="24"/>
          <w:szCs w:val="24"/>
          <w:rtl/>
        </w:rPr>
        <w:t>.</w:t>
      </w:r>
    </w:p>
    <w:p w:rsidR="001A22AC" w:rsidRPr="004E38A4" w:rsidRDefault="004C3A9B" w:rsidP="00D221E9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לאחר </w:t>
      </w:r>
      <w:r w:rsidR="001A22AC" w:rsidRPr="004E38A4">
        <w:rPr>
          <w:rFonts w:cs="David" w:hint="cs"/>
          <w:sz w:val="24"/>
          <w:szCs w:val="24"/>
          <w:rtl/>
        </w:rPr>
        <w:t>ניהול</w:t>
      </w:r>
      <w:r w:rsidRPr="004E38A4">
        <w:rPr>
          <w:rFonts w:cs="David" w:hint="cs"/>
          <w:sz w:val="24"/>
          <w:szCs w:val="24"/>
          <w:rtl/>
        </w:rPr>
        <w:t xml:space="preserve"> מגעים אינטנסיביים עם נציגי הממשלה</w:t>
      </w:r>
      <w:r w:rsidR="001A22AC" w:rsidRPr="004E38A4">
        <w:rPr>
          <w:rFonts w:cs="David" w:hint="cs"/>
          <w:sz w:val="24"/>
          <w:szCs w:val="24"/>
          <w:rtl/>
        </w:rPr>
        <w:t xml:space="preserve">, </w:t>
      </w:r>
      <w:r w:rsidRPr="004E38A4">
        <w:rPr>
          <w:rFonts w:cs="David" w:hint="cs"/>
          <w:sz w:val="24"/>
          <w:szCs w:val="24"/>
          <w:rtl/>
        </w:rPr>
        <w:t>הגענו לטיוטת נוסח של הנחיות</w:t>
      </w:r>
      <w:r w:rsidR="001A22AC" w:rsidRPr="004E38A4">
        <w:rPr>
          <w:rFonts w:cs="David" w:hint="cs"/>
          <w:sz w:val="24"/>
          <w:szCs w:val="24"/>
          <w:rtl/>
        </w:rPr>
        <w:t xml:space="preserve">, שלטעמנו נותנת מענה טוב לסוגיות השונות שהטרידו את חברי הוועדה. כך, כוללות ההנחיות את </w:t>
      </w:r>
      <w:r w:rsidR="00D221E9">
        <w:rPr>
          <w:rFonts w:cs="David" w:hint="cs"/>
          <w:sz w:val="24"/>
          <w:szCs w:val="24"/>
          <w:rtl/>
        </w:rPr>
        <w:t>העקרונות</w:t>
      </w:r>
      <w:r w:rsidR="001A22AC" w:rsidRPr="004E38A4">
        <w:rPr>
          <w:rFonts w:cs="David" w:hint="cs"/>
          <w:sz w:val="24"/>
          <w:szCs w:val="24"/>
          <w:rtl/>
        </w:rPr>
        <w:t xml:space="preserve"> הבאים:</w:t>
      </w:r>
    </w:p>
    <w:p w:rsidR="001A22AC" w:rsidRPr="004E38A4" w:rsidRDefault="00CF4E32" w:rsidP="004B28FE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הדגשת </w:t>
      </w:r>
      <w:r w:rsidR="00655E45" w:rsidRPr="00366BE5">
        <w:rPr>
          <w:rFonts w:cs="David" w:hint="cs"/>
          <w:b/>
          <w:bCs/>
          <w:sz w:val="24"/>
          <w:szCs w:val="24"/>
          <w:rtl/>
        </w:rPr>
        <w:t>הצורך ב</w:t>
      </w:r>
      <w:r w:rsidRPr="00366BE5">
        <w:rPr>
          <w:rFonts w:cs="David" w:hint="cs"/>
          <w:b/>
          <w:bCs/>
          <w:sz w:val="24"/>
          <w:szCs w:val="24"/>
          <w:rtl/>
        </w:rPr>
        <w:t xml:space="preserve">קיומה של </w:t>
      </w:r>
      <w:r w:rsidR="00655E45" w:rsidRPr="00366BE5">
        <w:rPr>
          <w:rFonts w:cs="David" w:hint="cs"/>
          <w:b/>
          <w:bCs/>
          <w:sz w:val="24"/>
          <w:szCs w:val="24"/>
          <w:rtl/>
        </w:rPr>
        <w:t>פגיעה בערך מוגן נפרד</w:t>
      </w:r>
      <w:r w:rsidRPr="00366BE5">
        <w:rPr>
          <w:rFonts w:cs="David" w:hint="cs"/>
          <w:b/>
          <w:bCs/>
          <w:sz w:val="24"/>
          <w:szCs w:val="24"/>
          <w:rtl/>
        </w:rPr>
        <w:t xml:space="preserve">, </w:t>
      </w:r>
      <w:r w:rsidR="004B28FE">
        <w:rPr>
          <w:rFonts w:cs="David" w:hint="cs"/>
          <w:b/>
          <w:bCs/>
          <w:sz w:val="24"/>
          <w:szCs w:val="24"/>
          <w:rtl/>
        </w:rPr>
        <w:t xml:space="preserve">כתנאי להגשת </w:t>
      </w:r>
      <w:r w:rsidRPr="00366BE5">
        <w:rPr>
          <w:rFonts w:cs="David" w:hint="cs"/>
          <w:b/>
          <w:bCs/>
          <w:sz w:val="24"/>
          <w:szCs w:val="24"/>
          <w:rtl/>
        </w:rPr>
        <w:t>כתב אישום בגין עבירה של הלבנת הון</w:t>
      </w:r>
      <w:r w:rsidRPr="004E38A4">
        <w:rPr>
          <w:rFonts w:cs="David" w:hint="cs"/>
          <w:sz w:val="24"/>
          <w:szCs w:val="24"/>
          <w:rtl/>
        </w:rPr>
        <w:t>, במיוחד במקרים של "התמזגות" בין עבירת המקור לעבירת ההלבנה;</w:t>
      </w:r>
      <w:r w:rsidR="00655E45" w:rsidRPr="004E38A4">
        <w:rPr>
          <w:rFonts w:cs="David" w:hint="cs"/>
          <w:sz w:val="24"/>
          <w:szCs w:val="24"/>
          <w:rtl/>
        </w:rPr>
        <w:t xml:space="preserve"> </w:t>
      </w:r>
    </w:p>
    <w:p w:rsidR="00CF4E32" w:rsidRPr="004E38A4" w:rsidRDefault="00CF4E32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קביעה כי </w:t>
      </w:r>
      <w:r w:rsidRPr="00366BE5">
        <w:rPr>
          <w:rFonts w:cs="David" w:hint="cs"/>
          <w:b/>
          <w:bCs/>
          <w:sz w:val="24"/>
          <w:szCs w:val="24"/>
          <w:rtl/>
        </w:rPr>
        <w:t>הוספת אישום נוסף בגין עבירות של הלבנת הון ביחס לעבירות מס</w:t>
      </w:r>
      <w:r w:rsidR="004B28FE">
        <w:rPr>
          <w:rFonts w:cs="David" w:hint="cs"/>
          <w:b/>
          <w:bCs/>
          <w:sz w:val="24"/>
          <w:szCs w:val="24"/>
          <w:rtl/>
        </w:rPr>
        <w:t>,</w:t>
      </w:r>
      <w:r w:rsidRPr="00366BE5">
        <w:rPr>
          <w:rFonts w:cs="David" w:hint="cs"/>
          <w:b/>
          <w:bCs/>
          <w:sz w:val="24"/>
          <w:szCs w:val="24"/>
          <w:rtl/>
        </w:rPr>
        <w:t xml:space="preserve"> דורשת פעולת הסתרה נוספת על הפעולות שגיבשו את עבירות המס</w:t>
      </w:r>
      <w:r w:rsidRPr="004E38A4">
        <w:rPr>
          <w:rFonts w:cs="David" w:hint="cs"/>
          <w:sz w:val="24"/>
          <w:szCs w:val="24"/>
          <w:rtl/>
        </w:rPr>
        <w:t>.</w:t>
      </w:r>
    </w:p>
    <w:p w:rsidR="00CF4E32" w:rsidRPr="004E38A4" w:rsidRDefault="00CF4E32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 xml:space="preserve">התוויית מדיניות ולפיה לא </w:t>
      </w:r>
      <w:r w:rsidRPr="00366BE5">
        <w:rPr>
          <w:rFonts w:cs="David" w:hint="cs"/>
          <w:b/>
          <w:bCs/>
          <w:sz w:val="24"/>
          <w:szCs w:val="24"/>
          <w:rtl/>
        </w:rPr>
        <w:t xml:space="preserve">יוגש כתב אישום </w:t>
      </w:r>
      <w:r w:rsidR="00366BE5">
        <w:rPr>
          <w:rFonts w:cs="David" w:hint="cs"/>
          <w:b/>
          <w:bCs/>
          <w:sz w:val="24"/>
          <w:szCs w:val="24"/>
          <w:rtl/>
        </w:rPr>
        <w:t xml:space="preserve">בעבירות של הלבנת הון </w:t>
      </w:r>
      <w:r w:rsidRPr="00366BE5">
        <w:rPr>
          <w:rFonts w:cs="David" w:hint="cs"/>
          <w:b/>
          <w:bCs/>
          <w:sz w:val="24"/>
          <w:szCs w:val="24"/>
          <w:rtl/>
        </w:rPr>
        <w:t>בנוגע למעשים שמטרתם להסתיר רק את עצם ביצוע עבירת המס</w:t>
      </w:r>
      <w:r w:rsidRPr="004E38A4">
        <w:rPr>
          <w:rFonts w:cs="David" w:hint="cs"/>
          <w:sz w:val="24"/>
          <w:szCs w:val="24"/>
          <w:rtl/>
        </w:rPr>
        <w:t>;</w:t>
      </w:r>
    </w:p>
    <w:p w:rsidR="00CF4E32" w:rsidRPr="004E38A4" w:rsidRDefault="00CF4E32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הנחיה ש</w:t>
      </w:r>
      <w:r w:rsidR="004B28FE">
        <w:rPr>
          <w:rFonts w:cs="David" w:hint="cs"/>
          <w:sz w:val="24"/>
          <w:szCs w:val="24"/>
          <w:rtl/>
        </w:rPr>
        <w:t>כ</w:t>
      </w:r>
      <w:r w:rsidRPr="004E38A4">
        <w:rPr>
          <w:rFonts w:cs="David" w:hint="cs"/>
          <w:sz w:val="24"/>
          <w:szCs w:val="24"/>
          <w:rtl/>
        </w:rPr>
        <w:t xml:space="preserve">כלל </w:t>
      </w:r>
      <w:r w:rsidRPr="004B28FE">
        <w:rPr>
          <w:rFonts w:cs="David" w:hint="cs"/>
          <w:b/>
          <w:bCs/>
          <w:sz w:val="24"/>
          <w:szCs w:val="24"/>
          <w:rtl/>
        </w:rPr>
        <w:t>אין מקום להגיש כתב אישום בעבירה לפי סעיף 4 בגין עצם החזקת הרכוש</w:t>
      </w:r>
      <w:r w:rsidRPr="004E38A4">
        <w:rPr>
          <w:rFonts w:cs="David" w:hint="cs"/>
          <w:sz w:val="24"/>
          <w:szCs w:val="24"/>
          <w:rtl/>
        </w:rPr>
        <w:t>, או במקרים שבהם השימוש ברכוש היה למטרה של צריכה עצמית.</w:t>
      </w:r>
    </w:p>
    <w:p w:rsidR="00CF4E32" w:rsidRPr="004E38A4" w:rsidRDefault="003F027C" w:rsidP="004B28FE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E2571D">
        <w:rPr>
          <w:rFonts w:cs="David" w:hint="cs"/>
          <w:b/>
          <w:bCs/>
          <w:sz w:val="24"/>
          <w:szCs w:val="24"/>
          <w:rtl/>
        </w:rPr>
        <w:lastRenderedPageBreak/>
        <w:t xml:space="preserve">הדגשת </w:t>
      </w:r>
      <w:r w:rsidR="00E2571D" w:rsidRPr="00E2571D">
        <w:rPr>
          <w:rFonts w:cs="David" w:hint="cs"/>
          <w:b/>
          <w:bCs/>
          <w:sz w:val="24"/>
          <w:szCs w:val="24"/>
          <w:rtl/>
        </w:rPr>
        <w:t xml:space="preserve">הצורך </w:t>
      </w:r>
      <w:r w:rsidR="004B28FE">
        <w:rPr>
          <w:rFonts w:cs="David" w:hint="cs"/>
          <w:b/>
          <w:bCs/>
          <w:sz w:val="24"/>
          <w:szCs w:val="24"/>
          <w:rtl/>
        </w:rPr>
        <w:t xml:space="preserve">לעשות </w:t>
      </w:r>
      <w:r w:rsidR="00E2571D" w:rsidRPr="00E2571D">
        <w:rPr>
          <w:rFonts w:cs="David" w:hint="cs"/>
          <w:b/>
          <w:bCs/>
          <w:sz w:val="24"/>
          <w:szCs w:val="24"/>
          <w:rtl/>
        </w:rPr>
        <w:t xml:space="preserve">שימוש בכלי של </w:t>
      </w:r>
      <w:r w:rsidRPr="00E2571D">
        <w:rPr>
          <w:rFonts w:cs="David" w:hint="cs"/>
          <w:b/>
          <w:bCs/>
          <w:sz w:val="24"/>
          <w:szCs w:val="24"/>
          <w:rtl/>
        </w:rPr>
        <w:t>חילוט זמני של רכוש</w:t>
      </w:r>
      <w:r w:rsidR="004B28FE">
        <w:rPr>
          <w:rFonts w:cs="David" w:hint="cs"/>
          <w:b/>
          <w:bCs/>
          <w:sz w:val="24"/>
          <w:szCs w:val="24"/>
          <w:rtl/>
        </w:rPr>
        <w:t xml:space="preserve"> באופן מידתי</w:t>
      </w:r>
      <w:r w:rsidRPr="00E2571D">
        <w:rPr>
          <w:rFonts w:cs="David" w:hint="cs"/>
          <w:b/>
          <w:bCs/>
          <w:sz w:val="24"/>
          <w:szCs w:val="24"/>
          <w:rtl/>
        </w:rPr>
        <w:t xml:space="preserve"> שיבטיח </w:t>
      </w:r>
      <w:r w:rsidR="00E2571D" w:rsidRPr="00E2571D">
        <w:rPr>
          <w:rFonts w:cs="David" w:hint="cs"/>
          <w:b/>
          <w:bCs/>
          <w:sz w:val="24"/>
          <w:szCs w:val="24"/>
          <w:rtl/>
        </w:rPr>
        <w:t xml:space="preserve">כי </w:t>
      </w:r>
      <w:r w:rsidRPr="00E2571D">
        <w:rPr>
          <w:rFonts w:cs="David" w:hint="cs"/>
          <w:b/>
          <w:bCs/>
          <w:sz w:val="24"/>
          <w:szCs w:val="24"/>
          <w:rtl/>
        </w:rPr>
        <w:t>תפיסת הרכוש לא תפגע מעבר לנדרש בהמשך פעילות העסק של החשוד</w:t>
      </w:r>
      <w:r w:rsidR="000C324B" w:rsidRPr="004E38A4">
        <w:rPr>
          <w:rFonts w:cs="David" w:hint="cs"/>
          <w:sz w:val="24"/>
          <w:szCs w:val="24"/>
          <w:rtl/>
        </w:rPr>
        <w:t>;</w:t>
      </w:r>
    </w:p>
    <w:p w:rsidR="003F027C" w:rsidRPr="004E38A4" w:rsidRDefault="00E2571D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הוספת</w:t>
      </w:r>
      <w:r w:rsidR="003F027C" w:rsidRPr="004E38A4">
        <w:rPr>
          <w:rFonts w:cs="David" w:hint="cs"/>
          <w:sz w:val="24"/>
          <w:szCs w:val="24"/>
          <w:rtl/>
        </w:rPr>
        <w:t xml:space="preserve"> אלמנט של מידתיות בחילוט סופי</w:t>
      </w:r>
      <w:r w:rsidR="000C324B" w:rsidRPr="004E38A4">
        <w:rPr>
          <w:rFonts w:cs="David" w:hint="cs"/>
          <w:sz w:val="24"/>
          <w:szCs w:val="24"/>
          <w:rtl/>
        </w:rPr>
        <w:t>;</w:t>
      </w:r>
    </w:p>
    <w:p w:rsidR="000C324B" w:rsidRPr="004E38A4" w:rsidRDefault="000C324B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התוויית קווים מנחים לגבי הסוגיה של "ערבוב" הרכוש;</w:t>
      </w:r>
    </w:p>
    <w:p w:rsidR="001A22AC" w:rsidRPr="004E38A4" w:rsidRDefault="001A22AC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מתן דוגמאות מניחות את הדעת לאלמנט ה"תחכום" שמשמש כנסיבה מחמירה;</w:t>
      </w:r>
    </w:p>
    <w:p w:rsidR="001A22AC" w:rsidRPr="004E38A4" w:rsidRDefault="001A22AC" w:rsidP="00D63B3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cs="David"/>
          <w:sz w:val="24"/>
          <w:szCs w:val="24"/>
        </w:rPr>
      </w:pPr>
      <w:r w:rsidRPr="004E38A4">
        <w:rPr>
          <w:rFonts w:cs="David" w:hint="cs"/>
          <w:sz w:val="24"/>
          <w:szCs w:val="24"/>
          <w:rtl/>
        </w:rPr>
        <w:t>הבהרות באשר לתנאי של ביצוע עבירת הלבנת ההון בידי מי שאינו האדם החייב במס;</w:t>
      </w:r>
    </w:p>
    <w:p w:rsidR="000E7116" w:rsidRDefault="000E7116" w:rsidP="000E7116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לאחר שהודענו לחברי הוועדה שהגישו את הרביזיה על הגעתנו לטיוטה מוסכמת של ההנחיות, הסירו חברי הוועדה את הרביזיה, ובכך נסללה הדרך להנחת הצעת החוק על </w:t>
      </w:r>
      <w:r w:rsidR="00366BE5">
        <w:rPr>
          <w:rFonts w:cs="David" w:hint="cs"/>
          <w:sz w:val="24"/>
          <w:szCs w:val="24"/>
          <w:rtl/>
        </w:rPr>
        <w:t>שולחן מליאת הכנסת</w:t>
      </w:r>
    </w:p>
    <w:p w:rsidR="004C066E" w:rsidRPr="004E38A4" w:rsidRDefault="005708EE" w:rsidP="0095068B">
      <w:pPr>
        <w:pStyle w:val="a3"/>
        <w:numPr>
          <w:ilvl w:val="0"/>
          <w:numId w:val="1"/>
        </w:numPr>
        <w:spacing w:after="120" w:line="360" w:lineRule="auto"/>
        <w:jc w:val="both"/>
        <w:rPr>
          <w:rFonts w:cs="David"/>
          <w:sz w:val="24"/>
          <w:szCs w:val="24"/>
          <w:rtl/>
        </w:rPr>
      </w:pPr>
      <w:r w:rsidRPr="005102EA">
        <w:rPr>
          <w:rFonts w:cs="David" w:hint="cs"/>
          <w:sz w:val="24"/>
          <w:szCs w:val="24"/>
          <w:rtl/>
        </w:rPr>
        <w:t xml:space="preserve">נוכח האמור, וחרף העובדה כי טיוטת ההנחיות </w:t>
      </w:r>
      <w:r w:rsidR="0095068B">
        <w:rPr>
          <w:rFonts w:cs="David" w:hint="cs"/>
          <w:sz w:val="24"/>
          <w:szCs w:val="24"/>
          <w:rtl/>
        </w:rPr>
        <w:t xml:space="preserve">המצ"ב </w:t>
      </w:r>
      <w:r w:rsidRPr="005102EA">
        <w:rPr>
          <w:rFonts w:cs="David" w:hint="cs"/>
          <w:sz w:val="24"/>
          <w:szCs w:val="24"/>
          <w:rtl/>
        </w:rPr>
        <w:t>אינה מאושרת באופן פורמאלי על ידי הוועדה</w:t>
      </w:r>
      <w:r w:rsidRPr="00D439F3">
        <w:rPr>
          <w:rFonts w:cs="David" w:hint="cs"/>
          <w:sz w:val="24"/>
          <w:szCs w:val="24"/>
          <w:rtl/>
        </w:rPr>
        <w:t>,</w:t>
      </w:r>
      <w:r w:rsidRPr="00D439F3">
        <w:rPr>
          <w:rFonts w:cs="David" w:hint="cs"/>
          <w:b/>
          <w:bCs/>
          <w:sz w:val="24"/>
          <w:szCs w:val="24"/>
          <w:rtl/>
        </w:rPr>
        <w:t xml:space="preserve"> </w:t>
      </w:r>
      <w:r w:rsidRPr="004E38A4">
        <w:rPr>
          <w:rFonts w:cs="David" w:hint="cs"/>
          <w:b/>
          <w:bCs/>
          <w:sz w:val="24"/>
          <w:szCs w:val="24"/>
          <w:u w:val="single"/>
          <w:rtl/>
        </w:rPr>
        <w:t xml:space="preserve">יש לראות </w:t>
      </w:r>
      <w:r>
        <w:rPr>
          <w:rFonts w:cs="David" w:hint="cs"/>
          <w:b/>
          <w:bCs/>
          <w:sz w:val="24"/>
          <w:szCs w:val="24"/>
          <w:u w:val="single"/>
          <w:rtl/>
        </w:rPr>
        <w:t>בטיוטת ההנחיות</w:t>
      </w:r>
      <w:r w:rsidRPr="004E38A4">
        <w:rPr>
          <w:rFonts w:cs="David" w:hint="cs"/>
          <w:b/>
          <w:bCs/>
          <w:sz w:val="24"/>
          <w:szCs w:val="24"/>
          <w:u w:val="single"/>
          <w:rtl/>
        </w:rPr>
        <w:t xml:space="preserve">, ובתכנים הכלולים בה, חלק בלתי נפרד מהחלטת הוועדה לאשר את הצעת החוק שבנדון לקריאה השניה והשלישית, ותנאי מהותי </w:t>
      </w:r>
      <w:r w:rsidRPr="004E38A4">
        <w:rPr>
          <w:rFonts w:cs="David"/>
          <w:b/>
          <w:bCs/>
          <w:sz w:val="24"/>
          <w:szCs w:val="24"/>
          <w:u w:val="single"/>
          <w:rtl/>
        </w:rPr>
        <w:t>–</w:t>
      </w:r>
      <w:r w:rsidRPr="004E38A4">
        <w:rPr>
          <w:rFonts w:cs="David" w:hint="cs"/>
          <w:b/>
          <w:bCs/>
          <w:sz w:val="24"/>
          <w:szCs w:val="24"/>
          <w:u w:val="single"/>
          <w:rtl/>
        </w:rPr>
        <w:t xml:space="preserve"> גם אם לא פורמאלי </w:t>
      </w:r>
      <w:r w:rsidRPr="004E38A4">
        <w:rPr>
          <w:rFonts w:cs="David"/>
          <w:b/>
          <w:bCs/>
          <w:sz w:val="24"/>
          <w:szCs w:val="24"/>
          <w:u w:val="single"/>
          <w:rtl/>
        </w:rPr>
        <w:t>–</w:t>
      </w:r>
      <w:r w:rsidRPr="004E38A4">
        <w:rPr>
          <w:rFonts w:cs="David" w:hint="cs"/>
          <w:b/>
          <w:bCs/>
          <w:sz w:val="24"/>
          <w:szCs w:val="24"/>
          <w:u w:val="single"/>
          <w:rtl/>
        </w:rPr>
        <w:t xml:space="preserve"> לאישור </w:t>
      </w:r>
      <w:r w:rsidR="0095068B"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Pr="004E38A4">
        <w:rPr>
          <w:rFonts w:cs="David" w:hint="cs"/>
          <w:b/>
          <w:bCs/>
          <w:sz w:val="24"/>
          <w:szCs w:val="24"/>
          <w:u w:val="single"/>
          <w:rtl/>
        </w:rPr>
        <w:t>הצעה</w:t>
      </w:r>
      <w:r w:rsidRPr="004E38A4">
        <w:rPr>
          <w:rFonts w:cs="David" w:hint="cs"/>
          <w:sz w:val="24"/>
          <w:szCs w:val="24"/>
          <w:rtl/>
        </w:rPr>
        <w:t>.</w:t>
      </w:r>
    </w:p>
    <w:p w:rsidR="009A7C49" w:rsidRDefault="009A7C49">
      <w:pPr>
        <w:rPr>
          <w:rFonts w:cs="David"/>
          <w:rtl/>
        </w:rPr>
      </w:pPr>
    </w:p>
    <w:p w:rsidR="00B6588C" w:rsidRPr="00B6588C" w:rsidRDefault="00B6588C" w:rsidP="00B6588C">
      <w:pPr>
        <w:spacing w:after="60" w:line="240" w:lineRule="auto"/>
        <w:jc w:val="right"/>
        <w:rPr>
          <w:rFonts w:cs="David"/>
          <w:sz w:val="24"/>
          <w:szCs w:val="24"/>
          <w:rtl/>
        </w:rPr>
      </w:pPr>
      <w:r w:rsidRPr="00B6588C">
        <w:rPr>
          <w:rFonts w:cs="David" w:hint="cs"/>
          <w:sz w:val="24"/>
          <w:szCs w:val="24"/>
          <w:rtl/>
        </w:rPr>
        <w:t>בברכה</w:t>
      </w:r>
    </w:p>
    <w:p w:rsidR="00B6588C" w:rsidRPr="00B6588C" w:rsidRDefault="00B6588C" w:rsidP="00B6588C">
      <w:pPr>
        <w:spacing w:after="60" w:line="240" w:lineRule="auto"/>
        <w:jc w:val="right"/>
        <w:rPr>
          <w:rFonts w:cs="David"/>
          <w:sz w:val="24"/>
          <w:szCs w:val="24"/>
          <w:rtl/>
        </w:rPr>
      </w:pPr>
      <w:r w:rsidRPr="00B6588C">
        <w:rPr>
          <w:rFonts w:cs="David" w:hint="cs"/>
          <w:sz w:val="24"/>
          <w:szCs w:val="24"/>
          <w:rtl/>
        </w:rPr>
        <w:t>עו"ד אלעזר שטרן</w:t>
      </w:r>
    </w:p>
    <w:p w:rsidR="00B6588C" w:rsidRDefault="00B6588C" w:rsidP="00B6588C">
      <w:pPr>
        <w:spacing w:after="60" w:line="240" w:lineRule="auto"/>
        <w:jc w:val="right"/>
        <w:rPr>
          <w:rFonts w:cs="David"/>
          <w:sz w:val="24"/>
          <w:szCs w:val="24"/>
          <w:rtl/>
        </w:rPr>
      </w:pPr>
      <w:r w:rsidRPr="00B6588C">
        <w:rPr>
          <w:rFonts w:cs="David" w:hint="cs"/>
          <w:sz w:val="24"/>
          <w:szCs w:val="24"/>
          <w:rtl/>
        </w:rPr>
        <w:t>הייעוץ המשפטי לוועדת החוקה חוק ומשפט</w:t>
      </w:r>
    </w:p>
    <w:p w:rsidR="00B6588C" w:rsidRDefault="00B6588C" w:rsidP="00B6588C">
      <w:pPr>
        <w:spacing w:after="60" w:line="240" w:lineRule="auto"/>
        <w:jc w:val="right"/>
        <w:rPr>
          <w:rFonts w:cs="David"/>
          <w:sz w:val="24"/>
          <w:szCs w:val="24"/>
          <w:rtl/>
        </w:rPr>
      </w:pPr>
    </w:p>
    <w:p w:rsidR="00B6588C" w:rsidRDefault="00B6588C" w:rsidP="002800D1">
      <w:pPr>
        <w:spacing w:after="120" w:line="240" w:lineRule="auto"/>
        <w:rPr>
          <w:rFonts w:cs="David"/>
          <w:sz w:val="24"/>
          <w:szCs w:val="24"/>
          <w:rtl/>
        </w:rPr>
      </w:pPr>
      <w:r w:rsidRPr="00B6588C">
        <w:rPr>
          <w:rFonts w:cs="David" w:hint="cs"/>
          <w:sz w:val="24"/>
          <w:szCs w:val="24"/>
          <w:u w:val="single"/>
          <w:rtl/>
        </w:rPr>
        <w:t>העתק</w:t>
      </w:r>
      <w:r>
        <w:rPr>
          <w:rFonts w:cs="David" w:hint="cs"/>
          <w:sz w:val="24"/>
          <w:szCs w:val="24"/>
          <w:rtl/>
        </w:rPr>
        <w:t>:</w:t>
      </w:r>
    </w:p>
    <w:p w:rsidR="00B6588C" w:rsidRDefault="00B6588C" w:rsidP="002800D1">
      <w:pPr>
        <w:spacing w:after="12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עו"ד סיגל קוגוט, המשנה ליועץ המשפטי לכנסת והיועצת המשפטית לוועדת החוקה חוק ומשפט</w:t>
      </w:r>
    </w:p>
    <w:p w:rsidR="00B6588C" w:rsidRDefault="00B6588C" w:rsidP="002800D1">
      <w:pPr>
        <w:spacing w:after="12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אסף פרידמן, מנהל וועדת החוקה חוק ומשפט</w:t>
      </w:r>
    </w:p>
    <w:p w:rsidR="00B6588C" w:rsidRPr="00B6588C" w:rsidRDefault="00B6588C" w:rsidP="002800D1">
      <w:pPr>
        <w:spacing w:after="120" w:line="240" w:lineRule="auto"/>
        <w:rPr>
          <w:rFonts w:cs="David"/>
          <w:sz w:val="24"/>
          <w:szCs w:val="24"/>
          <w:rtl/>
        </w:rPr>
      </w:pPr>
    </w:p>
    <w:sectPr w:rsidR="00B6588C" w:rsidRPr="00B6588C" w:rsidSect="00D276E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EE3248"/>
    <w:multiLevelType w:val="hybridMultilevel"/>
    <w:tmpl w:val="C9DC8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807B2"/>
    <w:multiLevelType w:val="hybridMultilevel"/>
    <w:tmpl w:val="DAEC2E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71"/>
    <w:rsid w:val="00045D7A"/>
    <w:rsid w:val="00066D59"/>
    <w:rsid w:val="000C324B"/>
    <w:rsid w:val="000E7116"/>
    <w:rsid w:val="000F60C3"/>
    <w:rsid w:val="001A22AC"/>
    <w:rsid w:val="001E701F"/>
    <w:rsid w:val="002545A0"/>
    <w:rsid w:val="002800D1"/>
    <w:rsid w:val="002C23B5"/>
    <w:rsid w:val="0031213F"/>
    <w:rsid w:val="00366BE5"/>
    <w:rsid w:val="003804BE"/>
    <w:rsid w:val="003A0871"/>
    <w:rsid w:val="003F027C"/>
    <w:rsid w:val="004445D5"/>
    <w:rsid w:val="00460512"/>
    <w:rsid w:val="004B28FE"/>
    <w:rsid w:val="004C066E"/>
    <w:rsid w:val="004C3A9B"/>
    <w:rsid w:val="004D612C"/>
    <w:rsid w:val="004E38A4"/>
    <w:rsid w:val="004E5371"/>
    <w:rsid w:val="004F4B55"/>
    <w:rsid w:val="005102EA"/>
    <w:rsid w:val="005708EE"/>
    <w:rsid w:val="00655E45"/>
    <w:rsid w:val="006A3D33"/>
    <w:rsid w:val="006E3EF7"/>
    <w:rsid w:val="007657B9"/>
    <w:rsid w:val="007B0C0B"/>
    <w:rsid w:val="007B7005"/>
    <w:rsid w:val="007F461C"/>
    <w:rsid w:val="0095068B"/>
    <w:rsid w:val="0097414E"/>
    <w:rsid w:val="009758D6"/>
    <w:rsid w:val="009A7C49"/>
    <w:rsid w:val="009F0492"/>
    <w:rsid w:val="00B6588C"/>
    <w:rsid w:val="00C328D7"/>
    <w:rsid w:val="00C50B4C"/>
    <w:rsid w:val="00CB0EE2"/>
    <w:rsid w:val="00CB47CA"/>
    <w:rsid w:val="00CF4E32"/>
    <w:rsid w:val="00D221E9"/>
    <w:rsid w:val="00D276EF"/>
    <w:rsid w:val="00D439F3"/>
    <w:rsid w:val="00D63B3D"/>
    <w:rsid w:val="00DA1CC6"/>
    <w:rsid w:val="00DE20FB"/>
    <w:rsid w:val="00DF7416"/>
    <w:rsid w:val="00E2571D"/>
    <w:rsid w:val="00E916EE"/>
    <w:rsid w:val="00EA14DA"/>
    <w:rsid w:val="00F3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50C10-6686-4A2E-8420-F5FDA0E8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2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16B117-68BF-42AE-8254-1E09033544DB}"/>
</file>

<file path=customXml/itemProps2.xml><?xml version="1.0" encoding="utf-8"?>
<ds:datastoreItem xmlns:ds="http://schemas.openxmlformats.org/officeDocument/2006/customXml" ds:itemID="{370279B4-EB90-48ED-8D5A-17A14098A8DA}"/>
</file>

<file path=customXml/itemProps3.xml><?xml version="1.0" encoding="utf-8"?>
<ds:datastoreItem xmlns:ds="http://schemas.openxmlformats.org/officeDocument/2006/customXml" ds:itemID="{CDF2CC7F-E897-4D23-A54D-F7A939AD8E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2392</Characters>
  <Application>Microsoft Office Word</Application>
  <DocSecurity>4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dcterms:created xsi:type="dcterms:W3CDTF">2016-03-29T08:33:00Z</dcterms:created>
  <dcterms:modified xsi:type="dcterms:W3CDTF">2016-03-29T08:33:00Z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