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E86" w:rsidRPr="008417B4" w:rsidRDefault="00110AE4" w:rsidP="007051B6">
      <w:pPr>
        <w:pStyle w:val="HeadHatzaotHok"/>
        <w:spacing w:before="0" w:line="240" w:lineRule="auto"/>
        <w:jc w:val="right"/>
        <w:rPr>
          <w:b w:val="0"/>
          <w:bCs w:val="0"/>
          <w:sz w:val="22"/>
          <w:szCs w:val="22"/>
          <w:rtl/>
        </w:rPr>
      </w:pPr>
      <w:r w:rsidRPr="008417B4">
        <w:rPr>
          <w:rFonts w:hint="cs"/>
          <w:b w:val="0"/>
          <w:bCs w:val="0"/>
          <w:sz w:val="22"/>
          <w:szCs w:val="22"/>
          <w:rtl/>
        </w:rPr>
        <w:t>29</w:t>
      </w:r>
      <w:r w:rsidR="00C21E86" w:rsidRPr="008417B4">
        <w:rPr>
          <w:rFonts w:hint="cs"/>
          <w:b w:val="0"/>
          <w:bCs w:val="0"/>
          <w:sz w:val="22"/>
          <w:szCs w:val="22"/>
          <w:rtl/>
        </w:rPr>
        <w:t xml:space="preserve"> ב</w:t>
      </w:r>
      <w:r w:rsidR="007051B6" w:rsidRPr="008417B4">
        <w:rPr>
          <w:rFonts w:hint="cs"/>
          <w:b w:val="0"/>
          <w:bCs w:val="0"/>
          <w:sz w:val="22"/>
          <w:szCs w:val="22"/>
          <w:rtl/>
        </w:rPr>
        <w:t>יוני</w:t>
      </w:r>
      <w:r w:rsidR="00C21E86" w:rsidRPr="008417B4">
        <w:rPr>
          <w:rFonts w:hint="cs"/>
          <w:b w:val="0"/>
          <w:bCs w:val="0"/>
          <w:sz w:val="22"/>
          <w:szCs w:val="22"/>
          <w:rtl/>
        </w:rPr>
        <w:t xml:space="preserve"> 201</w:t>
      </w:r>
      <w:r w:rsidR="007051B6" w:rsidRPr="008417B4">
        <w:rPr>
          <w:rFonts w:hint="cs"/>
          <w:b w:val="0"/>
          <w:bCs w:val="0"/>
          <w:sz w:val="22"/>
          <w:szCs w:val="22"/>
          <w:rtl/>
        </w:rPr>
        <w:t>5</w:t>
      </w:r>
    </w:p>
    <w:p w:rsidR="00C21E86" w:rsidRPr="008417B4" w:rsidRDefault="007051B6" w:rsidP="00110AE4">
      <w:pPr>
        <w:pStyle w:val="HeadHatzaotHok"/>
        <w:spacing w:before="0" w:line="240" w:lineRule="auto"/>
        <w:jc w:val="right"/>
        <w:rPr>
          <w:b w:val="0"/>
          <w:bCs w:val="0"/>
          <w:sz w:val="22"/>
          <w:szCs w:val="22"/>
          <w:rtl/>
        </w:rPr>
      </w:pPr>
      <w:r w:rsidRPr="008417B4">
        <w:rPr>
          <w:rFonts w:hint="cs"/>
          <w:b w:val="0"/>
          <w:bCs w:val="0"/>
          <w:sz w:val="22"/>
          <w:szCs w:val="22"/>
          <w:rtl/>
        </w:rPr>
        <w:t>י"</w:t>
      </w:r>
      <w:r w:rsidR="00110AE4" w:rsidRPr="008417B4">
        <w:rPr>
          <w:rFonts w:hint="cs"/>
          <w:b w:val="0"/>
          <w:bCs w:val="0"/>
          <w:sz w:val="22"/>
          <w:szCs w:val="22"/>
          <w:rtl/>
        </w:rPr>
        <w:t>ב</w:t>
      </w:r>
      <w:r w:rsidR="004C56AD" w:rsidRPr="008417B4">
        <w:rPr>
          <w:rFonts w:hint="cs"/>
          <w:b w:val="0"/>
          <w:bCs w:val="0"/>
          <w:sz w:val="22"/>
          <w:szCs w:val="22"/>
          <w:rtl/>
        </w:rPr>
        <w:t xml:space="preserve"> ב</w:t>
      </w:r>
      <w:r w:rsidRPr="008417B4">
        <w:rPr>
          <w:rFonts w:hint="cs"/>
          <w:b w:val="0"/>
          <w:bCs w:val="0"/>
          <w:sz w:val="22"/>
          <w:szCs w:val="22"/>
          <w:rtl/>
        </w:rPr>
        <w:t>תמוז</w:t>
      </w:r>
      <w:r w:rsidR="00C21E86" w:rsidRPr="008417B4">
        <w:rPr>
          <w:rFonts w:hint="cs"/>
          <w:b w:val="0"/>
          <w:bCs w:val="0"/>
          <w:sz w:val="22"/>
          <w:szCs w:val="22"/>
          <w:rtl/>
        </w:rPr>
        <w:t xml:space="preserve"> תשע"</w:t>
      </w:r>
      <w:r w:rsidR="004C56AD" w:rsidRPr="008417B4">
        <w:rPr>
          <w:rFonts w:hint="cs"/>
          <w:b w:val="0"/>
          <w:bCs w:val="0"/>
          <w:sz w:val="22"/>
          <w:szCs w:val="22"/>
          <w:rtl/>
        </w:rPr>
        <w:t>ה</w:t>
      </w:r>
    </w:p>
    <w:p w:rsidR="008417B4" w:rsidRPr="008417B4" w:rsidRDefault="008417B4" w:rsidP="008417B4">
      <w:pPr>
        <w:rPr>
          <w:rFonts w:cs="David"/>
          <w:rtl/>
        </w:rPr>
      </w:pPr>
      <w:r w:rsidRPr="008417B4">
        <w:rPr>
          <w:rFonts w:cs="David" w:hint="cs"/>
          <w:u w:val="single"/>
          <w:rtl/>
        </w:rPr>
        <w:t>אל</w:t>
      </w:r>
      <w:r w:rsidRPr="008417B4">
        <w:rPr>
          <w:rFonts w:cs="David" w:hint="cs"/>
          <w:rtl/>
        </w:rPr>
        <w:t>: חברי ועדת החוקה, חוק ומשפט</w:t>
      </w:r>
    </w:p>
    <w:p w:rsidR="008417B4" w:rsidRPr="00AE3501" w:rsidRDefault="008417B4" w:rsidP="008417B4">
      <w:pPr>
        <w:rPr>
          <w:rFonts w:cs="David"/>
          <w:rtl/>
        </w:rPr>
      </w:pPr>
      <w:r w:rsidRPr="008417B4">
        <w:rPr>
          <w:rFonts w:cs="David" w:hint="cs"/>
          <w:u w:val="single"/>
          <w:rtl/>
        </w:rPr>
        <w:t>מאת</w:t>
      </w:r>
      <w:r w:rsidRPr="008417B4">
        <w:rPr>
          <w:rFonts w:cs="David" w:hint="cs"/>
          <w:rtl/>
        </w:rPr>
        <w:t>: הייעוץ המשפ</w:t>
      </w:r>
      <w:bookmarkStart w:id="0" w:name="_GoBack"/>
      <w:bookmarkEnd w:id="0"/>
      <w:r w:rsidRPr="008417B4">
        <w:rPr>
          <w:rFonts w:cs="David" w:hint="cs"/>
          <w:rtl/>
        </w:rPr>
        <w:t>טי לוועדה</w:t>
      </w:r>
    </w:p>
    <w:p w:rsidR="008417B4" w:rsidRPr="00AE3501" w:rsidRDefault="008417B4" w:rsidP="008417B4">
      <w:pPr>
        <w:rPr>
          <w:rFonts w:cs="David"/>
          <w:rtl/>
        </w:rPr>
      </w:pPr>
    </w:p>
    <w:p w:rsidR="004C0D3E" w:rsidRDefault="004C0D3E" w:rsidP="00C21E86">
      <w:pPr>
        <w:spacing w:line="360" w:lineRule="auto"/>
        <w:jc w:val="both"/>
        <w:rPr>
          <w:rFonts w:cs="David"/>
          <w:rtl/>
        </w:rPr>
      </w:pPr>
    </w:p>
    <w:p w:rsidR="00C21E86" w:rsidRPr="00AD0D16" w:rsidRDefault="007051B6" w:rsidP="007051B6">
      <w:pPr>
        <w:spacing w:after="240"/>
        <w:jc w:val="center"/>
        <w:rPr>
          <w:rFonts w:cs="David"/>
          <w:b/>
          <w:bCs/>
          <w:sz w:val="28"/>
          <w:szCs w:val="28"/>
          <w:u w:val="single"/>
          <w:rtl/>
        </w:rPr>
      </w:pPr>
      <w:r w:rsidRPr="007051B6">
        <w:rPr>
          <w:rFonts w:cs="David"/>
          <w:b/>
          <w:bCs/>
          <w:sz w:val="28"/>
          <w:szCs w:val="28"/>
          <w:u w:val="single"/>
          <w:rtl/>
        </w:rPr>
        <w:t>צו המרכז לגביית קנסות אגרות והוצאות (קביעת קרן)</w:t>
      </w:r>
      <w:r w:rsidRPr="007051B6">
        <w:rPr>
          <w:rFonts w:cs="David" w:hint="cs"/>
          <w:b/>
          <w:bCs/>
          <w:sz w:val="28"/>
          <w:szCs w:val="28"/>
          <w:u w:val="single"/>
          <w:rtl/>
        </w:rPr>
        <w:t xml:space="preserve"> </w:t>
      </w:r>
      <w:r w:rsidRPr="007051B6">
        <w:rPr>
          <w:rFonts w:cs="David"/>
          <w:b/>
          <w:bCs/>
          <w:sz w:val="28"/>
          <w:szCs w:val="28"/>
          <w:u w:val="single"/>
          <w:rtl/>
        </w:rPr>
        <w:t>התשע"</w:t>
      </w:r>
      <w:r w:rsidRPr="007051B6">
        <w:rPr>
          <w:rFonts w:cs="David" w:hint="cs"/>
          <w:b/>
          <w:bCs/>
          <w:sz w:val="28"/>
          <w:szCs w:val="28"/>
          <w:u w:val="single"/>
          <w:rtl/>
        </w:rPr>
        <w:t>ה</w:t>
      </w:r>
      <w:r w:rsidRPr="007051B6">
        <w:rPr>
          <w:rFonts w:cs="David"/>
          <w:b/>
          <w:bCs/>
          <w:sz w:val="28"/>
          <w:szCs w:val="28"/>
          <w:u w:val="single"/>
          <w:rtl/>
        </w:rPr>
        <w:t>-201</w:t>
      </w:r>
      <w:r w:rsidRPr="007051B6">
        <w:rPr>
          <w:rFonts w:cs="David" w:hint="cs"/>
          <w:b/>
          <w:bCs/>
          <w:sz w:val="28"/>
          <w:szCs w:val="28"/>
          <w:u w:val="single"/>
          <w:rtl/>
        </w:rPr>
        <w:t>5</w:t>
      </w:r>
    </w:p>
    <w:p w:rsidR="00E62953" w:rsidRPr="00CD6CD6" w:rsidRDefault="00CD6CD6" w:rsidP="00F81C7D">
      <w:pPr>
        <w:spacing w:after="120"/>
        <w:jc w:val="both"/>
        <w:rPr>
          <w:rFonts w:cs="David"/>
          <w:b/>
          <w:bCs/>
          <w:u w:val="single"/>
          <w:rtl/>
        </w:rPr>
      </w:pPr>
      <w:r w:rsidRPr="00CD6CD6">
        <w:rPr>
          <w:rFonts w:cs="David" w:hint="cs"/>
          <w:b/>
          <w:bCs/>
          <w:u w:val="single"/>
          <w:rtl/>
        </w:rPr>
        <w:t xml:space="preserve">רקע </w:t>
      </w:r>
    </w:p>
    <w:p w:rsidR="00335DEA" w:rsidRDefault="007E1495" w:rsidP="00E44C98">
      <w:pPr>
        <w:spacing w:after="120" w:line="360" w:lineRule="auto"/>
        <w:jc w:val="both"/>
        <w:rPr>
          <w:rFonts w:cs="David"/>
          <w:rtl/>
        </w:rPr>
      </w:pPr>
      <w:r>
        <w:rPr>
          <w:rFonts w:cs="David" w:hint="cs"/>
          <w:rtl/>
        </w:rPr>
        <w:t>חוק המרכז לגביית קנסות, אגרות והוצאות, התשנ"ה-1995, מסמיך את המרכז לגביית קנסות לגבות קנסות והוצאות לטובת אוצר המדינה, וקנסות</w:t>
      </w:r>
      <w:r w:rsidR="00CD6CD6">
        <w:rPr>
          <w:rStyle w:val="a5"/>
          <w:rFonts w:cs="David"/>
          <w:rtl/>
        </w:rPr>
        <w:footnoteReference w:id="1"/>
      </w:r>
      <w:r>
        <w:rPr>
          <w:rFonts w:cs="David" w:hint="cs"/>
          <w:rtl/>
        </w:rPr>
        <w:t xml:space="preserve"> והוצאות</w:t>
      </w:r>
      <w:r w:rsidR="00CD6CD6">
        <w:rPr>
          <w:rStyle w:val="a5"/>
          <w:rFonts w:cs="David"/>
          <w:rtl/>
        </w:rPr>
        <w:footnoteReference w:id="2"/>
      </w:r>
      <w:r>
        <w:rPr>
          <w:rFonts w:cs="David" w:hint="cs"/>
          <w:rtl/>
        </w:rPr>
        <w:t xml:space="preserve"> המשולמים לקרן שהוקמה לפי חוק באחריות משרד ממשלתי, שלה מיועדים כספי </w:t>
      </w:r>
      <w:r w:rsidR="00E62953">
        <w:rPr>
          <w:rFonts w:cs="David" w:hint="cs"/>
          <w:rtl/>
        </w:rPr>
        <w:t>הקנס או ההוצאות</w:t>
      </w:r>
      <w:r w:rsidR="00335DEA">
        <w:rPr>
          <w:rFonts w:cs="David" w:hint="cs"/>
          <w:rtl/>
        </w:rPr>
        <w:t>.</w:t>
      </w:r>
      <w:r w:rsidR="00335DEA" w:rsidRPr="00335DEA">
        <w:rPr>
          <w:rFonts w:cs="David" w:hint="cs"/>
          <w:rtl/>
        </w:rPr>
        <w:t xml:space="preserve"> </w:t>
      </w:r>
      <w:r w:rsidR="00335DEA">
        <w:rPr>
          <w:rFonts w:cs="David" w:hint="cs"/>
          <w:rtl/>
        </w:rPr>
        <w:t>על מנת שהמרכז ייגבה את החובות בהתאם לבקשתם של המשרדים השונים ויעביר את הכספים שגבה לטובת הקרנות השונות, יש להכריז עליהן בצו של שר המשפטים, באישורה של ועדת החוקה, כ"קרן" לעניין זה</w:t>
      </w:r>
      <w:r w:rsidR="00335DEA">
        <w:rPr>
          <w:rStyle w:val="a5"/>
          <w:rFonts w:cs="David"/>
          <w:rtl/>
        </w:rPr>
        <w:footnoteReference w:id="3"/>
      </w:r>
      <w:r w:rsidR="00335DEA">
        <w:rPr>
          <w:rFonts w:cs="David" w:hint="cs"/>
          <w:rtl/>
        </w:rPr>
        <w:t>.</w:t>
      </w:r>
    </w:p>
    <w:p w:rsidR="008544BA" w:rsidRDefault="008544BA" w:rsidP="00E62953">
      <w:pPr>
        <w:spacing w:after="120" w:line="360" w:lineRule="auto"/>
        <w:jc w:val="both"/>
        <w:rPr>
          <w:rFonts w:cs="David"/>
          <w:rtl/>
        </w:rPr>
      </w:pPr>
    </w:p>
    <w:p w:rsidR="007D1AEB" w:rsidRPr="007D1AEB" w:rsidRDefault="007051B6" w:rsidP="007051B6">
      <w:pPr>
        <w:spacing w:after="120" w:line="360" w:lineRule="auto"/>
        <w:jc w:val="both"/>
        <w:rPr>
          <w:rFonts w:cs="David"/>
          <w:sz w:val="22"/>
          <w:szCs w:val="22"/>
          <w:rtl/>
        </w:rPr>
      </w:pPr>
      <w:r>
        <w:rPr>
          <w:rFonts w:cs="David" w:hint="cs"/>
          <w:b/>
          <w:bCs/>
          <w:u w:val="single"/>
          <w:rtl/>
        </w:rPr>
        <w:t>הצו המוצע</w:t>
      </w:r>
    </w:p>
    <w:p w:rsidR="008544BA" w:rsidRDefault="00E70309" w:rsidP="00F81C7D">
      <w:pPr>
        <w:spacing w:after="120" w:line="360" w:lineRule="auto"/>
        <w:jc w:val="both"/>
        <w:rPr>
          <w:rFonts w:cs="David"/>
          <w:rtl/>
        </w:rPr>
      </w:pPr>
      <w:r w:rsidRPr="00FC0EC6">
        <w:rPr>
          <w:rFonts w:cs="David" w:hint="cs"/>
          <w:rtl/>
        </w:rPr>
        <w:t xml:space="preserve">הצו </w:t>
      </w:r>
      <w:r w:rsidR="00F81C7D">
        <w:rPr>
          <w:rFonts w:cs="David" w:hint="cs"/>
          <w:rtl/>
        </w:rPr>
        <w:t xml:space="preserve">המוצע </w:t>
      </w:r>
      <w:r w:rsidRPr="00FC0EC6">
        <w:rPr>
          <w:rFonts w:cs="David" w:hint="cs"/>
          <w:rtl/>
        </w:rPr>
        <w:t xml:space="preserve"> מבקש </w:t>
      </w:r>
      <w:r w:rsidR="00E73CC5" w:rsidRPr="00FC0EC6">
        <w:rPr>
          <w:rFonts w:cs="David" w:hint="cs"/>
          <w:rtl/>
        </w:rPr>
        <w:t>להגדיר כ"קרן"</w:t>
      </w:r>
      <w:r w:rsidRPr="00FC0EC6">
        <w:rPr>
          <w:rFonts w:cs="David" w:hint="cs"/>
          <w:rtl/>
        </w:rPr>
        <w:t xml:space="preserve"> </w:t>
      </w:r>
      <w:r w:rsidR="00E73CC5" w:rsidRPr="00FC0EC6">
        <w:rPr>
          <w:rFonts w:cs="David" w:hint="cs"/>
          <w:rtl/>
        </w:rPr>
        <w:t xml:space="preserve">לעניין זה, </w:t>
      </w:r>
      <w:r w:rsidRPr="00FC0EC6">
        <w:rPr>
          <w:rFonts w:cs="David" w:hint="cs"/>
          <w:rtl/>
        </w:rPr>
        <w:t xml:space="preserve">את </w:t>
      </w:r>
      <w:r w:rsidR="00F81C7D">
        <w:rPr>
          <w:rFonts w:cs="David" w:hint="cs"/>
          <w:rtl/>
        </w:rPr>
        <w:t>חמש</w:t>
      </w:r>
      <w:r w:rsidRPr="00FC0EC6">
        <w:rPr>
          <w:rFonts w:cs="David" w:hint="cs"/>
          <w:rtl/>
        </w:rPr>
        <w:t xml:space="preserve"> הקרנות הבאות:</w:t>
      </w:r>
    </w:p>
    <w:p w:rsidR="00F81C7D" w:rsidRPr="00194BC9" w:rsidRDefault="00F81C7D" w:rsidP="00F81C7D">
      <w:pPr>
        <w:spacing w:after="120" w:line="360" w:lineRule="auto"/>
        <w:jc w:val="both"/>
        <w:rPr>
          <w:rFonts w:cs="David"/>
          <w:rtl/>
        </w:rPr>
      </w:pPr>
      <w:r w:rsidRPr="007D1AEB">
        <w:rPr>
          <w:rFonts w:cs="David" w:hint="cs"/>
          <w:rtl/>
        </w:rPr>
        <w:t xml:space="preserve">(1) </w:t>
      </w:r>
      <w:r w:rsidRPr="007D1AEB">
        <w:rPr>
          <w:rFonts w:cs="David" w:hint="cs"/>
          <w:b/>
          <w:bCs/>
          <w:rtl/>
        </w:rPr>
        <w:t xml:space="preserve">קרן לשמירת הניקיון שהוקמה לפי סעיף 10 לחוק שמירת </w:t>
      </w:r>
      <w:proofErr w:type="spellStart"/>
      <w:r w:rsidRPr="007D1AEB">
        <w:rPr>
          <w:rFonts w:cs="David" w:hint="cs"/>
          <w:b/>
          <w:bCs/>
          <w:rtl/>
        </w:rPr>
        <w:t>הנקיון</w:t>
      </w:r>
      <w:proofErr w:type="spellEnd"/>
      <w:r w:rsidRPr="007D1AEB">
        <w:rPr>
          <w:rFonts w:cs="David" w:hint="cs"/>
          <w:b/>
          <w:bCs/>
          <w:rtl/>
        </w:rPr>
        <w:t>, התשמ"ד-1984</w:t>
      </w:r>
      <w:r w:rsidRPr="007D1AEB">
        <w:rPr>
          <w:rFonts w:cs="David" w:hint="cs"/>
          <w:rtl/>
        </w:rPr>
        <w:t xml:space="preserve"> </w:t>
      </w:r>
      <w:r w:rsidRPr="007D1AEB">
        <w:rPr>
          <w:rFonts w:cs="David"/>
          <w:rtl/>
        </w:rPr>
        <w:t>–</w:t>
      </w:r>
      <w:r w:rsidRPr="007D1AEB">
        <w:rPr>
          <w:rFonts w:cs="David" w:hint="cs"/>
          <w:rtl/>
        </w:rPr>
        <w:t xml:space="preserve">  סעיף 10 לחוק שמירת </w:t>
      </w:r>
      <w:proofErr w:type="spellStart"/>
      <w:r w:rsidRPr="007D1AEB">
        <w:rPr>
          <w:rFonts w:cs="David" w:hint="cs"/>
          <w:rtl/>
        </w:rPr>
        <w:t>הנקיון</w:t>
      </w:r>
      <w:proofErr w:type="spellEnd"/>
      <w:r w:rsidRPr="007D1AEB">
        <w:rPr>
          <w:rFonts w:cs="David" w:hint="cs"/>
          <w:rtl/>
        </w:rPr>
        <w:t xml:space="preserve">, התשמ"ד-1984, מקים קרן לשמירת הניקיון במסגרת המשרד לאיכות הסביבה. תקציבה של הקרן מגיע מתקציב המדינה, מתרומות, מהיטלים על הטמנת פסולת ומקנסות המוטלים לפי סעיף 13 לאותו חוק. מטרת הקרן היא לרכז אמצעים כספיים לשמירה על איכות נאותה של הסביבה, ובכלל זה לשמירה על הניקיון, למניעת השלכת פסולת וטיפול בפסולת, </w:t>
      </w:r>
      <w:proofErr w:type="spellStart"/>
      <w:r w:rsidRPr="007D1AEB">
        <w:rPr>
          <w:rFonts w:cs="David" w:hint="cs"/>
          <w:rtl/>
        </w:rPr>
        <w:t>למיחזור</w:t>
      </w:r>
      <w:proofErr w:type="spellEnd"/>
      <w:r w:rsidRPr="007D1AEB">
        <w:rPr>
          <w:rFonts w:cs="David" w:hint="cs"/>
          <w:rtl/>
        </w:rPr>
        <w:t xml:space="preserve">, למניעת מפגעים, למניעת שילוט בלתי חוקי, למניעת עבירות לפי חוק החומרים </w:t>
      </w:r>
      <w:r w:rsidRPr="00194BC9">
        <w:rPr>
          <w:rFonts w:cs="David" w:hint="cs"/>
          <w:rtl/>
        </w:rPr>
        <w:t xml:space="preserve">המסוכנים, להגנה על הסביבה החופית, למניעת פגיעה בה ולשיקומה, וליישום הוראות חוק למניעת מפגעי אסבסט ואבק מזיק. הקרן פועלת לפי תקנות שמירת הניקיון (קרן לשמירת הניקיון), התשמ"ו-1986. </w:t>
      </w:r>
    </w:p>
    <w:p w:rsidR="00F81C7D" w:rsidRPr="00194BC9" w:rsidRDefault="00F81C7D" w:rsidP="00F81C7D">
      <w:pPr>
        <w:spacing w:after="120" w:line="360" w:lineRule="auto"/>
        <w:jc w:val="both"/>
        <w:rPr>
          <w:rFonts w:cs="David"/>
          <w:rtl/>
        </w:rPr>
      </w:pPr>
      <w:r w:rsidRPr="00194BC9">
        <w:rPr>
          <w:rFonts w:cs="David" w:hint="cs"/>
          <w:rtl/>
        </w:rPr>
        <w:t xml:space="preserve">(2) </w:t>
      </w:r>
      <w:r w:rsidRPr="00194BC9">
        <w:rPr>
          <w:rFonts w:cs="David" w:hint="cs"/>
          <w:b/>
          <w:bCs/>
          <w:rtl/>
        </w:rPr>
        <w:t xml:space="preserve">קרן למניעת זיהום מי ים שהוקמה לפי סעיף 13 לפקודת מניעת זיהום מי ים בשמן </w:t>
      </w:r>
      <w:r w:rsidRPr="00194BC9">
        <w:rPr>
          <w:rFonts w:cs="David"/>
          <w:rtl/>
        </w:rPr>
        <w:t>–</w:t>
      </w:r>
      <w:r w:rsidRPr="00194BC9">
        <w:rPr>
          <w:rFonts w:cs="David" w:hint="cs"/>
          <w:rtl/>
        </w:rPr>
        <w:t xml:space="preserve"> סעיף 13 לפקודת מניעת זיהום מי ים בשמן [נוסח חדש], התש"ם-1980, מקים קרן למניעת זיהום מי ים במסגרת המשרד להגנת הסביבה. מטרת הקרן היא לרכז אמצעים כספיים ללחימה בזיהום מי ים, למניעת זיהום מי ים וחופים, לניקויים ולפיקוח עליהם. תקציבה של הקרן מגיע מתקציב המדינה, מקנסות שמוטלים ומאגרות שנגבות מכוח הפקודה. הקרן פועלת לפי תקנות שפיכתם של שמנים לתוך מי הים (הקמת קרן למניעת זיהום הים, התש"ם-1979.</w:t>
      </w:r>
    </w:p>
    <w:p w:rsidR="00FC0EC6" w:rsidRPr="001E2795" w:rsidRDefault="00E70309" w:rsidP="00F81C7D">
      <w:pPr>
        <w:spacing w:after="120" w:line="360" w:lineRule="auto"/>
        <w:jc w:val="both"/>
        <w:rPr>
          <w:rFonts w:cs="David"/>
          <w:rtl/>
        </w:rPr>
      </w:pPr>
      <w:r w:rsidRPr="00FC0EC6">
        <w:rPr>
          <w:rFonts w:cs="David" w:hint="cs"/>
          <w:rtl/>
        </w:rPr>
        <w:t>(</w:t>
      </w:r>
      <w:r w:rsidR="00F81C7D">
        <w:rPr>
          <w:rFonts w:cs="David" w:hint="cs"/>
          <w:rtl/>
        </w:rPr>
        <w:t>3</w:t>
      </w:r>
      <w:r w:rsidRPr="00FC0EC6">
        <w:rPr>
          <w:rFonts w:cs="David" w:hint="cs"/>
          <w:rtl/>
        </w:rPr>
        <w:t xml:space="preserve">) </w:t>
      </w:r>
      <w:r w:rsidRPr="00FC0EC6">
        <w:rPr>
          <w:rFonts w:cs="David" w:hint="cs"/>
          <w:b/>
          <w:bCs/>
          <w:rtl/>
        </w:rPr>
        <w:t>קרן חילוט שהוקמה לפי סעיף 36ח לפקודת הסמים המסוכנים</w:t>
      </w:r>
      <w:r w:rsidR="00407C9A" w:rsidRPr="00FC0EC6">
        <w:rPr>
          <w:rFonts w:cs="David" w:hint="cs"/>
          <w:rtl/>
        </w:rPr>
        <w:t xml:space="preserve"> </w:t>
      </w:r>
      <w:r w:rsidRPr="00FC0EC6">
        <w:rPr>
          <w:rFonts w:cs="David"/>
          <w:rtl/>
        </w:rPr>
        <w:t>–</w:t>
      </w:r>
      <w:r w:rsidRPr="00FC0EC6">
        <w:rPr>
          <w:rFonts w:cs="David" w:hint="cs"/>
          <w:rtl/>
        </w:rPr>
        <w:t xml:space="preserve"> </w:t>
      </w:r>
      <w:r w:rsidR="00407C9A" w:rsidRPr="00FC0EC6">
        <w:rPr>
          <w:rFonts w:cs="David" w:hint="cs"/>
          <w:rtl/>
        </w:rPr>
        <w:t>לפי סעיף 36ח</w:t>
      </w:r>
      <w:r w:rsidR="006B1CCA" w:rsidRPr="00FC0EC6">
        <w:rPr>
          <w:rFonts w:cs="David" w:hint="cs"/>
          <w:rtl/>
        </w:rPr>
        <w:t>(א)</w:t>
      </w:r>
      <w:r w:rsidR="00407C9A" w:rsidRPr="00FC0EC6">
        <w:rPr>
          <w:rFonts w:cs="David" w:hint="cs"/>
          <w:rtl/>
        </w:rPr>
        <w:t xml:space="preserve"> לפקודת הסמים המסוכנים [נוסח חדש], התשל"ג-1973, אם החליט בית המשפט על חילוט של רכוש לפי הוראות פקודת הסמים, האפוטרופוס הכללי רשאי לתפוס את הרכוש המחולט, והוא </w:t>
      </w:r>
      <w:r w:rsidR="00827282">
        <w:rPr>
          <w:rFonts w:cs="David" w:hint="cs"/>
          <w:rtl/>
        </w:rPr>
        <w:t>מופקד</w:t>
      </w:r>
      <w:r w:rsidR="00407C9A" w:rsidRPr="00FC0EC6">
        <w:rPr>
          <w:rFonts w:cs="David" w:hint="cs"/>
          <w:rtl/>
        </w:rPr>
        <w:t xml:space="preserve"> בקרן </w:t>
      </w:r>
      <w:r w:rsidR="00827282">
        <w:rPr>
          <w:rFonts w:cs="David" w:hint="cs"/>
          <w:rtl/>
        </w:rPr>
        <w:lastRenderedPageBreak/>
        <w:t xml:space="preserve">שמנוהלת </w:t>
      </w:r>
      <w:r w:rsidR="00407C9A" w:rsidRPr="00FC0EC6">
        <w:rPr>
          <w:rFonts w:cs="David" w:hint="cs"/>
          <w:rtl/>
        </w:rPr>
        <w:t>על ידי האפוטרופוס הכללי.</w:t>
      </w:r>
      <w:r w:rsidR="00696356" w:rsidRPr="00FC0EC6">
        <w:rPr>
          <w:rFonts w:cs="David" w:hint="cs"/>
          <w:rtl/>
        </w:rPr>
        <w:t xml:space="preserve"> </w:t>
      </w:r>
      <w:r w:rsidR="00484133" w:rsidRPr="00FC0EC6">
        <w:rPr>
          <w:rFonts w:cs="David" w:hint="cs"/>
          <w:rtl/>
        </w:rPr>
        <w:t xml:space="preserve">הקרן פועלת לפי תקנות הסמים המסוכנים (דרכי הנהלת הקרן לטיפול בנכסים שחולטו), התש"ן-1990. </w:t>
      </w:r>
      <w:r w:rsidR="00AD4764" w:rsidRPr="00FC0EC6">
        <w:rPr>
          <w:rFonts w:cs="David" w:hint="cs"/>
          <w:rtl/>
        </w:rPr>
        <w:t xml:space="preserve">לפי סעיף </w:t>
      </w:r>
      <w:r w:rsidR="00484133" w:rsidRPr="00FC0EC6">
        <w:rPr>
          <w:rFonts w:cs="David" w:hint="cs"/>
          <w:rtl/>
        </w:rPr>
        <w:t>36ח</w:t>
      </w:r>
      <w:r w:rsidR="00AD4764" w:rsidRPr="00FC0EC6">
        <w:rPr>
          <w:rFonts w:cs="David" w:hint="cs"/>
          <w:rtl/>
        </w:rPr>
        <w:t xml:space="preserve">(ב) </w:t>
      </w:r>
      <w:r w:rsidR="00484133" w:rsidRPr="00FC0EC6">
        <w:rPr>
          <w:rFonts w:cs="David" w:hint="cs"/>
          <w:rtl/>
        </w:rPr>
        <w:t>לפקודה</w:t>
      </w:r>
      <w:r w:rsidR="00FC0EC6" w:rsidRPr="00FC0EC6">
        <w:rPr>
          <w:rFonts w:cs="David" w:hint="cs"/>
          <w:rtl/>
        </w:rPr>
        <w:t xml:space="preserve"> והוראות התקנות</w:t>
      </w:r>
      <w:r w:rsidR="00AD4764" w:rsidRPr="00FC0EC6">
        <w:rPr>
          <w:rFonts w:cs="David" w:hint="cs"/>
          <w:rtl/>
        </w:rPr>
        <w:t>, חלוקת הכספים ע</w:t>
      </w:r>
      <w:r w:rsidR="00F81C7D">
        <w:rPr>
          <w:rFonts w:cs="David" w:hint="cs"/>
          <w:rtl/>
        </w:rPr>
        <w:t>"</w:t>
      </w:r>
      <w:r w:rsidR="00AD4764" w:rsidRPr="00FC0EC6">
        <w:rPr>
          <w:rFonts w:cs="David" w:hint="cs"/>
          <w:rtl/>
        </w:rPr>
        <w:t>י הקרן תהיה למטרות הבאות: תשלום הוצאות הליכי החילוט; ביצוע תפקידי הרשות הלאומית למלחמה בסמים ובאלכוהול; תשלומים</w:t>
      </w:r>
      <w:r w:rsidR="00FD2B02" w:rsidRPr="00FC0EC6">
        <w:rPr>
          <w:rFonts w:cs="David" w:hint="cs"/>
          <w:rtl/>
        </w:rPr>
        <w:t xml:space="preserve"> על מידע, עזרה באכיפת הפקודה או גילוי רכוש בר חילוט; </w:t>
      </w:r>
      <w:r w:rsidR="006B1CCA" w:rsidRPr="00FC0EC6">
        <w:rPr>
          <w:rFonts w:cs="David" w:hint="cs"/>
          <w:rtl/>
        </w:rPr>
        <w:t>החזרת רכוש עקב ביטול צו חילוט; ביצוע תפקידי המשטרה והמכס לפיק פקודת הסמים ולפי חוק איסור הלבנת הון; ביצוע תפקידי הרשות לאיסור הלבנת הון.</w:t>
      </w:r>
      <w:r w:rsidR="00484133" w:rsidRPr="00FC0EC6">
        <w:rPr>
          <w:rFonts w:cs="David" w:hint="cs"/>
          <w:rtl/>
        </w:rPr>
        <w:t xml:space="preserve"> </w:t>
      </w:r>
    </w:p>
    <w:p w:rsidR="002A5BBD" w:rsidRPr="008937CA" w:rsidRDefault="00E70309" w:rsidP="00F81C7D">
      <w:pPr>
        <w:spacing w:after="120" w:line="360" w:lineRule="auto"/>
        <w:jc w:val="both"/>
        <w:rPr>
          <w:rFonts w:cs="David"/>
          <w:rtl/>
        </w:rPr>
      </w:pPr>
      <w:r w:rsidRPr="007E7852">
        <w:rPr>
          <w:rFonts w:cs="David" w:hint="cs"/>
          <w:rtl/>
        </w:rPr>
        <w:t>(</w:t>
      </w:r>
      <w:r w:rsidR="00F81C7D">
        <w:rPr>
          <w:rFonts w:cs="David" w:hint="cs"/>
          <w:rtl/>
        </w:rPr>
        <w:t>4</w:t>
      </w:r>
      <w:r w:rsidRPr="007E7852">
        <w:rPr>
          <w:rFonts w:cs="David" w:hint="cs"/>
          <w:rtl/>
        </w:rPr>
        <w:t xml:space="preserve">) </w:t>
      </w:r>
      <w:r w:rsidRPr="007E7852">
        <w:rPr>
          <w:rFonts w:cs="David" w:hint="cs"/>
          <w:b/>
          <w:bCs/>
          <w:rtl/>
        </w:rPr>
        <w:t>קרן ייעודית לפי סעיף 377ה לחוק העונשין</w:t>
      </w:r>
      <w:r w:rsidRPr="007E7852">
        <w:rPr>
          <w:rFonts w:cs="David" w:hint="cs"/>
          <w:rtl/>
        </w:rPr>
        <w:t xml:space="preserve"> </w:t>
      </w:r>
      <w:r w:rsidRPr="007E7852">
        <w:rPr>
          <w:rFonts w:cs="David"/>
          <w:rtl/>
        </w:rPr>
        <w:t>–</w:t>
      </w:r>
      <w:r w:rsidRPr="007E7852">
        <w:rPr>
          <w:rFonts w:cs="David" w:hint="cs"/>
          <w:rtl/>
        </w:rPr>
        <w:t xml:space="preserve">  </w:t>
      </w:r>
      <w:r w:rsidR="002A5BBD" w:rsidRPr="007E7852">
        <w:rPr>
          <w:rFonts w:cs="David" w:hint="cs"/>
          <w:rtl/>
        </w:rPr>
        <w:t>לפי סעיף 377ה לחוק העונשין, התשל"ז-1977</w:t>
      </w:r>
      <w:r w:rsidR="002D45F6" w:rsidRPr="007E7852">
        <w:rPr>
          <w:rFonts w:cs="David" w:hint="cs"/>
          <w:rtl/>
        </w:rPr>
        <w:t>, אם החליט בית המשפט על חילוט של רכוש</w:t>
      </w:r>
      <w:r w:rsidR="005D48BC" w:rsidRPr="007E7852">
        <w:rPr>
          <w:rFonts w:cs="David" w:hint="cs"/>
          <w:rtl/>
        </w:rPr>
        <w:t xml:space="preserve"> בנוגע לעבירות של החזקה בתנאי עבדות או סחר בבני אדם (עבירות לפי סעיפים 375 ו-377א לחוק העונשין), האפוטרופוס הכללי רשאי לתפוס את הרכוש המחולט, והוא </w:t>
      </w:r>
      <w:r w:rsidR="00827282">
        <w:rPr>
          <w:rFonts w:cs="David" w:hint="cs"/>
          <w:rtl/>
        </w:rPr>
        <w:t>מופקד</w:t>
      </w:r>
      <w:r w:rsidR="005D48BC" w:rsidRPr="007E7852">
        <w:rPr>
          <w:rFonts w:cs="David" w:hint="cs"/>
          <w:rtl/>
        </w:rPr>
        <w:t xml:space="preserve"> בקרן </w:t>
      </w:r>
      <w:r w:rsidR="00827282">
        <w:rPr>
          <w:rFonts w:cs="David" w:hint="cs"/>
          <w:rtl/>
        </w:rPr>
        <w:t xml:space="preserve">שמנוהלת </w:t>
      </w:r>
      <w:r w:rsidR="005D48BC" w:rsidRPr="007E7852">
        <w:rPr>
          <w:rFonts w:cs="David" w:hint="cs"/>
          <w:rtl/>
        </w:rPr>
        <w:t>על ידי האפוטרופוס הכללי. הקרן פועלת לפי תקנות העונשין (דרכי הנהלת הקרן הייעודית לטיפול ברכוש שחולט ובקנסות שהוטלו בתיקי סחר בבני אדם והחזקה בתנאי עבדות)</w:t>
      </w:r>
      <w:r w:rsidR="005D48BC" w:rsidRPr="007E7852">
        <w:rPr>
          <w:rFonts w:cs="David"/>
          <w:rtl/>
        </w:rPr>
        <w:t>, תשס"</w:t>
      </w:r>
      <w:r w:rsidR="005D48BC" w:rsidRPr="007E7852">
        <w:rPr>
          <w:rFonts w:cs="David" w:hint="cs"/>
          <w:rtl/>
        </w:rPr>
        <w:t>ט</w:t>
      </w:r>
      <w:r w:rsidR="005D48BC" w:rsidRPr="007E7852">
        <w:rPr>
          <w:rFonts w:cs="David"/>
          <w:rtl/>
        </w:rPr>
        <w:t>-200</w:t>
      </w:r>
      <w:r w:rsidR="005D48BC" w:rsidRPr="007E7852">
        <w:rPr>
          <w:rFonts w:cs="David" w:hint="cs"/>
          <w:rtl/>
        </w:rPr>
        <w:t xml:space="preserve">9. לפי סעיף 377ה(ד) לחוק והוראות התקנות, חלוקת הכספים על ידי הקרן תהיה למטרות הבאות, </w:t>
      </w:r>
      <w:r w:rsidR="00693763" w:rsidRPr="007E7852">
        <w:rPr>
          <w:rFonts w:cs="David" w:hint="cs"/>
          <w:rtl/>
        </w:rPr>
        <w:t>והכל בהתאם להנחיות הוועדה המלווה את הקרן כפי שמפורט בתקנות: שיקום של נפגעי עבירה, טיפול בהם והגנה עליהם (מטרה שיוקצה לה בכל שנה סכום שלא יפחת ממחצית מנכסי הקרן בשנה אחת); תשלום פיצוי שנקבע בפסק דין לנפגע עבירה</w:t>
      </w:r>
      <w:r w:rsidR="0031470F" w:rsidRPr="007E7852">
        <w:rPr>
          <w:rFonts w:cs="David" w:hint="cs"/>
          <w:rtl/>
        </w:rPr>
        <w:t xml:space="preserve"> של סחר בבני אדם והחזקה בתנאי עבדות</w:t>
      </w:r>
      <w:r w:rsidR="00693763" w:rsidRPr="007E7852">
        <w:rPr>
          <w:rFonts w:cs="David" w:hint="cs"/>
          <w:rtl/>
        </w:rPr>
        <w:t>; מניעה של ביצוע עביר</w:t>
      </w:r>
      <w:r w:rsidR="0031470F" w:rsidRPr="007E7852">
        <w:rPr>
          <w:rFonts w:cs="David" w:hint="cs"/>
          <w:rtl/>
        </w:rPr>
        <w:t>ות כאמור</w:t>
      </w:r>
      <w:r w:rsidR="00693763" w:rsidRPr="007E7852">
        <w:rPr>
          <w:rFonts w:cs="David" w:hint="cs"/>
          <w:rtl/>
        </w:rPr>
        <w:t xml:space="preserve">; ביצוע תפקידיהן של רשויות </w:t>
      </w:r>
      <w:r w:rsidR="00693763" w:rsidRPr="008937CA">
        <w:rPr>
          <w:rFonts w:cs="David" w:hint="cs"/>
          <w:rtl/>
        </w:rPr>
        <w:t xml:space="preserve">אכיפת החוק כדי </w:t>
      </w:r>
      <w:r w:rsidR="0031470F" w:rsidRPr="008937CA">
        <w:rPr>
          <w:rFonts w:cs="David" w:hint="cs"/>
          <w:rtl/>
        </w:rPr>
        <w:t>לאכוף את הוראות החוק לעניין העבירות האמורות.</w:t>
      </w:r>
    </w:p>
    <w:p w:rsidR="00A00E62" w:rsidRPr="008937CA" w:rsidRDefault="00F81C7D" w:rsidP="008937CA">
      <w:pPr>
        <w:spacing w:after="120" w:line="360" w:lineRule="auto"/>
        <w:jc w:val="both"/>
        <w:rPr>
          <w:rFonts w:cs="David"/>
          <w:rtl/>
        </w:rPr>
      </w:pPr>
      <w:r>
        <w:rPr>
          <w:rFonts w:cs="David" w:hint="cs"/>
          <w:rtl/>
        </w:rPr>
        <w:t>(5</w:t>
      </w:r>
      <w:r w:rsidR="007C799C" w:rsidRPr="008937CA">
        <w:rPr>
          <w:rFonts w:cs="David" w:hint="cs"/>
          <w:rtl/>
        </w:rPr>
        <w:t xml:space="preserve">) </w:t>
      </w:r>
      <w:r w:rsidR="007C799C" w:rsidRPr="008937CA">
        <w:rPr>
          <w:rFonts w:cs="David" w:hint="cs"/>
          <w:b/>
          <w:bCs/>
          <w:rtl/>
        </w:rPr>
        <w:t xml:space="preserve">קרן למען בעלי חיים שהוקמה לפי סעיף 14 לחוק צער בעלי חיים </w:t>
      </w:r>
      <w:r w:rsidR="007C799C" w:rsidRPr="008937CA">
        <w:rPr>
          <w:rFonts w:cs="David"/>
          <w:rtl/>
        </w:rPr>
        <w:t>–</w:t>
      </w:r>
      <w:r w:rsidR="007C799C" w:rsidRPr="008937CA">
        <w:rPr>
          <w:rFonts w:cs="David" w:hint="cs"/>
          <w:rtl/>
        </w:rPr>
        <w:t xml:space="preserve"> </w:t>
      </w:r>
      <w:r w:rsidR="00A00E62" w:rsidRPr="008937CA">
        <w:rPr>
          <w:rFonts w:cs="David" w:hint="cs"/>
          <w:rtl/>
        </w:rPr>
        <w:t>סעיף 14 לחוק צער בעלי חיים (הגנה על בעלי חיים), התשנ"ד-1994, מקים קרן למען בעלי חיים במסגר</w:t>
      </w:r>
      <w:r w:rsidR="00D7201E" w:rsidRPr="008937CA">
        <w:rPr>
          <w:rFonts w:cs="David" w:hint="cs"/>
          <w:rtl/>
        </w:rPr>
        <w:t xml:space="preserve">ת המשרד להגנת הסביבה. תקציבה של הקרן מגיע מתקציב המדינה, מתרומות ומקנסות </w:t>
      </w:r>
      <w:r w:rsidR="00E21D6C" w:rsidRPr="008937CA">
        <w:rPr>
          <w:rFonts w:cs="David" w:hint="cs"/>
          <w:rtl/>
        </w:rPr>
        <w:t>שמוטל</w:t>
      </w:r>
      <w:r w:rsidR="001B297E" w:rsidRPr="008937CA">
        <w:rPr>
          <w:rFonts w:cs="David" w:hint="cs"/>
          <w:rtl/>
        </w:rPr>
        <w:t>ים</w:t>
      </w:r>
      <w:r w:rsidR="00E21D6C" w:rsidRPr="008937CA">
        <w:rPr>
          <w:rFonts w:cs="David" w:hint="cs"/>
          <w:rtl/>
        </w:rPr>
        <w:t xml:space="preserve"> </w:t>
      </w:r>
      <w:r w:rsidR="00D7201E" w:rsidRPr="008937CA">
        <w:rPr>
          <w:rFonts w:cs="David" w:hint="cs"/>
          <w:rtl/>
        </w:rPr>
        <w:t>לפי סעיף 17 לחוק</w:t>
      </w:r>
      <w:r w:rsidR="001B297E" w:rsidRPr="008937CA">
        <w:rPr>
          <w:rFonts w:cs="David" w:hint="cs"/>
          <w:rtl/>
        </w:rPr>
        <w:t xml:space="preserve"> על מי שעבר על הוראות החוק. מטרת הקרן היא לרכז אמצעים כספיים שישמשו לחינוך, להסברה, להדרכה, לסיוע לארגונים למען בעלי חיים, ולקידום מטרותיו של חוק צער בעלי חיים.</w:t>
      </w:r>
      <w:r w:rsidR="006514D5" w:rsidRPr="008937CA">
        <w:rPr>
          <w:rFonts w:cs="David" w:hint="cs"/>
          <w:rtl/>
        </w:rPr>
        <w:t xml:space="preserve"> הקרן פועלת לפי תקנות צער בעלי חיים (הגנה על בעלי חיים) (קרן למען בעלי חיים), התשנ"ה-1995.</w:t>
      </w:r>
    </w:p>
    <w:p w:rsidR="00A00E62" w:rsidRDefault="005B3187" w:rsidP="00430DA0">
      <w:pPr>
        <w:spacing w:after="120" w:line="360" w:lineRule="auto"/>
        <w:jc w:val="both"/>
        <w:rPr>
          <w:rFonts w:cs="David"/>
          <w:color w:val="0070C0"/>
          <w:rtl/>
        </w:rPr>
      </w:pPr>
      <w:r w:rsidRPr="008937CA">
        <w:rPr>
          <w:rFonts w:cs="David" w:hint="cs"/>
          <w:rtl/>
        </w:rPr>
        <w:t>על פי המוצע</w:t>
      </w:r>
      <w:r w:rsidR="008937CA" w:rsidRPr="008937CA">
        <w:rPr>
          <w:rFonts w:cs="David" w:hint="cs"/>
          <w:rtl/>
        </w:rPr>
        <w:t xml:space="preserve"> בצו</w:t>
      </w:r>
      <w:r w:rsidRPr="001E2795">
        <w:rPr>
          <w:rFonts w:cs="David" w:hint="cs"/>
          <w:rtl/>
        </w:rPr>
        <w:t>, המרכז לגביית קנסות רשאי יהיה לגבות את החובות ולהעביר את הכספים לקר</w:t>
      </w:r>
      <w:r>
        <w:rPr>
          <w:rFonts w:cs="David" w:hint="cs"/>
          <w:rtl/>
        </w:rPr>
        <w:t>נות האמורות.</w:t>
      </w:r>
    </w:p>
    <w:p w:rsidR="004936FC" w:rsidRDefault="004936FC" w:rsidP="00F67084">
      <w:pPr>
        <w:spacing w:after="120" w:line="360" w:lineRule="auto"/>
        <w:jc w:val="both"/>
        <w:rPr>
          <w:rFonts w:cs="David"/>
          <w:color w:val="0070C0"/>
          <w:rtl/>
        </w:rPr>
      </w:pPr>
    </w:p>
    <w:sectPr w:rsidR="004936FC" w:rsidSect="00117D9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CD6" w:rsidRDefault="00CD6CD6" w:rsidP="00CD6CD6">
      <w:r>
        <w:separator/>
      </w:r>
    </w:p>
  </w:endnote>
  <w:endnote w:type="continuationSeparator" w:id="0">
    <w:p w:rsidR="00CD6CD6" w:rsidRDefault="00CD6CD6" w:rsidP="00CD6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CD6" w:rsidRDefault="00CD6CD6" w:rsidP="00CD6CD6">
      <w:r>
        <w:separator/>
      </w:r>
    </w:p>
  </w:footnote>
  <w:footnote w:type="continuationSeparator" w:id="0">
    <w:p w:rsidR="00CD6CD6" w:rsidRDefault="00CD6CD6" w:rsidP="00CD6CD6">
      <w:r>
        <w:continuationSeparator/>
      </w:r>
    </w:p>
  </w:footnote>
  <w:footnote w:id="1">
    <w:p w:rsidR="00CD6CD6" w:rsidRPr="007C125B" w:rsidRDefault="00CD6CD6" w:rsidP="00E44C98">
      <w:pPr>
        <w:pStyle w:val="a3"/>
        <w:rPr>
          <w:rFonts w:cs="David"/>
          <w:rtl/>
        </w:rPr>
      </w:pPr>
      <w:r w:rsidRPr="007C125B">
        <w:rPr>
          <w:rStyle w:val="a5"/>
          <w:rFonts w:cs="David"/>
        </w:rPr>
        <w:footnoteRef/>
      </w:r>
      <w:r w:rsidRPr="007C125B">
        <w:rPr>
          <w:rFonts w:cs="David"/>
          <w:rtl/>
        </w:rPr>
        <w:t xml:space="preserve"> </w:t>
      </w:r>
      <w:r w:rsidR="00E44C98">
        <w:rPr>
          <w:rFonts w:cs="David" w:hint="cs"/>
          <w:rtl/>
        </w:rPr>
        <w:t>פסקה</w:t>
      </w:r>
      <w:r w:rsidRPr="007C125B">
        <w:rPr>
          <w:rFonts w:cs="David" w:hint="cs"/>
          <w:rtl/>
        </w:rPr>
        <w:t xml:space="preserve"> (1) להגדרת "חוב" שבסעיף 1 לחוק כולל</w:t>
      </w:r>
      <w:r w:rsidR="00E44C98">
        <w:rPr>
          <w:rFonts w:cs="David" w:hint="cs"/>
          <w:rtl/>
        </w:rPr>
        <w:t>ת</w:t>
      </w:r>
      <w:r w:rsidRPr="007C125B">
        <w:rPr>
          <w:rFonts w:cs="David" w:hint="cs"/>
          <w:rtl/>
        </w:rPr>
        <w:t xml:space="preserve"> "קנס, שהטיל בית משפט, המשולם לאוצר המדינה או לקרן".</w:t>
      </w:r>
    </w:p>
  </w:footnote>
  <w:footnote w:id="2">
    <w:p w:rsidR="00CD6CD6" w:rsidRPr="007C125B" w:rsidRDefault="00CD6CD6" w:rsidP="00E44C98">
      <w:pPr>
        <w:pStyle w:val="a3"/>
        <w:rPr>
          <w:rFonts w:cs="David"/>
        </w:rPr>
      </w:pPr>
      <w:r w:rsidRPr="007C125B">
        <w:rPr>
          <w:rStyle w:val="a5"/>
          <w:rFonts w:cs="David"/>
        </w:rPr>
        <w:footnoteRef/>
      </w:r>
      <w:r w:rsidRPr="007C125B">
        <w:rPr>
          <w:rFonts w:cs="David"/>
          <w:rtl/>
        </w:rPr>
        <w:t xml:space="preserve"> </w:t>
      </w:r>
      <w:r w:rsidR="00E44C98">
        <w:rPr>
          <w:rFonts w:cs="David" w:hint="cs"/>
          <w:rtl/>
        </w:rPr>
        <w:t xml:space="preserve">פסקה </w:t>
      </w:r>
      <w:r w:rsidRPr="007C125B">
        <w:rPr>
          <w:rFonts w:cs="David" w:hint="cs"/>
          <w:rtl/>
        </w:rPr>
        <w:t>(8) להגדרת "חוב" שבסעיף 1 לחוק כולל</w:t>
      </w:r>
      <w:r w:rsidR="00E44C98">
        <w:rPr>
          <w:rFonts w:cs="David" w:hint="cs"/>
          <w:rtl/>
        </w:rPr>
        <w:t>ת</w:t>
      </w:r>
      <w:r w:rsidRPr="007C125B">
        <w:rPr>
          <w:rFonts w:cs="David" w:hint="cs"/>
          <w:rtl/>
        </w:rPr>
        <w:t xml:space="preserve"> "הוצאות שפסק בית משפט או גוף המוסמך להטיל על פי דין קנס אזרחי או עיצום כספי לטובת אוצר המדינה או קרן".</w:t>
      </w:r>
    </w:p>
  </w:footnote>
  <w:footnote w:id="3">
    <w:p w:rsidR="00335DEA" w:rsidRDefault="00335DEA" w:rsidP="00335DEA">
      <w:pPr>
        <w:pStyle w:val="a3"/>
      </w:pPr>
      <w:r w:rsidRPr="007C125B">
        <w:rPr>
          <w:rStyle w:val="a5"/>
          <w:rFonts w:cs="David"/>
        </w:rPr>
        <w:footnoteRef/>
      </w:r>
      <w:r w:rsidRPr="007C125B">
        <w:rPr>
          <w:rFonts w:cs="David"/>
          <w:rtl/>
        </w:rPr>
        <w:t xml:space="preserve"> </w:t>
      </w:r>
      <w:r w:rsidRPr="007C125B">
        <w:rPr>
          <w:rFonts w:cs="David" w:hint="cs"/>
          <w:rtl/>
        </w:rPr>
        <w:t>ההגדרה של "קרן" שבסעיף 1 לחוק היא: "קרן שהוקמה לפי חוק באחריות משרד ממשרדי הממשלה, שלה יועדו כספי חוב וששר המשפטים קבע אותה בצו באישור ועדת החוקה חוק ומשפט של הכנסת.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7A38DA"/>
    <w:multiLevelType w:val="hybridMultilevel"/>
    <w:tmpl w:val="87F08270"/>
    <w:lvl w:ilvl="0" w:tplc="21729E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879"/>
    <w:rsid w:val="00110AE4"/>
    <w:rsid w:val="00117D9B"/>
    <w:rsid w:val="00194BC9"/>
    <w:rsid w:val="001B297E"/>
    <w:rsid w:val="001E2795"/>
    <w:rsid w:val="00276106"/>
    <w:rsid w:val="002A5BBD"/>
    <w:rsid w:val="002D45F6"/>
    <w:rsid w:val="00312716"/>
    <w:rsid w:val="0031470F"/>
    <w:rsid w:val="00335DEA"/>
    <w:rsid w:val="003B1D64"/>
    <w:rsid w:val="003D445A"/>
    <w:rsid w:val="003F4879"/>
    <w:rsid w:val="00407C9A"/>
    <w:rsid w:val="00430DA0"/>
    <w:rsid w:val="00474932"/>
    <w:rsid w:val="00484133"/>
    <w:rsid w:val="0048499C"/>
    <w:rsid w:val="004936FC"/>
    <w:rsid w:val="004B326B"/>
    <w:rsid w:val="004C0D3E"/>
    <w:rsid w:val="004C56AD"/>
    <w:rsid w:val="004E5360"/>
    <w:rsid w:val="005607AB"/>
    <w:rsid w:val="005B3187"/>
    <w:rsid w:val="005D48BC"/>
    <w:rsid w:val="006514D5"/>
    <w:rsid w:val="006518DE"/>
    <w:rsid w:val="00693763"/>
    <w:rsid w:val="00696356"/>
    <w:rsid w:val="006A4A59"/>
    <w:rsid w:val="006B1CCA"/>
    <w:rsid w:val="006E4E7B"/>
    <w:rsid w:val="007051B6"/>
    <w:rsid w:val="007C125B"/>
    <w:rsid w:val="007C799C"/>
    <w:rsid w:val="007D1AEB"/>
    <w:rsid w:val="007E1495"/>
    <w:rsid w:val="007E7852"/>
    <w:rsid w:val="00801864"/>
    <w:rsid w:val="00827282"/>
    <w:rsid w:val="008417B4"/>
    <w:rsid w:val="00845828"/>
    <w:rsid w:val="008544BA"/>
    <w:rsid w:val="008732F6"/>
    <w:rsid w:val="00881764"/>
    <w:rsid w:val="008937CA"/>
    <w:rsid w:val="0092426E"/>
    <w:rsid w:val="009A7CDA"/>
    <w:rsid w:val="00A00E62"/>
    <w:rsid w:val="00A10799"/>
    <w:rsid w:val="00A3400E"/>
    <w:rsid w:val="00A4440C"/>
    <w:rsid w:val="00AC7C07"/>
    <w:rsid w:val="00AD4764"/>
    <w:rsid w:val="00AE4F9B"/>
    <w:rsid w:val="00AE706D"/>
    <w:rsid w:val="00BA6420"/>
    <w:rsid w:val="00C0692D"/>
    <w:rsid w:val="00C1444E"/>
    <w:rsid w:val="00C21E86"/>
    <w:rsid w:val="00C323E0"/>
    <w:rsid w:val="00CD6CD6"/>
    <w:rsid w:val="00D10A23"/>
    <w:rsid w:val="00D7201E"/>
    <w:rsid w:val="00E169C7"/>
    <w:rsid w:val="00E21D6C"/>
    <w:rsid w:val="00E44C98"/>
    <w:rsid w:val="00E62953"/>
    <w:rsid w:val="00E70309"/>
    <w:rsid w:val="00E73CC5"/>
    <w:rsid w:val="00F26080"/>
    <w:rsid w:val="00F310E6"/>
    <w:rsid w:val="00F60879"/>
    <w:rsid w:val="00F67084"/>
    <w:rsid w:val="00F81C7D"/>
    <w:rsid w:val="00FC0EC6"/>
    <w:rsid w:val="00FD2B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EC10AE-69DA-4EEC-9160-C57E1781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E86"/>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C21E86"/>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P00">
    <w:name w:val="P00"/>
    <w:rsid w:val="00AE706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22">
    <w:name w:val="P22"/>
    <w:basedOn w:val="P00"/>
    <w:rsid w:val="00AE706D"/>
    <w:pPr>
      <w:tabs>
        <w:tab w:val="clear" w:pos="624"/>
        <w:tab w:val="clear" w:pos="1021"/>
      </w:tabs>
      <w:ind w:right="1021"/>
    </w:pPr>
  </w:style>
  <w:style w:type="paragraph" w:customStyle="1" w:styleId="P33">
    <w:name w:val="P33"/>
    <w:basedOn w:val="P00"/>
    <w:rsid w:val="00AE706D"/>
    <w:pPr>
      <w:tabs>
        <w:tab w:val="clear" w:pos="624"/>
        <w:tab w:val="clear" w:pos="1021"/>
        <w:tab w:val="clear" w:pos="1474"/>
      </w:tabs>
      <w:ind w:right="1474"/>
    </w:pPr>
  </w:style>
  <w:style w:type="character" w:customStyle="1" w:styleId="default">
    <w:name w:val="default"/>
    <w:basedOn w:val="a0"/>
    <w:rsid w:val="00AE706D"/>
    <w:rPr>
      <w:rFonts w:ascii="Times New Roman" w:hAnsi="Times New Roman" w:cs="Times New Roman"/>
      <w:sz w:val="20"/>
      <w:szCs w:val="26"/>
    </w:rPr>
  </w:style>
  <w:style w:type="character" w:customStyle="1" w:styleId="big-number">
    <w:name w:val="big-number"/>
    <w:basedOn w:val="default"/>
    <w:rsid w:val="00AE706D"/>
    <w:rPr>
      <w:rFonts w:ascii="Times New Roman" w:hAnsi="Times New Roman" w:cs="Miriam"/>
      <w:sz w:val="20"/>
      <w:szCs w:val="32"/>
    </w:rPr>
  </w:style>
  <w:style w:type="paragraph" w:customStyle="1" w:styleId="footnote">
    <w:name w:val="footnote"/>
    <w:basedOn w:val="P00"/>
    <w:rsid w:val="00AE706D"/>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AE706D"/>
    <w:rPr>
      <w:color w:val="0000FF"/>
      <w:u w:val="single"/>
    </w:rPr>
  </w:style>
  <w:style w:type="paragraph" w:styleId="a3">
    <w:name w:val="footnote text"/>
    <w:basedOn w:val="a"/>
    <w:link w:val="a4"/>
    <w:unhideWhenUsed/>
    <w:rsid w:val="00CD6CD6"/>
    <w:rPr>
      <w:sz w:val="20"/>
      <w:szCs w:val="20"/>
    </w:rPr>
  </w:style>
  <w:style w:type="character" w:customStyle="1" w:styleId="a4">
    <w:name w:val="טקסט הערת שוליים תו"/>
    <w:basedOn w:val="a0"/>
    <w:link w:val="a3"/>
    <w:rsid w:val="00CD6CD6"/>
    <w:rPr>
      <w:rFonts w:ascii="Times New Roman" w:eastAsia="Times New Roman" w:hAnsi="Times New Roman" w:cs="Times New Roman"/>
      <w:sz w:val="20"/>
      <w:szCs w:val="20"/>
      <w:lang w:eastAsia="he-IL"/>
    </w:rPr>
  </w:style>
  <w:style w:type="character" w:styleId="a5">
    <w:name w:val="footnote reference"/>
    <w:aliases w:val="Footnote Reference"/>
    <w:basedOn w:val="a0"/>
    <w:unhideWhenUsed/>
    <w:rsid w:val="00CD6CD6"/>
    <w:rPr>
      <w:vertAlign w:val="superscript"/>
    </w:rPr>
  </w:style>
  <w:style w:type="paragraph" w:styleId="a6">
    <w:name w:val="List Paragraph"/>
    <w:basedOn w:val="a"/>
    <w:uiPriority w:val="34"/>
    <w:qFormat/>
    <w:rsid w:val="00E70309"/>
    <w:pPr>
      <w:ind w:left="720"/>
      <w:contextualSpacing/>
    </w:pPr>
  </w:style>
  <w:style w:type="paragraph" w:customStyle="1" w:styleId="big-header">
    <w:name w:val="big-header"/>
    <w:basedOn w:val="a"/>
    <w:rsid w:val="00845828"/>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paragraph" w:customStyle="1" w:styleId="TableText">
    <w:name w:val="Table Text"/>
    <w:basedOn w:val="a"/>
    <w:rsid w:val="00F81C7D"/>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F81C7D"/>
  </w:style>
  <w:style w:type="paragraph" w:customStyle="1" w:styleId="TableBlock">
    <w:name w:val="Table Block"/>
    <w:basedOn w:val="TableText"/>
    <w:rsid w:val="00F81C7D"/>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6665C0-A7DF-409A-8039-4992957419A6}"/>
</file>

<file path=customXml/itemProps2.xml><?xml version="1.0" encoding="utf-8"?>
<ds:datastoreItem xmlns:ds="http://schemas.openxmlformats.org/officeDocument/2006/customXml" ds:itemID="{9F7262AE-C91E-498C-9988-4FE7A880A963}"/>
</file>

<file path=customXml/itemProps3.xml><?xml version="1.0" encoding="utf-8"?>
<ds:datastoreItem xmlns:ds="http://schemas.openxmlformats.org/officeDocument/2006/customXml" ds:itemID="{7CA18926-201B-4D8A-A3C1-22954BE74967}"/>
</file>

<file path=docProps/app.xml><?xml version="1.0" encoding="utf-8"?>
<Properties xmlns="http://schemas.openxmlformats.org/officeDocument/2006/extended-properties" xmlns:vt="http://schemas.openxmlformats.org/officeDocument/2006/docPropsVTypes">
  <Template>Normal</Template>
  <TotalTime>115</TotalTime>
  <Pages>2</Pages>
  <Words>661</Words>
  <Characters>3307</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אלעזר שטרן - הלשכה המשפטית</cp:lastModifiedBy>
  <cp:revision>64</cp:revision>
  <dcterms:created xsi:type="dcterms:W3CDTF">2014-11-16T12:20:00Z</dcterms:created>
  <dcterms:modified xsi:type="dcterms:W3CDTF">2015-06-29T09:49:00Z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