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5AF3" w:rsidRPr="00AD5390" w:rsidRDefault="00285AF3" w:rsidP="00285AF3">
      <w:pPr>
        <w:autoSpaceDE w:val="0"/>
        <w:autoSpaceDN w:val="0"/>
        <w:bidi/>
        <w:spacing w:after="0" w:line="240" w:lineRule="auto"/>
        <w:jc w:val="both"/>
        <w:rPr>
          <w:rFonts w:ascii="Garamond" w:hAnsi="Garamond" w:cs="David"/>
          <w:sz w:val="24"/>
          <w:szCs w:val="24"/>
          <w:u w:val="single"/>
          <w:rtl/>
          <w:lang w:eastAsia="he-IL"/>
        </w:rPr>
      </w:pPr>
      <w:bookmarkStart w:id="0" w:name="_GoBack"/>
      <w:bookmarkEnd w:id="0"/>
      <w:r w:rsidRPr="00AD5390">
        <w:rPr>
          <w:rFonts w:ascii="Garamond" w:hAnsi="Garamond" w:cs="David" w:hint="cs"/>
          <w:sz w:val="24"/>
          <w:szCs w:val="24"/>
          <w:u w:val="single"/>
          <w:rtl/>
          <w:lang w:eastAsia="he-IL"/>
        </w:rPr>
        <w:t>אל</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חברי</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ועדת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החוקה</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חוק</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ומשפט</w:t>
      </w:r>
      <w:r w:rsidRPr="00AD5390">
        <w:rPr>
          <w:rFonts w:ascii="Garamond" w:hAnsi="Garamond" w:cs="David"/>
          <w:sz w:val="24"/>
          <w:szCs w:val="24"/>
          <w:rtl/>
          <w:lang w:eastAsia="he-IL"/>
        </w:rPr>
        <w:tab/>
      </w:r>
      <w:r w:rsidRPr="00AD5390">
        <w:rPr>
          <w:rFonts w:ascii="Garamond" w:hAnsi="Garamond" w:cs="David"/>
          <w:sz w:val="24"/>
          <w:szCs w:val="24"/>
          <w:rtl/>
          <w:lang w:eastAsia="he-IL"/>
        </w:rPr>
        <w:tab/>
      </w:r>
      <w:r w:rsidRPr="00AD5390">
        <w:rPr>
          <w:rFonts w:ascii="Garamond" w:hAnsi="Garamond" w:cs="David"/>
          <w:sz w:val="24"/>
          <w:szCs w:val="24"/>
          <w:rtl/>
          <w:lang w:eastAsia="he-IL"/>
        </w:rPr>
        <w:tab/>
      </w:r>
      <w:r w:rsidRPr="00AD5390">
        <w:rPr>
          <w:rFonts w:ascii="Garamond" w:hAnsi="Garamond" w:cs="David"/>
          <w:sz w:val="24"/>
          <w:szCs w:val="24"/>
          <w:rtl/>
          <w:lang w:eastAsia="he-IL"/>
        </w:rPr>
        <w:tab/>
      </w:r>
      <w:r w:rsidRPr="00AD5390">
        <w:rPr>
          <w:rFonts w:ascii="Garamond" w:hAnsi="Garamond" w:cs="David" w:hint="cs"/>
          <w:sz w:val="24"/>
          <w:szCs w:val="24"/>
          <w:rtl/>
          <w:lang w:eastAsia="he-IL"/>
        </w:rPr>
        <w:t xml:space="preserve">              ט"ו בטבת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תשע</w:t>
      </w:r>
      <w:r w:rsidRPr="00AD5390">
        <w:rPr>
          <w:rFonts w:ascii="Garamond" w:hAnsi="Garamond" w:cs="David"/>
          <w:sz w:val="24"/>
          <w:szCs w:val="24"/>
          <w:rtl/>
          <w:lang w:eastAsia="he-IL"/>
        </w:rPr>
        <w:t>"</w:t>
      </w:r>
      <w:r w:rsidRPr="00AD5390">
        <w:rPr>
          <w:rFonts w:ascii="Garamond" w:hAnsi="Garamond" w:cs="David" w:hint="cs"/>
          <w:sz w:val="24"/>
          <w:szCs w:val="24"/>
          <w:rtl/>
          <w:lang w:eastAsia="he-IL"/>
        </w:rPr>
        <w:t>ו</w:t>
      </w:r>
    </w:p>
    <w:p w:rsidR="00285AF3" w:rsidRPr="00AD5390" w:rsidRDefault="00285AF3" w:rsidP="00285AF3">
      <w:pPr>
        <w:autoSpaceDE w:val="0"/>
        <w:autoSpaceDN w:val="0"/>
        <w:bidi/>
        <w:spacing w:after="0" w:line="240" w:lineRule="auto"/>
        <w:jc w:val="both"/>
        <w:rPr>
          <w:rFonts w:ascii="Garamond" w:hAnsi="Garamond" w:cs="David"/>
          <w:b/>
          <w:bCs/>
          <w:sz w:val="24"/>
          <w:szCs w:val="24"/>
          <w:rtl/>
          <w:lang w:eastAsia="he-IL"/>
        </w:rPr>
      </w:pPr>
      <w:r w:rsidRPr="00AD5390">
        <w:rPr>
          <w:rFonts w:ascii="Garamond" w:hAnsi="Garamond" w:cs="David" w:hint="cs"/>
          <w:sz w:val="24"/>
          <w:szCs w:val="24"/>
          <w:u w:val="single"/>
          <w:rtl/>
          <w:lang w:eastAsia="he-IL"/>
        </w:rPr>
        <w:t>מאת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הייעוץ</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המשפטי</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לוועדה</w:t>
      </w:r>
      <w:r w:rsidRPr="00AD5390">
        <w:rPr>
          <w:rFonts w:ascii="Garamond" w:hAnsi="Garamond" w:cs="David"/>
          <w:sz w:val="24"/>
          <w:szCs w:val="24"/>
          <w:rtl/>
          <w:lang w:eastAsia="he-IL"/>
        </w:rPr>
        <w:tab/>
      </w:r>
      <w:r w:rsidRPr="00AD5390">
        <w:rPr>
          <w:rFonts w:ascii="Garamond" w:hAnsi="Garamond" w:cs="David"/>
          <w:sz w:val="24"/>
          <w:szCs w:val="24"/>
          <w:rtl/>
          <w:lang w:eastAsia="he-IL"/>
        </w:rPr>
        <w:tab/>
      </w:r>
      <w:r w:rsidRPr="00AD5390">
        <w:rPr>
          <w:rFonts w:ascii="Garamond" w:hAnsi="Garamond" w:cs="David"/>
          <w:sz w:val="24"/>
          <w:szCs w:val="24"/>
          <w:rtl/>
          <w:lang w:eastAsia="he-IL"/>
        </w:rPr>
        <w:tab/>
      </w:r>
      <w:r w:rsidRPr="00AD5390">
        <w:rPr>
          <w:rFonts w:ascii="Garamond" w:hAnsi="Garamond" w:cs="David"/>
          <w:sz w:val="24"/>
          <w:szCs w:val="24"/>
          <w:rtl/>
          <w:lang w:eastAsia="he-IL"/>
        </w:rPr>
        <w:tab/>
      </w:r>
      <w:r w:rsidRPr="00AD5390">
        <w:rPr>
          <w:rFonts w:ascii="Garamond" w:hAnsi="Garamond" w:cs="David"/>
          <w:sz w:val="24"/>
          <w:szCs w:val="24"/>
          <w:rtl/>
          <w:lang w:eastAsia="he-IL"/>
        </w:rPr>
        <w:tab/>
      </w:r>
      <w:r w:rsidRPr="00AD5390">
        <w:rPr>
          <w:rFonts w:ascii="Garamond" w:hAnsi="Garamond" w:cs="David"/>
          <w:sz w:val="24"/>
          <w:szCs w:val="24"/>
          <w:rtl/>
          <w:lang w:eastAsia="he-IL"/>
        </w:rPr>
        <w:tab/>
      </w:r>
      <w:r w:rsidRPr="00AD5390">
        <w:rPr>
          <w:rFonts w:ascii="Times New Roman" w:hAnsi="Times New Roman" w:cs="David" w:hint="cs"/>
          <w:sz w:val="24"/>
          <w:szCs w:val="24"/>
          <w:rtl/>
          <w:lang w:eastAsia="he-IL"/>
        </w:rPr>
        <w:t xml:space="preserve">27 בדצמבר </w:t>
      </w:r>
      <w:r w:rsidRPr="00AD5390">
        <w:rPr>
          <w:rFonts w:ascii="Times New Roman" w:hAnsi="Times New Roman" w:cs="David"/>
          <w:sz w:val="24"/>
          <w:szCs w:val="24"/>
          <w:rtl/>
          <w:lang w:eastAsia="he-IL"/>
        </w:rPr>
        <w:t>2015</w:t>
      </w:r>
    </w:p>
    <w:p w:rsidR="00D82E21" w:rsidRPr="00AD5390" w:rsidRDefault="00D82E21" w:rsidP="00D82E21">
      <w:pPr>
        <w:autoSpaceDE w:val="0"/>
        <w:autoSpaceDN w:val="0"/>
        <w:bidi/>
        <w:spacing w:after="0" w:line="240" w:lineRule="auto"/>
        <w:jc w:val="center"/>
        <w:rPr>
          <w:rFonts w:ascii="Garamond" w:hAnsi="Garamond" w:cs="David"/>
          <w:b/>
          <w:bCs/>
          <w:sz w:val="24"/>
          <w:szCs w:val="24"/>
          <w:rtl/>
          <w:lang w:eastAsia="he-IL"/>
        </w:rPr>
      </w:pPr>
    </w:p>
    <w:p w:rsidR="00D82E21" w:rsidRPr="00AD5390" w:rsidRDefault="00D82E21" w:rsidP="00D82E21">
      <w:pPr>
        <w:autoSpaceDE w:val="0"/>
        <w:autoSpaceDN w:val="0"/>
        <w:bidi/>
        <w:spacing w:after="0" w:line="240" w:lineRule="auto"/>
        <w:jc w:val="center"/>
        <w:rPr>
          <w:rFonts w:ascii="Garamond" w:hAnsi="Garamond" w:cs="David"/>
          <w:b/>
          <w:bCs/>
          <w:sz w:val="24"/>
          <w:szCs w:val="24"/>
          <w:rtl/>
          <w:lang w:eastAsia="he-IL"/>
        </w:rPr>
      </w:pPr>
    </w:p>
    <w:p w:rsidR="00D82E21" w:rsidRPr="00AD5390" w:rsidRDefault="00D82E21" w:rsidP="00D82E21">
      <w:pPr>
        <w:autoSpaceDE w:val="0"/>
        <w:autoSpaceDN w:val="0"/>
        <w:bidi/>
        <w:spacing w:after="0" w:line="240" w:lineRule="auto"/>
        <w:jc w:val="center"/>
        <w:rPr>
          <w:rFonts w:ascii="Garamond" w:hAnsi="Garamond" w:cs="David"/>
          <w:b/>
          <w:bCs/>
          <w:sz w:val="24"/>
          <w:szCs w:val="24"/>
          <w:rtl/>
          <w:lang w:eastAsia="he-IL"/>
        </w:rPr>
      </w:pPr>
      <w:r w:rsidRPr="00AD5390">
        <w:rPr>
          <w:rFonts w:ascii="Garamond" w:hAnsi="Garamond" w:cs="David" w:hint="cs"/>
          <w:b/>
          <w:bCs/>
          <w:sz w:val="24"/>
          <w:szCs w:val="24"/>
          <w:rtl/>
          <w:lang w:eastAsia="he-IL"/>
        </w:rPr>
        <w:t>הצעת</w:t>
      </w:r>
      <w:r w:rsidRPr="00AD5390">
        <w:rPr>
          <w:rFonts w:ascii="Garamond" w:hAnsi="Garamond" w:cs="David"/>
          <w:b/>
          <w:bCs/>
          <w:sz w:val="24"/>
          <w:szCs w:val="24"/>
          <w:rtl/>
          <w:lang w:eastAsia="he-IL"/>
        </w:rPr>
        <w:t xml:space="preserve"> </w:t>
      </w:r>
      <w:r w:rsidRPr="00AD5390">
        <w:rPr>
          <w:rFonts w:ascii="Garamond" w:hAnsi="Garamond" w:cs="David" w:hint="cs"/>
          <w:b/>
          <w:bCs/>
          <w:sz w:val="24"/>
          <w:szCs w:val="24"/>
          <w:rtl/>
          <w:lang w:eastAsia="he-IL"/>
        </w:rPr>
        <w:t>חוק</w:t>
      </w:r>
      <w:r w:rsidRPr="00AD5390">
        <w:rPr>
          <w:rFonts w:ascii="Garamond" w:hAnsi="Garamond" w:cs="David"/>
          <w:b/>
          <w:bCs/>
          <w:sz w:val="24"/>
          <w:szCs w:val="24"/>
          <w:rtl/>
          <w:lang w:eastAsia="he-IL"/>
        </w:rPr>
        <w:t xml:space="preserve"> </w:t>
      </w:r>
      <w:r w:rsidRPr="00AD5390">
        <w:rPr>
          <w:rFonts w:ascii="Garamond" w:hAnsi="Garamond" w:cs="David" w:hint="cs"/>
          <w:b/>
          <w:bCs/>
          <w:sz w:val="24"/>
          <w:szCs w:val="24"/>
          <w:rtl/>
          <w:lang w:eastAsia="he-IL"/>
        </w:rPr>
        <w:t>המאבק</w:t>
      </w:r>
      <w:r w:rsidRPr="00AD5390">
        <w:rPr>
          <w:rFonts w:ascii="Garamond" w:hAnsi="Garamond" w:cs="David"/>
          <w:b/>
          <w:bCs/>
          <w:sz w:val="24"/>
          <w:szCs w:val="24"/>
          <w:rtl/>
          <w:lang w:eastAsia="he-IL"/>
        </w:rPr>
        <w:t xml:space="preserve"> </w:t>
      </w:r>
      <w:r w:rsidRPr="00AD5390">
        <w:rPr>
          <w:rFonts w:ascii="Garamond" w:hAnsi="Garamond" w:cs="David" w:hint="cs"/>
          <w:b/>
          <w:bCs/>
          <w:sz w:val="24"/>
          <w:szCs w:val="24"/>
          <w:rtl/>
          <w:lang w:eastAsia="he-IL"/>
        </w:rPr>
        <w:t>בטרור</w:t>
      </w:r>
      <w:r w:rsidRPr="00AD5390">
        <w:rPr>
          <w:rFonts w:ascii="Garamond" w:hAnsi="Garamond" w:cs="David"/>
          <w:b/>
          <w:bCs/>
          <w:sz w:val="24"/>
          <w:szCs w:val="24"/>
          <w:rtl/>
          <w:lang w:eastAsia="he-IL"/>
        </w:rPr>
        <w:t xml:space="preserve">, </w:t>
      </w:r>
      <w:r w:rsidRPr="00AD5390">
        <w:rPr>
          <w:rFonts w:ascii="Garamond" w:hAnsi="Garamond" w:cs="David" w:hint="cs"/>
          <w:b/>
          <w:bCs/>
          <w:sz w:val="24"/>
          <w:szCs w:val="24"/>
          <w:rtl/>
          <w:lang w:eastAsia="he-IL"/>
        </w:rPr>
        <w:t>התשע</w:t>
      </w:r>
      <w:r w:rsidRPr="00AD5390">
        <w:rPr>
          <w:rFonts w:ascii="Garamond" w:hAnsi="Garamond" w:cs="David"/>
          <w:b/>
          <w:bCs/>
          <w:sz w:val="24"/>
          <w:szCs w:val="24"/>
          <w:rtl/>
          <w:lang w:eastAsia="he-IL"/>
        </w:rPr>
        <w:t>"</w:t>
      </w:r>
      <w:r w:rsidRPr="00AD5390">
        <w:rPr>
          <w:rFonts w:ascii="Garamond" w:hAnsi="Garamond" w:cs="David" w:hint="cs"/>
          <w:b/>
          <w:bCs/>
          <w:sz w:val="24"/>
          <w:szCs w:val="24"/>
          <w:rtl/>
          <w:lang w:eastAsia="he-IL"/>
        </w:rPr>
        <w:t>ה</w:t>
      </w:r>
      <w:r w:rsidRPr="00AD5390">
        <w:rPr>
          <w:rFonts w:ascii="Garamond" w:hAnsi="Garamond" w:cs="David"/>
          <w:b/>
          <w:bCs/>
          <w:sz w:val="24"/>
          <w:szCs w:val="24"/>
          <w:rtl/>
          <w:lang w:eastAsia="he-IL"/>
        </w:rPr>
        <w:t>–2015</w:t>
      </w:r>
    </w:p>
    <w:p w:rsidR="00D82E21" w:rsidRPr="00AD5390" w:rsidRDefault="00D82E21" w:rsidP="00D82E21">
      <w:pPr>
        <w:autoSpaceDE w:val="0"/>
        <w:autoSpaceDN w:val="0"/>
        <w:bidi/>
        <w:spacing w:after="0" w:line="240" w:lineRule="auto"/>
        <w:jc w:val="center"/>
        <w:rPr>
          <w:rFonts w:ascii="Garamond" w:hAnsi="Garamond" w:cs="David"/>
          <w:b/>
          <w:bCs/>
          <w:sz w:val="24"/>
          <w:szCs w:val="24"/>
          <w:u w:val="single"/>
          <w:rtl/>
          <w:lang w:eastAsia="he-IL"/>
        </w:rPr>
      </w:pPr>
      <w:r w:rsidRPr="00AD5390">
        <w:rPr>
          <w:rFonts w:ascii="Garamond" w:hAnsi="Garamond" w:cs="David" w:hint="cs"/>
          <w:b/>
          <w:bCs/>
          <w:sz w:val="24"/>
          <w:szCs w:val="24"/>
          <w:u w:val="single"/>
          <w:rtl/>
          <w:lang w:eastAsia="he-IL"/>
        </w:rPr>
        <w:t>תחולה וראיות (סימן ה' לפרק ד')</w:t>
      </w:r>
    </w:p>
    <w:p w:rsidR="00D82E21" w:rsidRPr="00AD5390" w:rsidRDefault="00D82E21" w:rsidP="00285AF3">
      <w:pPr>
        <w:autoSpaceDE w:val="0"/>
        <w:autoSpaceDN w:val="0"/>
        <w:bidi/>
        <w:spacing w:after="0" w:line="360" w:lineRule="auto"/>
        <w:jc w:val="center"/>
        <w:rPr>
          <w:rFonts w:ascii="Garamond" w:hAnsi="Garamond" w:cs="David"/>
          <w:b/>
          <w:bCs/>
          <w:sz w:val="24"/>
          <w:szCs w:val="24"/>
          <w:u w:val="single"/>
          <w:rtl/>
          <w:lang w:eastAsia="he-IL"/>
        </w:rPr>
      </w:pPr>
    </w:p>
    <w:p w:rsidR="00D82E21" w:rsidRPr="00AD5390" w:rsidRDefault="00D82E21" w:rsidP="00285AF3">
      <w:pPr>
        <w:autoSpaceDE w:val="0"/>
        <w:autoSpaceDN w:val="0"/>
        <w:bidi/>
        <w:spacing w:after="0" w:line="360" w:lineRule="auto"/>
        <w:jc w:val="center"/>
        <w:rPr>
          <w:rFonts w:ascii="Garamond" w:hAnsi="Garamond" w:cs="David"/>
          <w:b/>
          <w:bCs/>
          <w:sz w:val="24"/>
          <w:szCs w:val="24"/>
          <w:u w:val="single"/>
          <w:rtl/>
          <w:lang w:eastAsia="he-IL"/>
        </w:rPr>
      </w:pPr>
    </w:p>
    <w:p w:rsidR="00B97E8E" w:rsidRPr="00AD5390" w:rsidRDefault="00D82E21" w:rsidP="00A132D9">
      <w:pPr>
        <w:autoSpaceDE w:val="0"/>
        <w:autoSpaceDN w:val="0"/>
        <w:bidi/>
        <w:spacing w:after="0" w:line="360" w:lineRule="auto"/>
        <w:jc w:val="both"/>
        <w:rPr>
          <w:rFonts w:ascii="Garamond" w:hAnsi="Garamond" w:cs="David"/>
          <w:sz w:val="24"/>
          <w:szCs w:val="24"/>
          <w:rtl/>
          <w:lang w:eastAsia="he-IL"/>
        </w:rPr>
      </w:pPr>
      <w:r w:rsidRPr="00AD5390">
        <w:rPr>
          <w:rFonts w:ascii="Garamond" w:hAnsi="Garamond" w:cs="David" w:hint="cs"/>
          <w:sz w:val="24"/>
          <w:szCs w:val="24"/>
          <w:rtl/>
          <w:lang w:eastAsia="he-IL"/>
        </w:rPr>
        <w:t xml:space="preserve">בסימן ה' </w:t>
      </w:r>
      <w:r w:rsidR="00F507DD" w:rsidRPr="00AD5390">
        <w:rPr>
          <w:rFonts w:ascii="Garamond" w:hAnsi="Garamond" w:cs="David" w:hint="cs"/>
          <w:sz w:val="24"/>
          <w:szCs w:val="24"/>
          <w:rtl/>
          <w:lang w:eastAsia="he-IL"/>
        </w:rPr>
        <w:t>מוצעות</w:t>
      </w:r>
      <w:r w:rsidR="004579C2" w:rsidRPr="00AD5390">
        <w:rPr>
          <w:rFonts w:ascii="Garamond" w:hAnsi="Garamond" w:cs="David" w:hint="cs"/>
          <w:sz w:val="24"/>
          <w:szCs w:val="24"/>
          <w:rtl/>
          <w:lang w:eastAsia="he-IL"/>
        </w:rPr>
        <w:t xml:space="preserve"> </w:t>
      </w:r>
      <w:r w:rsidR="00F507DD" w:rsidRPr="00AD5390">
        <w:rPr>
          <w:rFonts w:ascii="Garamond" w:hAnsi="Garamond" w:cs="David" w:hint="cs"/>
          <w:sz w:val="24"/>
          <w:szCs w:val="24"/>
          <w:rtl/>
          <w:lang w:eastAsia="he-IL"/>
        </w:rPr>
        <w:t>שתי</w:t>
      </w:r>
      <w:r w:rsidR="004579C2" w:rsidRPr="00AD5390">
        <w:rPr>
          <w:rFonts w:ascii="Garamond" w:hAnsi="Garamond" w:cs="David" w:hint="cs"/>
          <w:sz w:val="24"/>
          <w:szCs w:val="24"/>
          <w:rtl/>
          <w:lang w:eastAsia="he-IL"/>
        </w:rPr>
        <w:t xml:space="preserve"> סטיות מדיני הראיות</w:t>
      </w:r>
      <w:r w:rsidR="00F507DD" w:rsidRPr="00AD5390">
        <w:rPr>
          <w:rFonts w:ascii="Garamond" w:hAnsi="Garamond" w:cs="David" w:hint="cs"/>
          <w:sz w:val="24"/>
          <w:szCs w:val="24"/>
          <w:rtl/>
          <w:lang w:eastAsia="he-IL"/>
        </w:rPr>
        <w:t xml:space="preserve"> בהליכים בעבירות טרור: אחת עניינה קבילות של אמרת עד מחוץ לבית המשפט, והשנייה עניינה התיישנות בעבירות טרור. מעבר להערות הפרטניות, שנציין בהמשך, נעיר כי לטעמנו אין הצדקה לחקיקת הסדרים מיוחדים לעבירות טרור בנושאים אלו. ככל שיש צורך והצדקה בהסדרים המוצעים, הדבר יהיה נכון בכל הליך הפלילי באשר הוא, </w:t>
      </w:r>
      <w:r w:rsidR="00B97E8E" w:rsidRPr="00AD5390">
        <w:rPr>
          <w:rFonts w:ascii="Garamond" w:hAnsi="Garamond" w:cs="David" w:hint="cs"/>
          <w:sz w:val="24"/>
          <w:szCs w:val="24"/>
          <w:rtl/>
          <w:lang w:eastAsia="he-IL"/>
        </w:rPr>
        <w:t xml:space="preserve">ואין מקום, אגב הדיון בחוק המאבק בטרור, לשנות סדרי בראשית. </w:t>
      </w:r>
      <w:r w:rsidR="00A132D9">
        <w:rPr>
          <w:rFonts w:ascii="Garamond" w:hAnsi="Garamond" w:cs="David" w:hint="cs"/>
          <w:sz w:val="24"/>
          <w:szCs w:val="24"/>
          <w:rtl/>
          <w:lang w:eastAsia="he-IL"/>
        </w:rPr>
        <w:t xml:space="preserve">סטייה מעיקרים של הדין הפלילי יכולה לערער את המשפט הפלילי כמשפט צדק. אנו ערות למתח שבין הרצון להעמיד לדין פלילי "רגיל" אנשים שבצעו עבירות לפי חוק זה, לבין הקשיים הראייתיים. הקשיים הראייתיים כאן אינם נובעים מהפער שבין המודיעין החסוי לבין דיני הראיות הגלויים, והם יכולים להתעורר בכל תיק פלילי, ולכן חשוב לשמור על עקרונות דיני הראיות הרגילים. שימוש במשפט הפלילי הרגיל לפי חוק המאבק בטרור הוא חשוב, על מנת שאמון הציבור הישראלי והבינלאומי במשפט הפלילי הישראלי ייתן משנה תוקף להרשעות של העבריינים (ראו והשוו למעצרים מינהליים שזוכים לאמון פחות בהרבה). ואולם, חתירה תחת עיקרי דיני הראיות עלולה לפגוע בעקרונות ששמירתם חיונית על מנת שהמשפט הפלילי הישראלי ימשיך להיות משפט צדק. </w:t>
      </w:r>
    </w:p>
    <w:p w:rsidR="00B97E8E" w:rsidRPr="00AD5390" w:rsidRDefault="00B97E8E" w:rsidP="00B97E8E">
      <w:pPr>
        <w:autoSpaceDE w:val="0"/>
        <w:autoSpaceDN w:val="0"/>
        <w:bidi/>
        <w:spacing w:after="0" w:line="360" w:lineRule="auto"/>
        <w:jc w:val="both"/>
        <w:rPr>
          <w:rFonts w:ascii="Garamond" w:hAnsi="Garamond" w:cs="David"/>
          <w:sz w:val="24"/>
          <w:szCs w:val="24"/>
          <w:rtl/>
          <w:lang w:eastAsia="he-IL"/>
        </w:rPr>
      </w:pPr>
    </w:p>
    <w:p w:rsidR="00D82E21" w:rsidRPr="00AD5390" w:rsidRDefault="00B97E8E" w:rsidP="00B97E8E">
      <w:pPr>
        <w:autoSpaceDE w:val="0"/>
        <w:autoSpaceDN w:val="0"/>
        <w:bidi/>
        <w:spacing w:after="0" w:line="360" w:lineRule="auto"/>
        <w:jc w:val="both"/>
        <w:rPr>
          <w:rFonts w:ascii="Garamond" w:hAnsi="Garamond" w:cs="David"/>
          <w:sz w:val="24"/>
          <w:szCs w:val="24"/>
          <w:rtl/>
          <w:lang w:eastAsia="he-IL"/>
        </w:rPr>
      </w:pPr>
      <w:r w:rsidRPr="00AD5390">
        <w:rPr>
          <w:rFonts w:ascii="Garamond" w:hAnsi="Garamond" w:cs="David" w:hint="cs"/>
          <w:sz w:val="24"/>
          <w:szCs w:val="24"/>
          <w:rtl/>
          <w:lang w:eastAsia="he-IL"/>
        </w:rPr>
        <w:t xml:space="preserve">סעיף נוסף שבסימן זה, סעיף 46 המוצע, נדון בישיבות הכנה בינינו לבין הממשלה, ומצוי בדיונים פנימיים בין נציגי הממשלה, ולכן לא נתייחס אליו במסמך זה. </w:t>
      </w:r>
      <w:r w:rsidR="00F507DD" w:rsidRPr="00AD5390">
        <w:rPr>
          <w:rFonts w:ascii="Garamond" w:hAnsi="Garamond" w:cs="David" w:hint="cs"/>
          <w:sz w:val="24"/>
          <w:szCs w:val="24"/>
          <w:rtl/>
          <w:lang w:eastAsia="he-IL"/>
        </w:rPr>
        <w:t xml:space="preserve"> </w:t>
      </w:r>
    </w:p>
    <w:p w:rsidR="00417041" w:rsidRPr="00AD5390" w:rsidRDefault="00417041" w:rsidP="00285AF3">
      <w:pPr>
        <w:autoSpaceDE w:val="0"/>
        <w:autoSpaceDN w:val="0"/>
        <w:bidi/>
        <w:spacing w:after="0" w:line="360" w:lineRule="auto"/>
        <w:jc w:val="both"/>
        <w:rPr>
          <w:rFonts w:ascii="Garamond" w:hAnsi="Garamond" w:cs="David"/>
          <w:sz w:val="24"/>
          <w:szCs w:val="24"/>
          <w:rtl/>
          <w:lang w:eastAsia="he-IL"/>
        </w:rPr>
      </w:pPr>
    </w:p>
    <w:p w:rsidR="000B4EF9" w:rsidRPr="00AD5390" w:rsidRDefault="000B4EF9" w:rsidP="00285AF3">
      <w:pPr>
        <w:autoSpaceDE w:val="0"/>
        <w:autoSpaceDN w:val="0"/>
        <w:bidi/>
        <w:spacing w:after="0" w:line="360" w:lineRule="auto"/>
        <w:jc w:val="both"/>
        <w:rPr>
          <w:rFonts w:ascii="Garamond" w:hAnsi="Garamond" w:cs="David"/>
          <w:b/>
          <w:bCs/>
          <w:sz w:val="24"/>
          <w:szCs w:val="24"/>
          <w:rtl/>
          <w:lang w:eastAsia="he-IL"/>
        </w:rPr>
      </w:pPr>
      <w:r w:rsidRPr="00AD5390">
        <w:rPr>
          <w:rFonts w:ascii="Garamond" w:hAnsi="Garamond" w:cs="David" w:hint="cs"/>
          <w:b/>
          <w:bCs/>
          <w:sz w:val="24"/>
          <w:szCs w:val="24"/>
          <w:rtl/>
          <w:lang w:eastAsia="he-IL"/>
        </w:rPr>
        <w:t>א. אמרת עד מחוץ לבית המשפט</w:t>
      </w:r>
    </w:p>
    <w:p w:rsidR="004579C2" w:rsidRPr="00AD5390" w:rsidRDefault="00F20F47" w:rsidP="00B97E8E">
      <w:pPr>
        <w:autoSpaceDE w:val="0"/>
        <w:autoSpaceDN w:val="0"/>
        <w:bidi/>
        <w:spacing w:after="0" w:line="360" w:lineRule="auto"/>
        <w:jc w:val="both"/>
        <w:rPr>
          <w:rFonts w:ascii="Garamond" w:hAnsi="Garamond" w:cs="David"/>
          <w:sz w:val="24"/>
          <w:szCs w:val="24"/>
          <w:rtl/>
          <w:lang w:eastAsia="he-IL"/>
        </w:rPr>
      </w:pPr>
      <w:r w:rsidRPr="00AD5390">
        <w:rPr>
          <w:rFonts w:ascii="Garamond" w:hAnsi="Garamond" w:cs="David" w:hint="cs"/>
          <w:sz w:val="24"/>
          <w:szCs w:val="24"/>
          <w:rtl/>
          <w:lang w:eastAsia="he-IL"/>
        </w:rPr>
        <w:t>בסעיף 47</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מוצע</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כי</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כאשר</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בית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המשפט</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דן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בעבירת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טרור</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רשאי</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בית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המשפט</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לקבל</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אמרה</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כאמור</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בסעיף</w:t>
      </w:r>
      <w:r w:rsidRPr="00AD5390">
        <w:rPr>
          <w:rFonts w:ascii="Garamond" w:hAnsi="Garamond" w:cs="David"/>
          <w:sz w:val="24"/>
          <w:szCs w:val="24"/>
          <w:rtl/>
          <w:lang w:eastAsia="he-IL"/>
        </w:rPr>
        <w:t xml:space="preserve"> 10</w:t>
      </w:r>
      <w:r w:rsidRPr="00AD5390">
        <w:rPr>
          <w:rFonts w:ascii="Garamond" w:hAnsi="Garamond" w:cs="David" w:hint="cs"/>
          <w:sz w:val="24"/>
          <w:szCs w:val="24"/>
          <w:rtl/>
          <w:lang w:eastAsia="he-IL"/>
        </w:rPr>
        <w:t>א</w:t>
      </w:r>
      <w:r w:rsidRPr="00AD5390">
        <w:rPr>
          <w:rFonts w:ascii="Garamond" w:hAnsi="Garamond" w:cs="David"/>
          <w:sz w:val="24"/>
          <w:szCs w:val="24"/>
          <w:rtl/>
          <w:lang w:eastAsia="he-IL"/>
        </w:rPr>
        <w:t>(</w:t>
      </w:r>
      <w:r w:rsidRPr="00AD5390">
        <w:rPr>
          <w:rFonts w:ascii="Garamond" w:hAnsi="Garamond" w:cs="David" w:hint="cs"/>
          <w:sz w:val="24"/>
          <w:szCs w:val="24"/>
          <w:rtl/>
          <w:lang w:eastAsia="he-IL"/>
        </w:rPr>
        <w:t>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לפקודת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הראיות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כלומר</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אמרה</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בכתב</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שנתן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עד</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מחוץ</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לבית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המשפט</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(כאשר</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עד הוא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כל</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מי</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שמבקשים</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להעידו</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בין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שניתן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להעידו</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בפועל</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ובין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שלא)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גם</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אם</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נותן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האמרה</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אינו</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עד</w:t>
      </w:r>
      <w:r w:rsidR="000A687B" w:rsidRPr="00AD5390">
        <w:rPr>
          <w:rFonts w:ascii="Garamond" w:hAnsi="Garamond" w:cs="David" w:hint="cs"/>
          <w:sz w:val="24"/>
          <w:szCs w:val="24"/>
          <w:rtl/>
          <w:lang w:eastAsia="he-IL"/>
        </w:rPr>
        <w:t xml:space="preserve"> -</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ובלבד</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שבית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המשפט</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שוכנע</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כי</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מנסיבות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העניין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ניתן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להביאו</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לבית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המשפט</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בשל</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כך</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שהוא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נמצא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בשטחי</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הרשות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הפלסטינית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או</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במדינה</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עוינת</w:t>
      </w:r>
      <w:r w:rsidR="00B97E8E" w:rsidRPr="00AD5390">
        <w:rPr>
          <w:rFonts w:ascii="Garamond" w:hAnsi="Garamond" w:cs="David" w:hint="cs"/>
          <w:sz w:val="24"/>
          <w:szCs w:val="24"/>
          <w:rtl/>
          <w:lang w:eastAsia="he-IL"/>
        </w:rPr>
        <w:t xml:space="preserve"> (בין אם היה בארץ וברח ובאין אם לא)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ניתן</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יהיה</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להרשיע</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רק</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על</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סמך</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אותה</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אימרה</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והיא</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תוכל</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לשמש</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כתוספת</w:t>
      </w:r>
      <w:r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ראייתית</w:t>
      </w:r>
      <w:r w:rsidRPr="00AD5390">
        <w:rPr>
          <w:rFonts w:ascii="Garamond" w:hAnsi="Garamond" w:cs="David"/>
          <w:sz w:val="24"/>
          <w:szCs w:val="24"/>
          <w:rtl/>
          <w:lang w:eastAsia="he-IL"/>
        </w:rPr>
        <w:t xml:space="preserve"> </w:t>
      </w:r>
      <w:r w:rsidR="000A687B" w:rsidRPr="00AD5390">
        <w:rPr>
          <w:rFonts w:ascii="Garamond" w:hAnsi="Garamond" w:cs="David" w:hint="cs"/>
          <w:sz w:val="24"/>
          <w:szCs w:val="24"/>
          <w:rtl/>
          <w:lang w:eastAsia="he-IL"/>
        </w:rPr>
        <w:t>לראיות התביעה</w:t>
      </w:r>
      <w:r w:rsidR="00B97E8E" w:rsidRPr="00AD5390">
        <w:rPr>
          <w:rFonts w:ascii="Garamond" w:hAnsi="Garamond" w:cs="David" w:hint="cs"/>
          <w:sz w:val="24"/>
          <w:szCs w:val="24"/>
          <w:rtl/>
          <w:lang w:eastAsia="he-IL"/>
        </w:rPr>
        <w:t>. תוספת ראייתית זו, ככלל, לא תהיה בגדר "סיוע" אך תוכל גם לשמש כסיוע, "מטעמים מיוחדים שיירשמו".</w:t>
      </w:r>
    </w:p>
    <w:p w:rsidR="00F20F47" w:rsidRPr="00AD5390" w:rsidRDefault="00F20F47" w:rsidP="00F20F47">
      <w:pPr>
        <w:autoSpaceDE w:val="0"/>
        <w:autoSpaceDN w:val="0"/>
        <w:bidi/>
        <w:spacing w:after="0" w:line="240" w:lineRule="auto"/>
        <w:jc w:val="both"/>
        <w:rPr>
          <w:rFonts w:ascii="Garamond" w:hAnsi="Garamond" w:cs="David"/>
          <w:sz w:val="24"/>
          <w:szCs w:val="24"/>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7146"/>
      </w:tblGrid>
      <w:tr w:rsidR="004579C2" w:rsidRPr="00AD5390" w:rsidTr="00843769">
        <w:trPr>
          <w:cantSplit/>
        </w:trPr>
        <w:tc>
          <w:tcPr>
            <w:tcW w:w="1869" w:type="dxa"/>
            <w:shd w:val="clear" w:color="auto" w:fill="auto"/>
            <w:tcMar>
              <w:top w:w="91" w:type="dxa"/>
              <w:left w:w="0" w:type="dxa"/>
              <w:bottom w:w="91" w:type="dxa"/>
              <w:right w:w="0" w:type="dxa"/>
            </w:tcMar>
          </w:tcPr>
          <w:p w:rsidR="004579C2" w:rsidRPr="00AD5390" w:rsidRDefault="00F20F47" w:rsidP="00F20F47">
            <w:pPr>
              <w:pStyle w:val="TableSideHeading"/>
              <w:spacing w:line="240" w:lineRule="auto"/>
              <w:rPr>
                <w:sz w:val="24"/>
                <w:szCs w:val="24"/>
                <w:rtl/>
              </w:rPr>
            </w:pPr>
            <w:r w:rsidRPr="00AD5390">
              <w:rPr>
                <w:rFonts w:hint="cs"/>
                <w:sz w:val="24"/>
                <w:szCs w:val="24"/>
                <w:rtl/>
              </w:rPr>
              <w:t>"</w:t>
            </w:r>
            <w:r w:rsidR="004579C2" w:rsidRPr="00AD5390">
              <w:rPr>
                <w:rFonts w:hint="eastAsia"/>
                <w:sz w:val="24"/>
                <w:szCs w:val="24"/>
                <w:rtl/>
              </w:rPr>
              <w:t>אמרת</w:t>
            </w:r>
            <w:r w:rsidR="004579C2" w:rsidRPr="00AD5390">
              <w:rPr>
                <w:sz w:val="24"/>
                <w:szCs w:val="24"/>
                <w:rtl/>
              </w:rPr>
              <w:t xml:space="preserve"> </w:t>
            </w:r>
            <w:r w:rsidR="004579C2" w:rsidRPr="00AD5390">
              <w:rPr>
                <w:rFonts w:hint="eastAsia"/>
                <w:sz w:val="24"/>
                <w:szCs w:val="24"/>
                <w:rtl/>
              </w:rPr>
              <w:t>עד</w:t>
            </w:r>
            <w:r w:rsidR="004579C2" w:rsidRPr="00AD5390">
              <w:rPr>
                <w:sz w:val="24"/>
                <w:szCs w:val="24"/>
                <w:rtl/>
              </w:rPr>
              <w:t xml:space="preserve"> </w:t>
            </w:r>
            <w:r w:rsidR="004579C2" w:rsidRPr="00AD5390">
              <w:rPr>
                <w:rFonts w:hint="eastAsia"/>
                <w:sz w:val="24"/>
                <w:szCs w:val="24"/>
                <w:rtl/>
              </w:rPr>
              <w:t>מחוץ</w:t>
            </w:r>
            <w:r w:rsidR="004579C2" w:rsidRPr="00AD5390">
              <w:rPr>
                <w:sz w:val="24"/>
                <w:szCs w:val="24"/>
                <w:rtl/>
              </w:rPr>
              <w:t xml:space="preserve"> </w:t>
            </w:r>
            <w:r w:rsidR="004579C2" w:rsidRPr="00AD5390">
              <w:rPr>
                <w:rFonts w:hint="eastAsia"/>
                <w:sz w:val="24"/>
                <w:szCs w:val="24"/>
                <w:rtl/>
              </w:rPr>
              <w:t>לבית</w:t>
            </w:r>
            <w:r w:rsidR="004579C2" w:rsidRPr="00AD5390">
              <w:rPr>
                <w:sz w:val="24"/>
                <w:szCs w:val="24"/>
                <w:rtl/>
              </w:rPr>
              <w:t xml:space="preserve"> </w:t>
            </w:r>
            <w:r w:rsidR="004579C2" w:rsidRPr="00AD5390">
              <w:rPr>
                <w:rFonts w:hint="eastAsia"/>
                <w:sz w:val="24"/>
                <w:szCs w:val="24"/>
                <w:rtl/>
              </w:rPr>
              <w:t>המשפט</w:t>
            </w:r>
            <w:r w:rsidR="004579C2" w:rsidRPr="00AD5390">
              <w:rPr>
                <w:sz w:val="24"/>
                <w:szCs w:val="24"/>
                <w:rtl/>
              </w:rPr>
              <w:t xml:space="preserve"> </w:t>
            </w:r>
            <w:r w:rsidR="004579C2" w:rsidRPr="00AD5390">
              <w:rPr>
                <w:rFonts w:hint="eastAsia"/>
                <w:sz w:val="24"/>
                <w:szCs w:val="24"/>
                <w:rtl/>
              </w:rPr>
              <w:t>בעבירות</w:t>
            </w:r>
            <w:r w:rsidR="004579C2" w:rsidRPr="00AD5390">
              <w:rPr>
                <w:sz w:val="24"/>
                <w:szCs w:val="24"/>
                <w:rtl/>
              </w:rPr>
              <w:t xml:space="preserve"> </w:t>
            </w:r>
            <w:r w:rsidR="004579C2" w:rsidRPr="00AD5390">
              <w:rPr>
                <w:rFonts w:hint="eastAsia"/>
                <w:sz w:val="24"/>
                <w:szCs w:val="24"/>
                <w:rtl/>
              </w:rPr>
              <w:t>טרור</w:t>
            </w:r>
          </w:p>
        </w:tc>
        <w:tc>
          <w:tcPr>
            <w:tcW w:w="623" w:type="dxa"/>
            <w:shd w:val="clear" w:color="auto" w:fill="auto"/>
            <w:tcMar>
              <w:top w:w="91" w:type="dxa"/>
              <w:left w:w="0" w:type="dxa"/>
              <w:bottom w:w="91" w:type="dxa"/>
              <w:right w:w="0" w:type="dxa"/>
            </w:tcMar>
          </w:tcPr>
          <w:p w:rsidR="004579C2" w:rsidRPr="00AD5390" w:rsidRDefault="004579C2" w:rsidP="00F20F47">
            <w:pPr>
              <w:pStyle w:val="TableText"/>
              <w:spacing w:line="240" w:lineRule="auto"/>
              <w:rPr>
                <w:sz w:val="24"/>
                <w:szCs w:val="24"/>
                <w:rtl/>
              </w:rPr>
            </w:pPr>
            <w:r w:rsidRPr="00AD5390">
              <w:rPr>
                <w:sz w:val="24"/>
                <w:szCs w:val="24"/>
                <w:rtl/>
              </w:rPr>
              <w:t>47.</w:t>
            </w:r>
            <w:r w:rsidRPr="00AD5390">
              <w:rPr>
                <w:sz w:val="24"/>
                <w:szCs w:val="24"/>
                <w:rtl/>
              </w:rPr>
              <w:tab/>
            </w:r>
          </w:p>
        </w:tc>
        <w:tc>
          <w:tcPr>
            <w:tcW w:w="7146" w:type="dxa"/>
            <w:shd w:val="clear" w:color="auto" w:fill="auto"/>
            <w:tcMar>
              <w:top w:w="91" w:type="dxa"/>
              <w:left w:w="0" w:type="dxa"/>
              <w:bottom w:w="91" w:type="dxa"/>
              <w:right w:w="0" w:type="dxa"/>
            </w:tcMar>
          </w:tcPr>
          <w:p w:rsidR="004579C2" w:rsidRPr="00AD5390" w:rsidRDefault="004579C2" w:rsidP="00F20F47">
            <w:pPr>
              <w:pStyle w:val="TableBlock"/>
              <w:spacing w:line="240" w:lineRule="auto"/>
              <w:rPr>
                <w:sz w:val="24"/>
                <w:szCs w:val="24"/>
                <w:rtl/>
              </w:rPr>
            </w:pPr>
            <w:r w:rsidRPr="00AD5390">
              <w:rPr>
                <w:sz w:val="24"/>
                <w:szCs w:val="24"/>
                <w:rtl/>
              </w:rPr>
              <w:t>(</w:t>
            </w:r>
            <w:r w:rsidRPr="00AD5390">
              <w:rPr>
                <w:rFonts w:hint="eastAsia"/>
                <w:sz w:val="24"/>
                <w:szCs w:val="24"/>
                <w:rtl/>
              </w:rPr>
              <w:t>א</w:t>
            </w:r>
            <w:r w:rsidRPr="00AD5390">
              <w:rPr>
                <w:sz w:val="24"/>
                <w:szCs w:val="24"/>
                <w:rtl/>
              </w:rPr>
              <w:t>)</w:t>
            </w:r>
            <w:r w:rsidRPr="00AD5390">
              <w:rPr>
                <w:sz w:val="24"/>
                <w:szCs w:val="24"/>
                <w:rtl/>
              </w:rPr>
              <w:tab/>
            </w:r>
            <w:r w:rsidRPr="00AD5390">
              <w:rPr>
                <w:rFonts w:hint="eastAsia"/>
                <w:sz w:val="24"/>
                <w:szCs w:val="24"/>
                <w:rtl/>
              </w:rPr>
              <w:t>בלי</w:t>
            </w:r>
            <w:r w:rsidRPr="00AD5390">
              <w:rPr>
                <w:sz w:val="24"/>
                <w:szCs w:val="24"/>
                <w:rtl/>
              </w:rPr>
              <w:t xml:space="preserve"> </w:t>
            </w:r>
            <w:r w:rsidRPr="00AD5390">
              <w:rPr>
                <w:rFonts w:hint="eastAsia"/>
                <w:sz w:val="24"/>
                <w:szCs w:val="24"/>
                <w:rtl/>
              </w:rPr>
              <w:t>לגרוע</w:t>
            </w:r>
            <w:r w:rsidRPr="00AD5390">
              <w:rPr>
                <w:sz w:val="24"/>
                <w:szCs w:val="24"/>
                <w:rtl/>
              </w:rPr>
              <w:t xml:space="preserve"> </w:t>
            </w:r>
            <w:r w:rsidRPr="00AD5390">
              <w:rPr>
                <w:rFonts w:hint="eastAsia"/>
                <w:sz w:val="24"/>
                <w:szCs w:val="24"/>
                <w:rtl/>
              </w:rPr>
              <w:t>מהוראות</w:t>
            </w:r>
            <w:r w:rsidRPr="00AD5390">
              <w:rPr>
                <w:sz w:val="24"/>
                <w:szCs w:val="24"/>
                <w:rtl/>
              </w:rPr>
              <w:t xml:space="preserve"> </w:t>
            </w:r>
            <w:r w:rsidRPr="00AD5390">
              <w:rPr>
                <w:rFonts w:hint="eastAsia"/>
                <w:sz w:val="24"/>
                <w:szCs w:val="24"/>
                <w:rtl/>
              </w:rPr>
              <w:t>סעיף</w:t>
            </w:r>
            <w:r w:rsidRPr="00AD5390">
              <w:rPr>
                <w:sz w:val="24"/>
                <w:szCs w:val="24"/>
                <w:rtl/>
              </w:rPr>
              <w:t xml:space="preserve"> 10</w:t>
            </w:r>
            <w:r w:rsidRPr="00AD5390">
              <w:rPr>
                <w:rFonts w:hint="eastAsia"/>
                <w:sz w:val="24"/>
                <w:szCs w:val="24"/>
                <w:rtl/>
              </w:rPr>
              <w:t>א</w:t>
            </w:r>
            <w:r w:rsidRPr="00AD5390">
              <w:rPr>
                <w:sz w:val="24"/>
                <w:szCs w:val="24"/>
                <w:rtl/>
              </w:rPr>
              <w:t>(</w:t>
            </w:r>
            <w:r w:rsidRPr="00AD5390">
              <w:rPr>
                <w:rFonts w:hint="eastAsia"/>
                <w:sz w:val="24"/>
                <w:szCs w:val="24"/>
                <w:rtl/>
              </w:rPr>
              <w:t>ב</w:t>
            </w:r>
            <w:r w:rsidRPr="00AD5390">
              <w:rPr>
                <w:sz w:val="24"/>
                <w:szCs w:val="24"/>
                <w:rtl/>
              </w:rPr>
              <w:t xml:space="preserve">) </w:t>
            </w:r>
            <w:r w:rsidRPr="00AD5390">
              <w:rPr>
                <w:rFonts w:hint="eastAsia"/>
                <w:sz w:val="24"/>
                <w:szCs w:val="24"/>
                <w:rtl/>
              </w:rPr>
              <w:t>לפקודת</w:t>
            </w:r>
            <w:r w:rsidRPr="00AD5390">
              <w:rPr>
                <w:sz w:val="24"/>
                <w:szCs w:val="24"/>
                <w:rtl/>
              </w:rPr>
              <w:t xml:space="preserve"> </w:t>
            </w:r>
            <w:r w:rsidRPr="00AD5390">
              <w:rPr>
                <w:rFonts w:hint="eastAsia"/>
                <w:sz w:val="24"/>
                <w:szCs w:val="24"/>
                <w:rtl/>
              </w:rPr>
              <w:t>הראיות</w:t>
            </w:r>
            <w:r w:rsidRPr="00AD5390">
              <w:rPr>
                <w:sz w:val="24"/>
                <w:szCs w:val="24"/>
                <w:rtl/>
              </w:rPr>
              <w:t xml:space="preserve">, </w:t>
            </w:r>
            <w:r w:rsidRPr="00AD5390">
              <w:rPr>
                <w:rFonts w:hint="eastAsia"/>
                <w:sz w:val="24"/>
                <w:szCs w:val="24"/>
                <w:rtl/>
              </w:rPr>
              <w:t>רשאי</w:t>
            </w:r>
            <w:r w:rsidRPr="00AD5390">
              <w:rPr>
                <w:sz w:val="24"/>
                <w:szCs w:val="24"/>
                <w:rtl/>
              </w:rPr>
              <w:t xml:space="preserve"> </w:t>
            </w:r>
            <w:r w:rsidRPr="00AD5390">
              <w:rPr>
                <w:rFonts w:hint="eastAsia"/>
                <w:sz w:val="24"/>
                <w:szCs w:val="24"/>
                <w:rtl/>
              </w:rPr>
              <w:t>בית</w:t>
            </w:r>
            <w:r w:rsidRPr="00AD5390">
              <w:rPr>
                <w:sz w:val="24"/>
                <w:szCs w:val="24"/>
                <w:rtl/>
              </w:rPr>
              <w:t xml:space="preserve"> </w:t>
            </w:r>
            <w:r w:rsidRPr="00AD5390">
              <w:rPr>
                <w:rFonts w:hint="eastAsia"/>
                <w:sz w:val="24"/>
                <w:szCs w:val="24"/>
                <w:rtl/>
              </w:rPr>
              <w:t>המשפט</w:t>
            </w:r>
            <w:r w:rsidRPr="00AD5390">
              <w:rPr>
                <w:sz w:val="24"/>
                <w:szCs w:val="24"/>
                <w:rtl/>
              </w:rPr>
              <w:t xml:space="preserve">, </w:t>
            </w:r>
            <w:r w:rsidRPr="00AD5390">
              <w:rPr>
                <w:rFonts w:hint="eastAsia"/>
                <w:sz w:val="24"/>
                <w:szCs w:val="24"/>
                <w:rtl/>
              </w:rPr>
              <w:t>בדונו</w:t>
            </w:r>
            <w:r w:rsidRPr="00AD5390">
              <w:rPr>
                <w:sz w:val="24"/>
                <w:szCs w:val="24"/>
                <w:rtl/>
              </w:rPr>
              <w:t xml:space="preserve"> </w:t>
            </w:r>
            <w:r w:rsidRPr="00AD5390">
              <w:rPr>
                <w:rFonts w:hint="eastAsia"/>
                <w:sz w:val="24"/>
                <w:szCs w:val="24"/>
                <w:rtl/>
              </w:rPr>
              <w:t>בהליך</w:t>
            </w:r>
            <w:r w:rsidRPr="00AD5390">
              <w:rPr>
                <w:sz w:val="24"/>
                <w:szCs w:val="24"/>
                <w:rtl/>
              </w:rPr>
              <w:t xml:space="preserve"> </w:t>
            </w:r>
            <w:r w:rsidRPr="00AD5390">
              <w:rPr>
                <w:rFonts w:hint="eastAsia"/>
                <w:sz w:val="24"/>
                <w:szCs w:val="24"/>
                <w:rtl/>
              </w:rPr>
              <w:t>פלילי</w:t>
            </w:r>
            <w:r w:rsidRPr="00AD5390">
              <w:rPr>
                <w:sz w:val="24"/>
                <w:szCs w:val="24"/>
                <w:rtl/>
              </w:rPr>
              <w:t xml:space="preserve"> </w:t>
            </w:r>
            <w:r w:rsidRPr="00AD5390">
              <w:rPr>
                <w:rFonts w:hint="eastAsia"/>
                <w:sz w:val="24"/>
                <w:szCs w:val="24"/>
                <w:rtl/>
              </w:rPr>
              <w:t>בעבירת</w:t>
            </w:r>
            <w:r w:rsidRPr="00AD5390">
              <w:rPr>
                <w:sz w:val="24"/>
                <w:szCs w:val="24"/>
                <w:rtl/>
              </w:rPr>
              <w:t xml:space="preserve"> </w:t>
            </w:r>
            <w:r w:rsidRPr="00AD5390">
              <w:rPr>
                <w:rFonts w:hint="eastAsia"/>
                <w:sz w:val="24"/>
                <w:szCs w:val="24"/>
                <w:rtl/>
              </w:rPr>
              <w:t>טרור</w:t>
            </w:r>
            <w:r w:rsidRPr="00AD5390">
              <w:rPr>
                <w:sz w:val="24"/>
                <w:szCs w:val="24"/>
                <w:rtl/>
              </w:rPr>
              <w:t xml:space="preserve">, </w:t>
            </w:r>
            <w:r w:rsidRPr="00AD5390">
              <w:rPr>
                <w:rFonts w:hint="eastAsia"/>
                <w:sz w:val="24"/>
                <w:szCs w:val="24"/>
                <w:rtl/>
              </w:rPr>
              <w:t>לקבל</w:t>
            </w:r>
            <w:r w:rsidRPr="00AD5390">
              <w:rPr>
                <w:sz w:val="24"/>
                <w:szCs w:val="24"/>
                <w:rtl/>
              </w:rPr>
              <w:t xml:space="preserve"> </w:t>
            </w:r>
            <w:r w:rsidRPr="00AD5390">
              <w:rPr>
                <w:rFonts w:hint="eastAsia"/>
                <w:sz w:val="24"/>
                <w:szCs w:val="24"/>
                <w:rtl/>
              </w:rPr>
              <w:t>אמרה</w:t>
            </w:r>
            <w:r w:rsidRPr="00AD5390">
              <w:rPr>
                <w:sz w:val="24"/>
                <w:szCs w:val="24"/>
                <w:rtl/>
              </w:rPr>
              <w:t xml:space="preserve"> </w:t>
            </w:r>
            <w:r w:rsidRPr="00AD5390">
              <w:rPr>
                <w:rFonts w:hint="eastAsia"/>
                <w:sz w:val="24"/>
                <w:szCs w:val="24"/>
                <w:rtl/>
              </w:rPr>
              <w:t>כאמור</w:t>
            </w:r>
            <w:r w:rsidRPr="00AD5390">
              <w:rPr>
                <w:sz w:val="24"/>
                <w:szCs w:val="24"/>
                <w:rtl/>
              </w:rPr>
              <w:t xml:space="preserve"> </w:t>
            </w:r>
            <w:r w:rsidRPr="00AD5390">
              <w:rPr>
                <w:rFonts w:hint="eastAsia"/>
                <w:sz w:val="24"/>
                <w:szCs w:val="24"/>
                <w:rtl/>
              </w:rPr>
              <w:t>בסעיף</w:t>
            </w:r>
            <w:r w:rsidRPr="00AD5390">
              <w:rPr>
                <w:sz w:val="24"/>
                <w:szCs w:val="24"/>
                <w:rtl/>
              </w:rPr>
              <w:t xml:space="preserve"> 10</w:t>
            </w:r>
            <w:r w:rsidRPr="00AD5390">
              <w:rPr>
                <w:rFonts w:hint="eastAsia"/>
                <w:sz w:val="24"/>
                <w:szCs w:val="24"/>
                <w:rtl/>
              </w:rPr>
              <w:t>א</w:t>
            </w:r>
            <w:r w:rsidRPr="00AD5390">
              <w:rPr>
                <w:sz w:val="24"/>
                <w:szCs w:val="24"/>
                <w:rtl/>
              </w:rPr>
              <w:t>(</w:t>
            </w:r>
            <w:r w:rsidRPr="00AD5390">
              <w:rPr>
                <w:rFonts w:hint="eastAsia"/>
                <w:sz w:val="24"/>
                <w:szCs w:val="24"/>
                <w:rtl/>
              </w:rPr>
              <w:t>א</w:t>
            </w:r>
            <w:r w:rsidRPr="00AD5390">
              <w:rPr>
                <w:sz w:val="24"/>
                <w:szCs w:val="24"/>
                <w:rtl/>
              </w:rPr>
              <w:t xml:space="preserve">) </w:t>
            </w:r>
            <w:r w:rsidRPr="00AD5390">
              <w:rPr>
                <w:rFonts w:hint="eastAsia"/>
                <w:sz w:val="24"/>
                <w:szCs w:val="24"/>
                <w:rtl/>
              </w:rPr>
              <w:t>לפקודה</w:t>
            </w:r>
            <w:r w:rsidRPr="00AD5390">
              <w:rPr>
                <w:sz w:val="24"/>
                <w:szCs w:val="24"/>
                <w:rtl/>
              </w:rPr>
              <w:t xml:space="preserve"> </w:t>
            </w:r>
            <w:r w:rsidRPr="00AD5390">
              <w:rPr>
                <w:rFonts w:hint="eastAsia"/>
                <w:sz w:val="24"/>
                <w:szCs w:val="24"/>
                <w:rtl/>
              </w:rPr>
              <w:t>האמורה</w:t>
            </w:r>
            <w:r w:rsidRPr="00AD5390">
              <w:rPr>
                <w:sz w:val="24"/>
                <w:szCs w:val="24"/>
                <w:rtl/>
              </w:rPr>
              <w:t xml:space="preserve">, </w:t>
            </w:r>
            <w:r w:rsidRPr="00AD5390">
              <w:rPr>
                <w:rFonts w:hint="eastAsia"/>
                <w:sz w:val="24"/>
                <w:szCs w:val="24"/>
                <w:rtl/>
              </w:rPr>
              <w:t>אף</w:t>
            </w:r>
            <w:r w:rsidRPr="00AD5390">
              <w:rPr>
                <w:sz w:val="24"/>
                <w:szCs w:val="24"/>
                <w:rtl/>
              </w:rPr>
              <w:t xml:space="preserve"> </w:t>
            </w:r>
            <w:r w:rsidRPr="00AD5390">
              <w:rPr>
                <w:rFonts w:hint="eastAsia"/>
                <w:sz w:val="24"/>
                <w:szCs w:val="24"/>
                <w:rtl/>
              </w:rPr>
              <w:t>אם</w:t>
            </w:r>
            <w:r w:rsidRPr="00AD5390">
              <w:rPr>
                <w:sz w:val="24"/>
                <w:szCs w:val="24"/>
                <w:rtl/>
              </w:rPr>
              <w:t xml:space="preserve"> </w:t>
            </w:r>
            <w:r w:rsidRPr="00AD5390">
              <w:rPr>
                <w:rFonts w:hint="eastAsia"/>
                <w:sz w:val="24"/>
                <w:szCs w:val="24"/>
                <w:rtl/>
              </w:rPr>
              <w:t>נותן</w:t>
            </w:r>
            <w:r w:rsidRPr="00AD5390">
              <w:rPr>
                <w:sz w:val="24"/>
                <w:szCs w:val="24"/>
                <w:rtl/>
              </w:rPr>
              <w:t xml:space="preserve"> </w:t>
            </w:r>
            <w:r w:rsidRPr="00AD5390">
              <w:rPr>
                <w:rFonts w:hint="eastAsia"/>
                <w:sz w:val="24"/>
                <w:szCs w:val="24"/>
                <w:rtl/>
              </w:rPr>
              <w:t>האמרה</w:t>
            </w:r>
            <w:r w:rsidRPr="00AD5390">
              <w:rPr>
                <w:sz w:val="24"/>
                <w:szCs w:val="24"/>
                <w:rtl/>
              </w:rPr>
              <w:t xml:space="preserve"> </w:t>
            </w:r>
            <w:r w:rsidRPr="00AD5390">
              <w:rPr>
                <w:rFonts w:hint="eastAsia"/>
                <w:sz w:val="24"/>
                <w:szCs w:val="24"/>
                <w:rtl/>
              </w:rPr>
              <w:t>איננו</w:t>
            </w:r>
            <w:r w:rsidRPr="00AD5390">
              <w:rPr>
                <w:sz w:val="24"/>
                <w:szCs w:val="24"/>
                <w:rtl/>
              </w:rPr>
              <w:t xml:space="preserve"> </w:t>
            </w:r>
            <w:r w:rsidRPr="00AD5390">
              <w:rPr>
                <w:rFonts w:hint="eastAsia"/>
                <w:sz w:val="24"/>
                <w:szCs w:val="24"/>
                <w:rtl/>
              </w:rPr>
              <w:t>עד</w:t>
            </w:r>
            <w:r w:rsidRPr="00AD5390">
              <w:rPr>
                <w:sz w:val="24"/>
                <w:szCs w:val="24"/>
                <w:rtl/>
              </w:rPr>
              <w:t xml:space="preserve">, </w:t>
            </w:r>
            <w:r w:rsidRPr="00AD5390">
              <w:rPr>
                <w:rFonts w:hint="eastAsia"/>
                <w:sz w:val="24"/>
                <w:szCs w:val="24"/>
                <w:rtl/>
              </w:rPr>
              <w:t>אם</w:t>
            </w:r>
            <w:r w:rsidRPr="00AD5390">
              <w:rPr>
                <w:sz w:val="24"/>
                <w:szCs w:val="24"/>
                <w:rtl/>
              </w:rPr>
              <w:t xml:space="preserve"> </w:t>
            </w:r>
            <w:r w:rsidRPr="00AD5390">
              <w:rPr>
                <w:rFonts w:hint="eastAsia"/>
                <w:sz w:val="24"/>
                <w:szCs w:val="24"/>
                <w:rtl/>
              </w:rPr>
              <w:t>שוכנע</w:t>
            </w:r>
            <w:r w:rsidRPr="00AD5390">
              <w:rPr>
                <w:sz w:val="24"/>
                <w:szCs w:val="24"/>
                <w:rtl/>
              </w:rPr>
              <w:t xml:space="preserve"> </w:t>
            </w:r>
            <w:r w:rsidRPr="00AD5390">
              <w:rPr>
                <w:rFonts w:hint="eastAsia"/>
                <w:sz w:val="24"/>
                <w:szCs w:val="24"/>
                <w:rtl/>
              </w:rPr>
              <w:t>בית</w:t>
            </w:r>
            <w:r w:rsidRPr="00AD5390">
              <w:rPr>
                <w:sz w:val="24"/>
                <w:szCs w:val="24"/>
                <w:rtl/>
              </w:rPr>
              <w:t xml:space="preserve"> </w:t>
            </w:r>
            <w:r w:rsidRPr="00AD5390">
              <w:rPr>
                <w:rFonts w:hint="eastAsia"/>
                <w:sz w:val="24"/>
                <w:szCs w:val="24"/>
                <w:rtl/>
              </w:rPr>
              <w:t>המשפט</w:t>
            </w:r>
            <w:r w:rsidRPr="00AD5390">
              <w:rPr>
                <w:sz w:val="24"/>
                <w:szCs w:val="24"/>
                <w:rtl/>
              </w:rPr>
              <w:t xml:space="preserve"> </w:t>
            </w:r>
            <w:r w:rsidRPr="00AD5390">
              <w:rPr>
                <w:rFonts w:hint="eastAsia"/>
                <w:sz w:val="24"/>
                <w:szCs w:val="24"/>
                <w:rtl/>
              </w:rPr>
              <w:t>כי</w:t>
            </w:r>
            <w:r w:rsidRPr="00AD5390">
              <w:rPr>
                <w:sz w:val="24"/>
                <w:szCs w:val="24"/>
                <w:rtl/>
              </w:rPr>
              <w:t xml:space="preserve"> </w:t>
            </w:r>
            <w:r w:rsidRPr="00AD5390">
              <w:rPr>
                <w:rFonts w:hint="eastAsia"/>
                <w:sz w:val="24"/>
                <w:szCs w:val="24"/>
                <w:rtl/>
              </w:rPr>
              <w:t>מנסיבות</w:t>
            </w:r>
            <w:r w:rsidRPr="00AD5390">
              <w:rPr>
                <w:sz w:val="24"/>
                <w:szCs w:val="24"/>
                <w:rtl/>
              </w:rPr>
              <w:t xml:space="preserve"> </w:t>
            </w:r>
            <w:r w:rsidRPr="00AD5390">
              <w:rPr>
                <w:rFonts w:hint="eastAsia"/>
                <w:sz w:val="24"/>
                <w:szCs w:val="24"/>
                <w:rtl/>
              </w:rPr>
              <w:t>העניין</w:t>
            </w:r>
            <w:r w:rsidRPr="00AD5390">
              <w:rPr>
                <w:sz w:val="24"/>
                <w:szCs w:val="24"/>
                <w:rtl/>
              </w:rPr>
              <w:t xml:space="preserve"> </w:t>
            </w:r>
            <w:r w:rsidRPr="00AD5390">
              <w:rPr>
                <w:rFonts w:hint="eastAsia"/>
                <w:sz w:val="24"/>
                <w:szCs w:val="24"/>
                <w:rtl/>
              </w:rPr>
              <w:t>עולה</w:t>
            </w:r>
            <w:r w:rsidRPr="00AD5390">
              <w:rPr>
                <w:sz w:val="24"/>
                <w:szCs w:val="24"/>
                <w:rtl/>
              </w:rPr>
              <w:t xml:space="preserve"> </w:t>
            </w:r>
            <w:r w:rsidRPr="00AD5390">
              <w:rPr>
                <w:rFonts w:hint="eastAsia"/>
                <w:sz w:val="24"/>
                <w:szCs w:val="24"/>
                <w:rtl/>
              </w:rPr>
              <w:t>שלא</w:t>
            </w:r>
            <w:r w:rsidRPr="00AD5390">
              <w:rPr>
                <w:sz w:val="24"/>
                <w:szCs w:val="24"/>
                <w:rtl/>
              </w:rPr>
              <w:t xml:space="preserve"> </w:t>
            </w:r>
            <w:r w:rsidRPr="00AD5390">
              <w:rPr>
                <w:rFonts w:hint="eastAsia"/>
                <w:sz w:val="24"/>
                <w:szCs w:val="24"/>
                <w:rtl/>
              </w:rPr>
              <w:t>ניתן</w:t>
            </w:r>
            <w:r w:rsidRPr="00AD5390">
              <w:rPr>
                <w:sz w:val="24"/>
                <w:szCs w:val="24"/>
                <w:rtl/>
              </w:rPr>
              <w:t xml:space="preserve"> </w:t>
            </w:r>
            <w:r w:rsidRPr="00AD5390">
              <w:rPr>
                <w:rFonts w:hint="eastAsia"/>
                <w:sz w:val="24"/>
                <w:szCs w:val="24"/>
                <w:rtl/>
              </w:rPr>
              <w:t>להביאו</w:t>
            </w:r>
            <w:r w:rsidRPr="00AD5390">
              <w:rPr>
                <w:sz w:val="24"/>
                <w:szCs w:val="24"/>
                <w:rtl/>
              </w:rPr>
              <w:t xml:space="preserve"> </w:t>
            </w:r>
            <w:r w:rsidRPr="00AD5390">
              <w:rPr>
                <w:rFonts w:hint="eastAsia"/>
                <w:sz w:val="24"/>
                <w:szCs w:val="24"/>
                <w:rtl/>
              </w:rPr>
              <w:t>לבית</w:t>
            </w:r>
            <w:r w:rsidRPr="00AD5390">
              <w:rPr>
                <w:sz w:val="24"/>
                <w:szCs w:val="24"/>
                <w:rtl/>
              </w:rPr>
              <w:t xml:space="preserve"> </w:t>
            </w:r>
            <w:r w:rsidRPr="00AD5390">
              <w:rPr>
                <w:rFonts w:hint="eastAsia"/>
                <w:sz w:val="24"/>
                <w:szCs w:val="24"/>
                <w:rtl/>
              </w:rPr>
              <w:t>המשפט</w:t>
            </w:r>
            <w:r w:rsidRPr="00AD5390">
              <w:rPr>
                <w:sz w:val="24"/>
                <w:szCs w:val="24"/>
                <w:rtl/>
              </w:rPr>
              <w:t xml:space="preserve"> </w:t>
            </w:r>
            <w:r w:rsidRPr="00AD5390">
              <w:rPr>
                <w:rFonts w:hint="eastAsia"/>
                <w:sz w:val="24"/>
                <w:szCs w:val="24"/>
                <w:rtl/>
              </w:rPr>
              <w:t>בשל</w:t>
            </w:r>
            <w:r w:rsidRPr="00AD5390">
              <w:rPr>
                <w:sz w:val="24"/>
                <w:szCs w:val="24"/>
                <w:rtl/>
              </w:rPr>
              <w:t xml:space="preserve"> </w:t>
            </w:r>
            <w:r w:rsidRPr="00AD5390">
              <w:rPr>
                <w:rFonts w:hint="eastAsia"/>
                <w:sz w:val="24"/>
                <w:szCs w:val="24"/>
                <w:rtl/>
              </w:rPr>
              <w:t>כך</w:t>
            </w:r>
            <w:r w:rsidRPr="00AD5390">
              <w:rPr>
                <w:sz w:val="24"/>
                <w:szCs w:val="24"/>
                <w:rtl/>
              </w:rPr>
              <w:t xml:space="preserve"> </w:t>
            </w:r>
            <w:r w:rsidRPr="00AD5390">
              <w:rPr>
                <w:rFonts w:hint="eastAsia"/>
                <w:sz w:val="24"/>
                <w:szCs w:val="24"/>
                <w:rtl/>
              </w:rPr>
              <w:t>שהוא</w:t>
            </w:r>
            <w:r w:rsidRPr="00AD5390">
              <w:rPr>
                <w:sz w:val="24"/>
                <w:szCs w:val="24"/>
                <w:rtl/>
              </w:rPr>
              <w:t xml:space="preserve"> </w:t>
            </w:r>
            <w:r w:rsidRPr="00AD5390">
              <w:rPr>
                <w:rFonts w:hint="eastAsia"/>
                <w:sz w:val="24"/>
                <w:szCs w:val="24"/>
                <w:rtl/>
              </w:rPr>
              <w:t>יצא</w:t>
            </w:r>
            <w:r w:rsidRPr="00AD5390">
              <w:rPr>
                <w:sz w:val="24"/>
                <w:szCs w:val="24"/>
                <w:rtl/>
              </w:rPr>
              <w:t xml:space="preserve"> </w:t>
            </w:r>
            <w:r w:rsidRPr="00AD5390">
              <w:rPr>
                <w:rFonts w:hint="eastAsia"/>
                <w:sz w:val="24"/>
                <w:szCs w:val="24"/>
                <w:rtl/>
              </w:rPr>
              <w:t>למדינה</w:t>
            </w:r>
            <w:r w:rsidRPr="00AD5390">
              <w:rPr>
                <w:sz w:val="24"/>
                <w:szCs w:val="24"/>
                <w:rtl/>
              </w:rPr>
              <w:t xml:space="preserve"> </w:t>
            </w:r>
            <w:r w:rsidRPr="00AD5390">
              <w:rPr>
                <w:rFonts w:hint="eastAsia"/>
                <w:sz w:val="24"/>
                <w:szCs w:val="24"/>
                <w:rtl/>
              </w:rPr>
              <w:t>או</w:t>
            </w:r>
            <w:r w:rsidRPr="00AD5390">
              <w:rPr>
                <w:sz w:val="24"/>
                <w:szCs w:val="24"/>
                <w:rtl/>
              </w:rPr>
              <w:t xml:space="preserve"> </w:t>
            </w:r>
            <w:r w:rsidRPr="00AD5390">
              <w:rPr>
                <w:rFonts w:hint="eastAsia"/>
                <w:sz w:val="24"/>
                <w:szCs w:val="24"/>
                <w:rtl/>
              </w:rPr>
              <w:t>לאזור</w:t>
            </w:r>
            <w:r w:rsidRPr="00AD5390">
              <w:rPr>
                <w:sz w:val="24"/>
                <w:szCs w:val="24"/>
                <w:rtl/>
              </w:rPr>
              <w:t xml:space="preserve"> </w:t>
            </w:r>
            <w:r w:rsidRPr="00AD5390">
              <w:rPr>
                <w:rFonts w:hint="eastAsia"/>
                <w:sz w:val="24"/>
                <w:szCs w:val="24"/>
                <w:rtl/>
              </w:rPr>
              <w:t>המנויים</w:t>
            </w:r>
            <w:r w:rsidRPr="00AD5390">
              <w:rPr>
                <w:sz w:val="24"/>
                <w:szCs w:val="24"/>
                <w:rtl/>
              </w:rPr>
              <w:t xml:space="preserve"> </w:t>
            </w:r>
            <w:r w:rsidRPr="00AD5390">
              <w:rPr>
                <w:rFonts w:hint="eastAsia"/>
                <w:sz w:val="24"/>
                <w:szCs w:val="24"/>
                <w:rtl/>
              </w:rPr>
              <w:t>בסעיף</w:t>
            </w:r>
            <w:r w:rsidRPr="00AD5390">
              <w:rPr>
                <w:sz w:val="24"/>
                <w:szCs w:val="24"/>
                <w:rtl/>
              </w:rPr>
              <w:t xml:space="preserve"> 2</w:t>
            </w:r>
            <w:r w:rsidRPr="00AD5390">
              <w:rPr>
                <w:rFonts w:hint="eastAsia"/>
                <w:sz w:val="24"/>
                <w:szCs w:val="24"/>
                <w:rtl/>
              </w:rPr>
              <w:t>א</w:t>
            </w:r>
            <w:r w:rsidRPr="00AD5390">
              <w:rPr>
                <w:sz w:val="24"/>
                <w:szCs w:val="24"/>
                <w:rtl/>
              </w:rPr>
              <w:t xml:space="preserve"> </w:t>
            </w:r>
            <w:r w:rsidRPr="00AD5390">
              <w:rPr>
                <w:rFonts w:hint="eastAsia"/>
                <w:sz w:val="24"/>
                <w:szCs w:val="24"/>
                <w:rtl/>
              </w:rPr>
              <w:t>לחוק</w:t>
            </w:r>
            <w:r w:rsidRPr="00AD5390">
              <w:rPr>
                <w:sz w:val="24"/>
                <w:szCs w:val="24"/>
                <w:rtl/>
              </w:rPr>
              <w:t xml:space="preserve"> </w:t>
            </w:r>
            <w:r w:rsidRPr="00AD5390">
              <w:rPr>
                <w:rFonts w:hint="eastAsia"/>
                <w:sz w:val="24"/>
                <w:szCs w:val="24"/>
                <w:rtl/>
              </w:rPr>
              <w:t>למניעת</w:t>
            </w:r>
            <w:r w:rsidRPr="00AD5390">
              <w:rPr>
                <w:sz w:val="24"/>
                <w:szCs w:val="24"/>
                <w:rtl/>
              </w:rPr>
              <w:t xml:space="preserve"> </w:t>
            </w:r>
            <w:r w:rsidRPr="00AD5390">
              <w:rPr>
                <w:rFonts w:hint="eastAsia"/>
                <w:sz w:val="24"/>
                <w:szCs w:val="24"/>
                <w:rtl/>
              </w:rPr>
              <w:t>הסתננות</w:t>
            </w:r>
            <w:r w:rsidRPr="00AD5390">
              <w:rPr>
                <w:sz w:val="24"/>
                <w:szCs w:val="24"/>
                <w:rtl/>
              </w:rPr>
              <w:t xml:space="preserve"> (</w:t>
            </w:r>
            <w:r w:rsidRPr="00AD5390">
              <w:rPr>
                <w:rFonts w:hint="eastAsia"/>
                <w:sz w:val="24"/>
                <w:szCs w:val="24"/>
                <w:rtl/>
              </w:rPr>
              <w:t>עבירות</w:t>
            </w:r>
            <w:r w:rsidRPr="00AD5390">
              <w:rPr>
                <w:sz w:val="24"/>
                <w:szCs w:val="24"/>
                <w:rtl/>
              </w:rPr>
              <w:t xml:space="preserve"> </w:t>
            </w:r>
            <w:r w:rsidRPr="00AD5390">
              <w:rPr>
                <w:rFonts w:hint="eastAsia"/>
                <w:sz w:val="24"/>
                <w:szCs w:val="24"/>
                <w:rtl/>
              </w:rPr>
              <w:t>ושיפוט</w:t>
            </w:r>
            <w:r w:rsidRPr="00AD5390">
              <w:rPr>
                <w:sz w:val="24"/>
                <w:szCs w:val="24"/>
                <w:rtl/>
              </w:rPr>
              <w:t xml:space="preserve">), </w:t>
            </w:r>
            <w:r w:rsidRPr="00AD5390">
              <w:rPr>
                <w:rFonts w:hint="eastAsia"/>
                <w:sz w:val="24"/>
                <w:szCs w:val="24"/>
                <w:rtl/>
              </w:rPr>
              <w:t>התשי</w:t>
            </w:r>
            <w:r w:rsidRPr="00AD5390">
              <w:rPr>
                <w:sz w:val="24"/>
                <w:szCs w:val="24"/>
                <w:rtl/>
              </w:rPr>
              <w:t>"</w:t>
            </w:r>
            <w:r w:rsidRPr="00AD5390">
              <w:rPr>
                <w:rFonts w:hint="eastAsia"/>
                <w:sz w:val="24"/>
                <w:szCs w:val="24"/>
                <w:rtl/>
              </w:rPr>
              <w:t>ד</w:t>
            </w:r>
            <w:r w:rsidRPr="00AD5390">
              <w:rPr>
                <w:sz w:val="24"/>
                <w:szCs w:val="24"/>
                <w:rtl/>
              </w:rPr>
              <w:t>–1954</w:t>
            </w:r>
            <w:r w:rsidRPr="00AD5390">
              <w:rPr>
                <w:rFonts w:hint="eastAsia"/>
                <w:sz w:val="24"/>
                <w:szCs w:val="24"/>
                <w:rtl/>
              </w:rPr>
              <w:t>‏</w:t>
            </w:r>
            <w:r w:rsidRPr="00AD5390">
              <w:rPr>
                <w:sz w:val="24"/>
                <w:szCs w:val="24"/>
                <w:rtl/>
              </w:rPr>
              <w:t xml:space="preserve">, </w:t>
            </w:r>
            <w:r w:rsidRPr="00AD5390">
              <w:rPr>
                <w:rFonts w:hint="eastAsia"/>
                <w:sz w:val="24"/>
                <w:szCs w:val="24"/>
                <w:rtl/>
              </w:rPr>
              <w:t>לשטחי</w:t>
            </w:r>
            <w:r w:rsidRPr="00AD5390">
              <w:rPr>
                <w:sz w:val="24"/>
                <w:szCs w:val="24"/>
                <w:rtl/>
              </w:rPr>
              <w:t xml:space="preserve"> </w:t>
            </w:r>
            <w:r w:rsidRPr="00AD5390">
              <w:rPr>
                <w:rFonts w:hint="eastAsia"/>
                <w:sz w:val="24"/>
                <w:szCs w:val="24"/>
                <w:rtl/>
              </w:rPr>
              <w:t>המועצה</w:t>
            </w:r>
            <w:r w:rsidRPr="00AD5390">
              <w:rPr>
                <w:sz w:val="24"/>
                <w:szCs w:val="24"/>
                <w:rtl/>
              </w:rPr>
              <w:t xml:space="preserve"> </w:t>
            </w:r>
            <w:r w:rsidRPr="00AD5390">
              <w:rPr>
                <w:rFonts w:hint="eastAsia"/>
                <w:sz w:val="24"/>
                <w:szCs w:val="24"/>
                <w:rtl/>
              </w:rPr>
              <w:t>הפלסטינית</w:t>
            </w:r>
            <w:r w:rsidRPr="00AD5390">
              <w:rPr>
                <w:sz w:val="24"/>
                <w:szCs w:val="24"/>
                <w:rtl/>
              </w:rPr>
              <w:t xml:space="preserve"> </w:t>
            </w:r>
            <w:r w:rsidRPr="00AD5390">
              <w:rPr>
                <w:rFonts w:hint="eastAsia"/>
                <w:sz w:val="24"/>
                <w:szCs w:val="24"/>
                <w:rtl/>
              </w:rPr>
              <w:t>כהגדרתם</w:t>
            </w:r>
            <w:r w:rsidRPr="00AD5390">
              <w:rPr>
                <w:sz w:val="24"/>
                <w:szCs w:val="24"/>
                <w:rtl/>
              </w:rPr>
              <w:t xml:space="preserve"> </w:t>
            </w:r>
            <w:r w:rsidRPr="00AD5390">
              <w:rPr>
                <w:rFonts w:hint="eastAsia"/>
                <w:sz w:val="24"/>
                <w:szCs w:val="24"/>
                <w:rtl/>
              </w:rPr>
              <w:t>בתוספת</w:t>
            </w:r>
            <w:r w:rsidRPr="00AD5390">
              <w:rPr>
                <w:sz w:val="24"/>
                <w:szCs w:val="24"/>
                <w:rtl/>
              </w:rPr>
              <w:t xml:space="preserve"> </w:t>
            </w:r>
            <w:r w:rsidRPr="00AD5390">
              <w:rPr>
                <w:rFonts w:hint="eastAsia"/>
                <w:sz w:val="24"/>
                <w:szCs w:val="24"/>
                <w:rtl/>
              </w:rPr>
              <w:t>לחוק</w:t>
            </w:r>
            <w:r w:rsidRPr="00AD5390">
              <w:rPr>
                <w:sz w:val="24"/>
                <w:szCs w:val="24"/>
                <w:rtl/>
              </w:rPr>
              <w:t xml:space="preserve"> </w:t>
            </w:r>
            <w:r w:rsidRPr="00AD5390">
              <w:rPr>
                <w:rFonts w:hint="eastAsia"/>
                <w:sz w:val="24"/>
                <w:szCs w:val="24"/>
                <w:rtl/>
              </w:rPr>
              <w:t>להארכת</w:t>
            </w:r>
            <w:r w:rsidRPr="00AD5390">
              <w:rPr>
                <w:sz w:val="24"/>
                <w:szCs w:val="24"/>
                <w:rtl/>
              </w:rPr>
              <w:t xml:space="preserve"> </w:t>
            </w:r>
            <w:r w:rsidRPr="00AD5390">
              <w:rPr>
                <w:rFonts w:hint="eastAsia"/>
                <w:sz w:val="24"/>
                <w:szCs w:val="24"/>
                <w:rtl/>
              </w:rPr>
              <w:t>תוקפן</w:t>
            </w:r>
            <w:r w:rsidRPr="00AD5390">
              <w:rPr>
                <w:sz w:val="24"/>
                <w:szCs w:val="24"/>
                <w:rtl/>
              </w:rPr>
              <w:t xml:space="preserve"> </w:t>
            </w:r>
            <w:r w:rsidRPr="00AD5390">
              <w:rPr>
                <w:rFonts w:hint="eastAsia"/>
                <w:sz w:val="24"/>
                <w:szCs w:val="24"/>
                <w:rtl/>
              </w:rPr>
              <w:t>של</w:t>
            </w:r>
            <w:r w:rsidRPr="00AD5390">
              <w:rPr>
                <w:sz w:val="24"/>
                <w:szCs w:val="24"/>
                <w:rtl/>
              </w:rPr>
              <w:t xml:space="preserve"> </w:t>
            </w:r>
            <w:r w:rsidRPr="00AD5390">
              <w:rPr>
                <w:rFonts w:hint="eastAsia"/>
                <w:sz w:val="24"/>
                <w:szCs w:val="24"/>
                <w:rtl/>
              </w:rPr>
              <w:t>תקנות</w:t>
            </w:r>
            <w:r w:rsidRPr="00AD5390">
              <w:rPr>
                <w:sz w:val="24"/>
                <w:szCs w:val="24"/>
                <w:rtl/>
              </w:rPr>
              <w:t xml:space="preserve"> </w:t>
            </w:r>
            <w:r w:rsidRPr="00AD5390">
              <w:rPr>
                <w:rFonts w:hint="eastAsia"/>
                <w:sz w:val="24"/>
                <w:szCs w:val="24"/>
                <w:rtl/>
              </w:rPr>
              <w:t>שעת</w:t>
            </w:r>
            <w:r w:rsidRPr="00AD5390">
              <w:rPr>
                <w:sz w:val="24"/>
                <w:szCs w:val="24"/>
                <w:rtl/>
              </w:rPr>
              <w:t xml:space="preserve"> </w:t>
            </w:r>
            <w:r w:rsidRPr="00AD5390">
              <w:rPr>
                <w:rFonts w:hint="eastAsia"/>
                <w:sz w:val="24"/>
                <w:szCs w:val="24"/>
                <w:rtl/>
              </w:rPr>
              <w:t>חירום</w:t>
            </w:r>
            <w:r w:rsidRPr="00AD5390">
              <w:rPr>
                <w:sz w:val="24"/>
                <w:szCs w:val="24"/>
                <w:rtl/>
              </w:rPr>
              <w:t xml:space="preserve"> (</w:t>
            </w:r>
            <w:r w:rsidRPr="00AD5390">
              <w:rPr>
                <w:rFonts w:hint="eastAsia"/>
                <w:sz w:val="24"/>
                <w:szCs w:val="24"/>
                <w:rtl/>
              </w:rPr>
              <w:t>יהודה</w:t>
            </w:r>
            <w:r w:rsidRPr="00AD5390">
              <w:rPr>
                <w:sz w:val="24"/>
                <w:szCs w:val="24"/>
                <w:rtl/>
              </w:rPr>
              <w:t xml:space="preserve"> </w:t>
            </w:r>
            <w:r w:rsidRPr="00AD5390">
              <w:rPr>
                <w:rFonts w:hint="eastAsia"/>
                <w:sz w:val="24"/>
                <w:szCs w:val="24"/>
                <w:rtl/>
              </w:rPr>
              <w:t>ושומרון</w:t>
            </w:r>
            <w:r w:rsidRPr="00AD5390">
              <w:rPr>
                <w:sz w:val="24"/>
                <w:szCs w:val="24"/>
                <w:rtl/>
              </w:rPr>
              <w:t xml:space="preserve"> – </w:t>
            </w:r>
            <w:r w:rsidRPr="00AD5390">
              <w:rPr>
                <w:rFonts w:hint="eastAsia"/>
                <w:sz w:val="24"/>
                <w:szCs w:val="24"/>
                <w:rtl/>
              </w:rPr>
              <w:t>שיפוט</w:t>
            </w:r>
            <w:r w:rsidRPr="00AD5390">
              <w:rPr>
                <w:sz w:val="24"/>
                <w:szCs w:val="24"/>
                <w:rtl/>
              </w:rPr>
              <w:t xml:space="preserve"> </w:t>
            </w:r>
            <w:r w:rsidRPr="00AD5390">
              <w:rPr>
                <w:rFonts w:hint="eastAsia"/>
                <w:sz w:val="24"/>
                <w:szCs w:val="24"/>
                <w:rtl/>
              </w:rPr>
              <w:t>בעבירות</w:t>
            </w:r>
            <w:r w:rsidRPr="00AD5390">
              <w:rPr>
                <w:sz w:val="24"/>
                <w:szCs w:val="24"/>
                <w:rtl/>
              </w:rPr>
              <w:t xml:space="preserve"> </w:t>
            </w:r>
            <w:r w:rsidRPr="00AD5390">
              <w:rPr>
                <w:rFonts w:hint="eastAsia"/>
                <w:sz w:val="24"/>
                <w:szCs w:val="24"/>
                <w:rtl/>
              </w:rPr>
              <w:t>ועזרה</w:t>
            </w:r>
            <w:r w:rsidRPr="00AD5390">
              <w:rPr>
                <w:sz w:val="24"/>
                <w:szCs w:val="24"/>
                <w:rtl/>
              </w:rPr>
              <w:t xml:space="preserve"> </w:t>
            </w:r>
            <w:r w:rsidRPr="00AD5390">
              <w:rPr>
                <w:rFonts w:hint="eastAsia"/>
                <w:sz w:val="24"/>
                <w:szCs w:val="24"/>
                <w:rtl/>
              </w:rPr>
              <w:t>משפטית</w:t>
            </w:r>
            <w:r w:rsidRPr="00AD5390">
              <w:rPr>
                <w:sz w:val="24"/>
                <w:szCs w:val="24"/>
                <w:rtl/>
              </w:rPr>
              <w:t xml:space="preserve">), </w:t>
            </w:r>
            <w:r w:rsidRPr="00AD5390">
              <w:rPr>
                <w:rFonts w:hint="eastAsia"/>
                <w:sz w:val="24"/>
                <w:szCs w:val="24"/>
                <w:rtl/>
              </w:rPr>
              <w:t>התשכ</w:t>
            </w:r>
            <w:r w:rsidRPr="00AD5390">
              <w:rPr>
                <w:sz w:val="24"/>
                <w:szCs w:val="24"/>
                <w:rtl/>
              </w:rPr>
              <w:t>"</w:t>
            </w:r>
            <w:r w:rsidRPr="00AD5390">
              <w:rPr>
                <w:rFonts w:hint="eastAsia"/>
                <w:sz w:val="24"/>
                <w:szCs w:val="24"/>
                <w:rtl/>
              </w:rPr>
              <w:t>ח</w:t>
            </w:r>
            <w:r w:rsidRPr="00AD5390">
              <w:rPr>
                <w:sz w:val="24"/>
                <w:szCs w:val="24"/>
                <w:rtl/>
              </w:rPr>
              <w:t xml:space="preserve">–1967, </w:t>
            </w:r>
            <w:r w:rsidRPr="00AD5390">
              <w:rPr>
                <w:rFonts w:hint="eastAsia"/>
                <w:sz w:val="24"/>
                <w:szCs w:val="24"/>
                <w:rtl/>
              </w:rPr>
              <w:t>לאזור</w:t>
            </w:r>
            <w:r w:rsidRPr="00AD5390">
              <w:rPr>
                <w:sz w:val="24"/>
                <w:szCs w:val="24"/>
                <w:rtl/>
              </w:rPr>
              <w:t xml:space="preserve"> </w:t>
            </w:r>
            <w:r w:rsidRPr="00AD5390">
              <w:rPr>
                <w:rFonts w:hint="eastAsia"/>
                <w:sz w:val="24"/>
                <w:szCs w:val="24"/>
                <w:rtl/>
              </w:rPr>
              <w:t>חבל</w:t>
            </w:r>
            <w:r w:rsidRPr="00AD5390">
              <w:rPr>
                <w:sz w:val="24"/>
                <w:szCs w:val="24"/>
                <w:rtl/>
              </w:rPr>
              <w:t xml:space="preserve"> </w:t>
            </w:r>
            <w:r w:rsidRPr="00AD5390">
              <w:rPr>
                <w:rFonts w:hint="eastAsia"/>
                <w:sz w:val="24"/>
                <w:szCs w:val="24"/>
                <w:rtl/>
              </w:rPr>
              <w:t>עזה</w:t>
            </w:r>
            <w:r w:rsidRPr="00AD5390">
              <w:rPr>
                <w:sz w:val="24"/>
                <w:szCs w:val="24"/>
                <w:rtl/>
              </w:rPr>
              <w:t xml:space="preserve"> </w:t>
            </w:r>
            <w:r w:rsidRPr="00AD5390">
              <w:rPr>
                <w:rFonts w:hint="eastAsia"/>
                <w:sz w:val="24"/>
                <w:szCs w:val="24"/>
                <w:rtl/>
              </w:rPr>
              <w:t>או</w:t>
            </w:r>
            <w:r w:rsidRPr="00AD5390">
              <w:rPr>
                <w:sz w:val="24"/>
                <w:szCs w:val="24"/>
                <w:rtl/>
              </w:rPr>
              <w:t xml:space="preserve"> </w:t>
            </w:r>
            <w:r w:rsidRPr="00AD5390">
              <w:rPr>
                <w:rFonts w:hint="eastAsia"/>
                <w:sz w:val="24"/>
                <w:szCs w:val="24"/>
                <w:rtl/>
              </w:rPr>
              <w:t>למדינה</w:t>
            </w:r>
            <w:r w:rsidRPr="00AD5390">
              <w:rPr>
                <w:sz w:val="24"/>
                <w:szCs w:val="24"/>
                <w:rtl/>
              </w:rPr>
              <w:t xml:space="preserve"> </w:t>
            </w:r>
            <w:r w:rsidRPr="00AD5390">
              <w:rPr>
                <w:rFonts w:hint="eastAsia"/>
                <w:sz w:val="24"/>
                <w:szCs w:val="24"/>
                <w:rtl/>
              </w:rPr>
              <w:t>או</w:t>
            </w:r>
            <w:r w:rsidRPr="00AD5390">
              <w:rPr>
                <w:sz w:val="24"/>
                <w:szCs w:val="24"/>
                <w:rtl/>
              </w:rPr>
              <w:t xml:space="preserve"> </w:t>
            </w:r>
            <w:r w:rsidRPr="00AD5390">
              <w:rPr>
                <w:rFonts w:hint="eastAsia"/>
                <w:sz w:val="24"/>
                <w:szCs w:val="24"/>
                <w:rtl/>
              </w:rPr>
              <w:t>לאזור</w:t>
            </w:r>
            <w:r w:rsidRPr="00AD5390">
              <w:rPr>
                <w:sz w:val="24"/>
                <w:szCs w:val="24"/>
                <w:rtl/>
              </w:rPr>
              <w:t xml:space="preserve"> </w:t>
            </w:r>
            <w:r w:rsidRPr="00AD5390">
              <w:rPr>
                <w:rFonts w:hint="eastAsia"/>
                <w:sz w:val="24"/>
                <w:szCs w:val="24"/>
                <w:rtl/>
              </w:rPr>
              <w:t>אחרים</w:t>
            </w:r>
            <w:r w:rsidRPr="00AD5390">
              <w:rPr>
                <w:sz w:val="24"/>
                <w:szCs w:val="24"/>
                <w:rtl/>
              </w:rPr>
              <w:t xml:space="preserve"> </w:t>
            </w:r>
            <w:r w:rsidRPr="00AD5390">
              <w:rPr>
                <w:rFonts w:hint="eastAsia"/>
                <w:sz w:val="24"/>
                <w:szCs w:val="24"/>
                <w:rtl/>
              </w:rPr>
              <w:t>המנויים</w:t>
            </w:r>
            <w:r w:rsidRPr="00AD5390">
              <w:rPr>
                <w:sz w:val="24"/>
                <w:szCs w:val="24"/>
                <w:rtl/>
              </w:rPr>
              <w:t xml:space="preserve"> </w:t>
            </w:r>
            <w:r w:rsidRPr="00AD5390">
              <w:rPr>
                <w:rFonts w:hint="eastAsia"/>
                <w:sz w:val="24"/>
                <w:szCs w:val="24"/>
                <w:rtl/>
              </w:rPr>
              <w:t>בתוספת</w:t>
            </w:r>
            <w:r w:rsidRPr="00AD5390">
              <w:rPr>
                <w:sz w:val="24"/>
                <w:szCs w:val="24"/>
                <w:rtl/>
              </w:rPr>
              <w:t xml:space="preserve">, </w:t>
            </w:r>
            <w:r w:rsidRPr="00AD5390">
              <w:rPr>
                <w:rFonts w:hint="eastAsia"/>
                <w:sz w:val="24"/>
                <w:szCs w:val="24"/>
                <w:rtl/>
              </w:rPr>
              <w:t>או</w:t>
            </w:r>
            <w:r w:rsidRPr="00AD5390">
              <w:rPr>
                <w:sz w:val="24"/>
                <w:szCs w:val="24"/>
                <w:rtl/>
              </w:rPr>
              <w:t xml:space="preserve"> </w:t>
            </w:r>
            <w:r w:rsidRPr="00AD5390">
              <w:rPr>
                <w:rFonts w:hint="eastAsia"/>
                <w:sz w:val="24"/>
                <w:szCs w:val="24"/>
                <w:rtl/>
              </w:rPr>
              <w:t>שהוא</w:t>
            </w:r>
            <w:r w:rsidRPr="00AD5390">
              <w:rPr>
                <w:sz w:val="24"/>
                <w:szCs w:val="24"/>
                <w:rtl/>
              </w:rPr>
              <w:t xml:space="preserve"> </w:t>
            </w:r>
            <w:r w:rsidRPr="00AD5390">
              <w:rPr>
                <w:rFonts w:hint="eastAsia"/>
                <w:sz w:val="24"/>
                <w:szCs w:val="24"/>
                <w:rtl/>
              </w:rPr>
              <w:t>שוהה</w:t>
            </w:r>
            <w:r w:rsidRPr="00AD5390">
              <w:rPr>
                <w:sz w:val="24"/>
                <w:szCs w:val="24"/>
                <w:rtl/>
              </w:rPr>
              <w:t xml:space="preserve"> </w:t>
            </w:r>
            <w:r w:rsidRPr="00AD5390">
              <w:rPr>
                <w:rFonts w:hint="eastAsia"/>
                <w:sz w:val="24"/>
                <w:szCs w:val="24"/>
                <w:rtl/>
              </w:rPr>
              <w:t>במקום</w:t>
            </w:r>
            <w:r w:rsidRPr="00AD5390">
              <w:rPr>
                <w:sz w:val="24"/>
                <w:szCs w:val="24"/>
                <w:rtl/>
              </w:rPr>
              <w:t xml:space="preserve"> </w:t>
            </w:r>
            <w:r w:rsidRPr="00AD5390">
              <w:rPr>
                <w:rFonts w:hint="eastAsia"/>
                <w:sz w:val="24"/>
                <w:szCs w:val="24"/>
                <w:rtl/>
              </w:rPr>
              <w:t>כאמור</w:t>
            </w:r>
            <w:r w:rsidRPr="00AD5390">
              <w:rPr>
                <w:sz w:val="24"/>
                <w:szCs w:val="24"/>
                <w:rtl/>
              </w:rPr>
              <w:t xml:space="preserve">; </w:t>
            </w:r>
            <w:r w:rsidRPr="00AD5390">
              <w:rPr>
                <w:rFonts w:hint="eastAsia"/>
                <w:sz w:val="24"/>
                <w:szCs w:val="24"/>
                <w:rtl/>
              </w:rPr>
              <w:t>על</w:t>
            </w:r>
            <w:r w:rsidRPr="00AD5390">
              <w:rPr>
                <w:sz w:val="24"/>
                <w:szCs w:val="24"/>
                <w:rtl/>
              </w:rPr>
              <w:t xml:space="preserve"> </w:t>
            </w:r>
            <w:r w:rsidRPr="00AD5390">
              <w:rPr>
                <w:rFonts w:hint="eastAsia"/>
                <w:sz w:val="24"/>
                <w:szCs w:val="24"/>
                <w:rtl/>
              </w:rPr>
              <w:t>אמרה</w:t>
            </w:r>
            <w:r w:rsidRPr="00AD5390">
              <w:rPr>
                <w:sz w:val="24"/>
                <w:szCs w:val="24"/>
                <w:rtl/>
              </w:rPr>
              <w:t xml:space="preserve"> </w:t>
            </w:r>
            <w:r w:rsidRPr="00AD5390">
              <w:rPr>
                <w:rFonts w:hint="eastAsia"/>
                <w:sz w:val="24"/>
                <w:szCs w:val="24"/>
                <w:rtl/>
              </w:rPr>
              <w:t>שהתקבלה</w:t>
            </w:r>
            <w:r w:rsidRPr="00AD5390">
              <w:rPr>
                <w:sz w:val="24"/>
                <w:szCs w:val="24"/>
                <w:rtl/>
              </w:rPr>
              <w:t xml:space="preserve"> </w:t>
            </w:r>
            <w:r w:rsidRPr="00AD5390">
              <w:rPr>
                <w:rFonts w:hint="eastAsia"/>
                <w:sz w:val="24"/>
                <w:szCs w:val="24"/>
                <w:rtl/>
              </w:rPr>
              <w:t>לפי</w:t>
            </w:r>
            <w:r w:rsidRPr="00AD5390">
              <w:rPr>
                <w:sz w:val="24"/>
                <w:szCs w:val="24"/>
                <w:rtl/>
              </w:rPr>
              <w:t xml:space="preserve"> </w:t>
            </w:r>
            <w:r w:rsidRPr="00AD5390">
              <w:rPr>
                <w:rFonts w:hint="eastAsia"/>
                <w:sz w:val="24"/>
                <w:szCs w:val="24"/>
                <w:rtl/>
              </w:rPr>
              <w:t>סעיף</w:t>
            </w:r>
            <w:r w:rsidRPr="00AD5390">
              <w:rPr>
                <w:sz w:val="24"/>
                <w:szCs w:val="24"/>
                <w:rtl/>
              </w:rPr>
              <w:t xml:space="preserve"> </w:t>
            </w:r>
            <w:r w:rsidRPr="00AD5390">
              <w:rPr>
                <w:rFonts w:hint="eastAsia"/>
                <w:sz w:val="24"/>
                <w:szCs w:val="24"/>
                <w:rtl/>
              </w:rPr>
              <w:t>קטן</w:t>
            </w:r>
            <w:r w:rsidRPr="00AD5390">
              <w:rPr>
                <w:sz w:val="24"/>
                <w:szCs w:val="24"/>
                <w:rtl/>
              </w:rPr>
              <w:t xml:space="preserve"> </w:t>
            </w:r>
            <w:r w:rsidRPr="00AD5390">
              <w:rPr>
                <w:rFonts w:hint="eastAsia"/>
                <w:sz w:val="24"/>
                <w:szCs w:val="24"/>
                <w:rtl/>
              </w:rPr>
              <w:t>זה</w:t>
            </w:r>
            <w:r w:rsidRPr="00AD5390">
              <w:rPr>
                <w:sz w:val="24"/>
                <w:szCs w:val="24"/>
                <w:rtl/>
              </w:rPr>
              <w:t xml:space="preserve"> </w:t>
            </w:r>
            <w:r w:rsidRPr="00AD5390">
              <w:rPr>
                <w:rFonts w:hint="eastAsia"/>
                <w:sz w:val="24"/>
                <w:szCs w:val="24"/>
                <w:rtl/>
              </w:rPr>
              <w:t>יחולו</w:t>
            </w:r>
            <w:r w:rsidRPr="00AD5390">
              <w:rPr>
                <w:sz w:val="24"/>
                <w:szCs w:val="24"/>
                <w:rtl/>
              </w:rPr>
              <w:t xml:space="preserve"> </w:t>
            </w:r>
            <w:r w:rsidRPr="00AD5390">
              <w:rPr>
                <w:rFonts w:hint="eastAsia"/>
                <w:sz w:val="24"/>
                <w:szCs w:val="24"/>
                <w:rtl/>
              </w:rPr>
              <w:t>הוראות</w:t>
            </w:r>
            <w:r w:rsidRPr="00AD5390">
              <w:rPr>
                <w:sz w:val="24"/>
                <w:szCs w:val="24"/>
                <w:rtl/>
              </w:rPr>
              <w:t xml:space="preserve"> </w:t>
            </w:r>
            <w:r w:rsidRPr="00AD5390">
              <w:rPr>
                <w:rFonts w:hint="eastAsia"/>
                <w:sz w:val="24"/>
                <w:szCs w:val="24"/>
                <w:rtl/>
              </w:rPr>
              <w:t>סעיף</w:t>
            </w:r>
            <w:r w:rsidRPr="00AD5390">
              <w:rPr>
                <w:sz w:val="24"/>
                <w:szCs w:val="24"/>
                <w:rtl/>
              </w:rPr>
              <w:t xml:space="preserve"> 10</w:t>
            </w:r>
            <w:r w:rsidRPr="00AD5390">
              <w:rPr>
                <w:rFonts w:hint="eastAsia"/>
                <w:sz w:val="24"/>
                <w:szCs w:val="24"/>
                <w:rtl/>
              </w:rPr>
              <w:t>א</w:t>
            </w:r>
            <w:r w:rsidRPr="00AD5390">
              <w:rPr>
                <w:sz w:val="24"/>
                <w:szCs w:val="24"/>
                <w:rtl/>
              </w:rPr>
              <w:t>(</w:t>
            </w:r>
            <w:r w:rsidRPr="00AD5390">
              <w:rPr>
                <w:rFonts w:hint="eastAsia"/>
                <w:sz w:val="24"/>
                <w:szCs w:val="24"/>
                <w:rtl/>
              </w:rPr>
              <w:t>ג</w:t>
            </w:r>
            <w:r w:rsidRPr="00AD5390">
              <w:rPr>
                <w:sz w:val="24"/>
                <w:szCs w:val="24"/>
                <w:rtl/>
              </w:rPr>
              <w:t xml:space="preserve">) </w:t>
            </w:r>
            <w:r w:rsidRPr="00AD5390">
              <w:rPr>
                <w:rFonts w:hint="eastAsia"/>
                <w:sz w:val="24"/>
                <w:szCs w:val="24"/>
                <w:rtl/>
              </w:rPr>
              <w:t>לפקודת</w:t>
            </w:r>
            <w:r w:rsidRPr="00AD5390">
              <w:rPr>
                <w:sz w:val="24"/>
                <w:szCs w:val="24"/>
                <w:rtl/>
              </w:rPr>
              <w:t xml:space="preserve"> </w:t>
            </w:r>
            <w:r w:rsidRPr="00AD5390">
              <w:rPr>
                <w:rFonts w:hint="eastAsia"/>
                <w:sz w:val="24"/>
                <w:szCs w:val="24"/>
                <w:rtl/>
              </w:rPr>
              <w:t>הראיות</w:t>
            </w:r>
            <w:r w:rsidRPr="00AD5390">
              <w:rPr>
                <w:sz w:val="24"/>
                <w:szCs w:val="24"/>
                <w:rtl/>
              </w:rPr>
              <w:t>.</w:t>
            </w:r>
          </w:p>
        </w:tc>
      </w:tr>
      <w:tr w:rsidR="004579C2" w:rsidRPr="00AD5390" w:rsidTr="00843769">
        <w:trPr>
          <w:cantSplit/>
        </w:trPr>
        <w:tc>
          <w:tcPr>
            <w:tcW w:w="1869" w:type="dxa"/>
            <w:shd w:val="clear" w:color="auto" w:fill="auto"/>
            <w:tcMar>
              <w:top w:w="91" w:type="dxa"/>
              <w:left w:w="0" w:type="dxa"/>
              <w:bottom w:w="91" w:type="dxa"/>
              <w:right w:w="0" w:type="dxa"/>
            </w:tcMar>
          </w:tcPr>
          <w:p w:rsidR="004579C2" w:rsidRPr="00AD5390" w:rsidRDefault="004579C2" w:rsidP="00F20F47">
            <w:pPr>
              <w:pStyle w:val="TableSideHeading"/>
              <w:spacing w:line="240" w:lineRule="auto"/>
              <w:rPr>
                <w:sz w:val="24"/>
                <w:szCs w:val="24"/>
                <w:rtl/>
              </w:rPr>
            </w:pPr>
          </w:p>
        </w:tc>
        <w:tc>
          <w:tcPr>
            <w:tcW w:w="623" w:type="dxa"/>
            <w:shd w:val="clear" w:color="auto" w:fill="auto"/>
            <w:tcMar>
              <w:top w:w="91" w:type="dxa"/>
              <w:left w:w="0" w:type="dxa"/>
              <w:bottom w:w="91" w:type="dxa"/>
              <w:right w:w="0" w:type="dxa"/>
            </w:tcMar>
          </w:tcPr>
          <w:p w:rsidR="004579C2" w:rsidRPr="00AD5390" w:rsidRDefault="004579C2" w:rsidP="00F20F47">
            <w:pPr>
              <w:pStyle w:val="TableText"/>
              <w:spacing w:line="240" w:lineRule="auto"/>
              <w:rPr>
                <w:sz w:val="24"/>
                <w:szCs w:val="24"/>
                <w:rtl/>
              </w:rPr>
            </w:pPr>
          </w:p>
        </w:tc>
        <w:tc>
          <w:tcPr>
            <w:tcW w:w="7146" w:type="dxa"/>
            <w:shd w:val="clear" w:color="auto" w:fill="auto"/>
            <w:tcMar>
              <w:top w:w="91" w:type="dxa"/>
              <w:left w:w="0" w:type="dxa"/>
              <w:bottom w:w="91" w:type="dxa"/>
              <w:right w:w="0" w:type="dxa"/>
            </w:tcMar>
          </w:tcPr>
          <w:p w:rsidR="004579C2" w:rsidRPr="00AD5390" w:rsidRDefault="004579C2" w:rsidP="00F20F47">
            <w:pPr>
              <w:pStyle w:val="TableBlock"/>
              <w:spacing w:line="240" w:lineRule="auto"/>
              <w:rPr>
                <w:sz w:val="24"/>
                <w:szCs w:val="24"/>
                <w:rtl/>
              </w:rPr>
            </w:pPr>
            <w:r w:rsidRPr="00AD5390">
              <w:rPr>
                <w:sz w:val="24"/>
                <w:szCs w:val="24"/>
                <w:rtl/>
              </w:rPr>
              <w:t>(</w:t>
            </w:r>
            <w:r w:rsidRPr="00AD5390">
              <w:rPr>
                <w:rFonts w:hint="eastAsia"/>
                <w:sz w:val="24"/>
                <w:szCs w:val="24"/>
                <w:rtl/>
              </w:rPr>
              <w:t>ב</w:t>
            </w:r>
            <w:r w:rsidRPr="00AD5390">
              <w:rPr>
                <w:sz w:val="24"/>
                <w:szCs w:val="24"/>
                <w:rtl/>
              </w:rPr>
              <w:t>)</w:t>
            </w:r>
            <w:r w:rsidRPr="00AD5390">
              <w:rPr>
                <w:sz w:val="24"/>
                <w:szCs w:val="24"/>
                <w:rtl/>
              </w:rPr>
              <w:tab/>
            </w:r>
            <w:r w:rsidRPr="00AD5390">
              <w:rPr>
                <w:rFonts w:hint="eastAsia"/>
                <w:sz w:val="24"/>
                <w:szCs w:val="24"/>
                <w:rtl/>
              </w:rPr>
              <w:t>אין</w:t>
            </w:r>
            <w:r w:rsidRPr="00AD5390">
              <w:rPr>
                <w:sz w:val="24"/>
                <w:szCs w:val="24"/>
                <w:rtl/>
              </w:rPr>
              <w:t xml:space="preserve"> </w:t>
            </w:r>
            <w:r w:rsidRPr="00AD5390">
              <w:rPr>
                <w:rFonts w:hint="eastAsia"/>
                <w:sz w:val="24"/>
                <w:szCs w:val="24"/>
                <w:rtl/>
              </w:rPr>
              <w:t>באמור</w:t>
            </w:r>
            <w:r w:rsidRPr="00AD5390">
              <w:rPr>
                <w:sz w:val="24"/>
                <w:szCs w:val="24"/>
                <w:rtl/>
              </w:rPr>
              <w:t xml:space="preserve"> </w:t>
            </w:r>
            <w:r w:rsidRPr="00AD5390">
              <w:rPr>
                <w:rFonts w:hint="eastAsia"/>
                <w:sz w:val="24"/>
                <w:szCs w:val="24"/>
                <w:rtl/>
              </w:rPr>
              <w:t>בסעיף</w:t>
            </w:r>
            <w:r w:rsidRPr="00AD5390">
              <w:rPr>
                <w:sz w:val="24"/>
                <w:szCs w:val="24"/>
                <w:rtl/>
              </w:rPr>
              <w:t xml:space="preserve"> </w:t>
            </w:r>
            <w:r w:rsidRPr="00AD5390">
              <w:rPr>
                <w:rFonts w:hint="eastAsia"/>
                <w:sz w:val="24"/>
                <w:szCs w:val="24"/>
                <w:rtl/>
              </w:rPr>
              <w:t>זה</w:t>
            </w:r>
            <w:r w:rsidRPr="00AD5390">
              <w:rPr>
                <w:sz w:val="24"/>
                <w:szCs w:val="24"/>
                <w:rtl/>
              </w:rPr>
              <w:t xml:space="preserve"> </w:t>
            </w:r>
            <w:r w:rsidRPr="00AD5390">
              <w:rPr>
                <w:rFonts w:hint="eastAsia"/>
                <w:sz w:val="24"/>
                <w:szCs w:val="24"/>
                <w:rtl/>
              </w:rPr>
              <w:t>כדי</w:t>
            </w:r>
            <w:r w:rsidRPr="00AD5390">
              <w:rPr>
                <w:sz w:val="24"/>
                <w:szCs w:val="24"/>
                <w:rtl/>
              </w:rPr>
              <w:t xml:space="preserve"> </w:t>
            </w:r>
            <w:r w:rsidRPr="00AD5390">
              <w:rPr>
                <w:rFonts w:hint="eastAsia"/>
                <w:sz w:val="24"/>
                <w:szCs w:val="24"/>
                <w:rtl/>
              </w:rPr>
              <w:t>להכשיר</w:t>
            </w:r>
            <w:r w:rsidRPr="00AD5390">
              <w:rPr>
                <w:sz w:val="24"/>
                <w:szCs w:val="24"/>
                <w:rtl/>
              </w:rPr>
              <w:t xml:space="preserve"> </w:t>
            </w:r>
            <w:r w:rsidRPr="00AD5390">
              <w:rPr>
                <w:rFonts w:hint="eastAsia"/>
                <w:sz w:val="24"/>
                <w:szCs w:val="24"/>
                <w:rtl/>
              </w:rPr>
              <w:t>ראיה</w:t>
            </w:r>
            <w:r w:rsidRPr="00AD5390">
              <w:rPr>
                <w:sz w:val="24"/>
                <w:szCs w:val="24"/>
                <w:rtl/>
              </w:rPr>
              <w:t xml:space="preserve"> </w:t>
            </w:r>
            <w:r w:rsidRPr="00AD5390">
              <w:rPr>
                <w:rFonts w:hint="eastAsia"/>
                <w:sz w:val="24"/>
                <w:szCs w:val="24"/>
                <w:rtl/>
              </w:rPr>
              <w:t>שאינה</w:t>
            </w:r>
            <w:r w:rsidRPr="00AD5390">
              <w:rPr>
                <w:sz w:val="24"/>
                <w:szCs w:val="24"/>
                <w:rtl/>
              </w:rPr>
              <w:t xml:space="preserve"> </w:t>
            </w:r>
            <w:r w:rsidRPr="00AD5390">
              <w:rPr>
                <w:rFonts w:hint="eastAsia"/>
                <w:sz w:val="24"/>
                <w:szCs w:val="24"/>
                <w:rtl/>
              </w:rPr>
              <w:t>קבילה</w:t>
            </w:r>
            <w:r w:rsidRPr="00AD5390">
              <w:rPr>
                <w:sz w:val="24"/>
                <w:szCs w:val="24"/>
                <w:rtl/>
              </w:rPr>
              <w:t xml:space="preserve"> </w:t>
            </w:r>
            <w:r w:rsidRPr="00AD5390">
              <w:rPr>
                <w:rFonts w:hint="eastAsia"/>
                <w:sz w:val="24"/>
                <w:szCs w:val="24"/>
                <w:rtl/>
              </w:rPr>
              <w:t>מסיבה</w:t>
            </w:r>
            <w:r w:rsidRPr="00AD5390">
              <w:rPr>
                <w:sz w:val="24"/>
                <w:szCs w:val="24"/>
                <w:rtl/>
              </w:rPr>
              <w:t xml:space="preserve"> </w:t>
            </w:r>
            <w:r w:rsidRPr="00AD5390">
              <w:rPr>
                <w:rFonts w:hint="eastAsia"/>
                <w:sz w:val="24"/>
                <w:szCs w:val="24"/>
                <w:rtl/>
              </w:rPr>
              <w:t>אחרת</w:t>
            </w:r>
            <w:r w:rsidRPr="00AD5390">
              <w:rPr>
                <w:sz w:val="24"/>
                <w:szCs w:val="24"/>
                <w:rtl/>
              </w:rPr>
              <w:t xml:space="preserve"> </w:t>
            </w:r>
            <w:r w:rsidRPr="00AD5390">
              <w:rPr>
                <w:rFonts w:hint="eastAsia"/>
                <w:sz w:val="24"/>
                <w:szCs w:val="24"/>
                <w:rtl/>
              </w:rPr>
              <w:t>שבדין</w:t>
            </w:r>
            <w:r w:rsidRPr="00AD5390">
              <w:rPr>
                <w:sz w:val="24"/>
                <w:szCs w:val="24"/>
                <w:rtl/>
              </w:rPr>
              <w:t>.</w:t>
            </w:r>
          </w:p>
        </w:tc>
      </w:tr>
      <w:tr w:rsidR="004579C2" w:rsidRPr="00AD5390" w:rsidTr="00843769">
        <w:trPr>
          <w:cantSplit/>
        </w:trPr>
        <w:tc>
          <w:tcPr>
            <w:tcW w:w="1869" w:type="dxa"/>
            <w:shd w:val="clear" w:color="auto" w:fill="auto"/>
            <w:tcMar>
              <w:top w:w="91" w:type="dxa"/>
              <w:left w:w="0" w:type="dxa"/>
              <w:bottom w:w="91" w:type="dxa"/>
              <w:right w:w="0" w:type="dxa"/>
            </w:tcMar>
          </w:tcPr>
          <w:p w:rsidR="004579C2" w:rsidRPr="00AD5390" w:rsidRDefault="004579C2" w:rsidP="00F20F47">
            <w:pPr>
              <w:pStyle w:val="TableSideHeading"/>
              <w:spacing w:line="240" w:lineRule="auto"/>
              <w:rPr>
                <w:sz w:val="24"/>
                <w:szCs w:val="24"/>
                <w:rtl/>
              </w:rPr>
            </w:pPr>
          </w:p>
        </w:tc>
        <w:tc>
          <w:tcPr>
            <w:tcW w:w="623" w:type="dxa"/>
            <w:shd w:val="clear" w:color="auto" w:fill="auto"/>
            <w:tcMar>
              <w:top w:w="91" w:type="dxa"/>
              <w:left w:w="0" w:type="dxa"/>
              <w:bottom w:w="91" w:type="dxa"/>
              <w:right w:w="0" w:type="dxa"/>
            </w:tcMar>
          </w:tcPr>
          <w:p w:rsidR="004579C2" w:rsidRPr="00AD5390" w:rsidRDefault="004579C2" w:rsidP="00F20F47">
            <w:pPr>
              <w:pStyle w:val="TableText"/>
              <w:spacing w:line="240" w:lineRule="auto"/>
              <w:rPr>
                <w:sz w:val="24"/>
                <w:szCs w:val="24"/>
                <w:rtl/>
              </w:rPr>
            </w:pPr>
          </w:p>
        </w:tc>
        <w:tc>
          <w:tcPr>
            <w:tcW w:w="7146" w:type="dxa"/>
            <w:shd w:val="clear" w:color="auto" w:fill="auto"/>
            <w:tcMar>
              <w:top w:w="91" w:type="dxa"/>
              <w:left w:w="0" w:type="dxa"/>
              <w:bottom w:w="91" w:type="dxa"/>
              <w:right w:w="0" w:type="dxa"/>
            </w:tcMar>
          </w:tcPr>
          <w:p w:rsidR="004579C2" w:rsidRPr="00AD5390" w:rsidRDefault="004579C2" w:rsidP="00F20F47">
            <w:pPr>
              <w:pStyle w:val="TableBlock"/>
              <w:spacing w:line="240" w:lineRule="auto"/>
              <w:rPr>
                <w:sz w:val="24"/>
                <w:szCs w:val="24"/>
                <w:rtl/>
              </w:rPr>
            </w:pPr>
            <w:r w:rsidRPr="00AD5390">
              <w:rPr>
                <w:sz w:val="24"/>
                <w:szCs w:val="24"/>
                <w:rtl/>
              </w:rPr>
              <w:t>(</w:t>
            </w:r>
            <w:r w:rsidRPr="00AD5390">
              <w:rPr>
                <w:rFonts w:hint="eastAsia"/>
                <w:sz w:val="24"/>
                <w:szCs w:val="24"/>
                <w:rtl/>
              </w:rPr>
              <w:t>ג</w:t>
            </w:r>
            <w:r w:rsidRPr="00AD5390">
              <w:rPr>
                <w:sz w:val="24"/>
                <w:szCs w:val="24"/>
                <w:rtl/>
              </w:rPr>
              <w:t>)</w:t>
            </w:r>
            <w:r w:rsidRPr="00AD5390">
              <w:rPr>
                <w:sz w:val="24"/>
                <w:szCs w:val="24"/>
                <w:rtl/>
              </w:rPr>
              <w:tab/>
            </w:r>
            <w:r w:rsidRPr="00AD5390">
              <w:rPr>
                <w:rFonts w:hint="eastAsia"/>
                <w:sz w:val="24"/>
                <w:szCs w:val="24"/>
                <w:rtl/>
              </w:rPr>
              <w:t>לא</w:t>
            </w:r>
            <w:r w:rsidRPr="00AD5390">
              <w:rPr>
                <w:sz w:val="24"/>
                <w:szCs w:val="24"/>
                <w:rtl/>
              </w:rPr>
              <w:t xml:space="preserve"> </w:t>
            </w:r>
            <w:r w:rsidRPr="00AD5390">
              <w:rPr>
                <w:rFonts w:hint="eastAsia"/>
                <w:sz w:val="24"/>
                <w:szCs w:val="24"/>
                <w:rtl/>
              </w:rPr>
              <w:t>יורשע</w:t>
            </w:r>
            <w:r w:rsidRPr="00AD5390">
              <w:rPr>
                <w:sz w:val="24"/>
                <w:szCs w:val="24"/>
                <w:rtl/>
              </w:rPr>
              <w:t xml:space="preserve"> </w:t>
            </w:r>
            <w:r w:rsidRPr="00AD5390">
              <w:rPr>
                <w:rFonts w:hint="eastAsia"/>
                <w:sz w:val="24"/>
                <w:szCs w:val="24"/>
                <w:rtl/>
              </w:rPr>
              <w:t>אדם</w:t>
            </w:r>
            <w:r w:rsidRPr="00AD5390">
              <w:rPr>
                <w:sz w:val="24"/>
                <w:szCs w:val="24"/>
                <w:rtl/>
              </w:rPr>
              <w:t xml:space="preserve"> </w:t>
            </w:r>
            <w:r w:rsidRPr="00AD5390">
              <w:rPr>
                <w:rFonts w:hint="eastAsia"/>
                <w:sz w:val="24"/>
                <w:szCs w:val="24"/>
                <w:rtl/>
              </w:rPr>
              <w:t>על</w:t>
            </w:r>
            <w:r w:rsidRPr="00AD5390">
              <w:rPr>
                <w:sz w:val="24"/>
                <w:szCs w:val="24"/>
                <w:rtl/>
              </w:rPr>
              <w:t xml:space="preserve"> </w:t>
            </w:r>
            <w:r w:rsidRPr="00AD5390">
              <w:rPr>
                <w:rFonts w:hint="eastAsia"/>
                <w:sz w:val="24"/>
                <w:szCs w:val="24"/>
                <w:rtl/>
              </w:rPr>
              <w:t>סמך</w:t>
            </w:r>
            <w:r w:rsidRPr="00AD5390">
              <w:rPr>
                <w:sz w:val="24"/>
                <w:szCs w:val="24"/>
                <w:rtl/>
              </w:rPr>
              <w:t xml:space="preserve"> </w:t>
            </w:r>
            <w:r w:rsidRPr="00AD5390">
              <w:rPr>
                <w:rFonts w:hint="eastAsia"/>
                <w:sz w:val="24"/>
                <w:szCs w:val="24"/>
                <w:rtl/>
              </w:rPr>
              <w:t>אמרה</w:t>
            </w:r>
            <w:r w:rsidRPr="00AD5390">
              <w:rPr>
                <w:sz w:val="24"/>
                <w:szCs w:val="24"/>
                <w:rtl/>
              </w:rPr>
              <w:t xml:space="preserve"> </w:t>
            </w:r>
            <w:r w:rsidRPr="00AD5390">
              <w:rPr>
                <w:rFonts w:hint="eastAsia"/>
                <w:sz w:val="24"/>
                <w:szCs w:val="24"/>
                <w:rtl/>
              </w:rPr>
              <w:t>שהתקבלה</w:t>
            </w:r>
            <w:r w:rsidRPr="00AD5390">
              <w:rPr>
                <w:sz w:val="24"/>
                <w:szCs w:val="24"/>
                <w:rtl/>
              </w:rPr>
              <w:t xml:space="preserve"> </w:t>
            </w:r>
            <w:r w:rsidRPr="00AD5390">
              <w:rPr>
                <w:rFonts w:hint="eastAsia"/>
                <w:sz w:val="24"/>
                <w:szCs w:val="24"/>
                <w:rtl/>
              </w:rPr>
              <w:t>לפי</w:t>
            </w:r>
            <w:r w:rsidRPr="00AD5390">
              <w:rPr>
                <w:sz w:val="24"/>
                <w:szCs w:val="24"/>
                <w:rtl/>
              </w:rPr>
              <w:t xml:space="preserve"> </w:t>
            </w:r>
            <w:r w:rsidRPr="00AD5390">
              <w:rPr>
                <w:rFonts w:hint="eastAsia"/>
                <w:sz w:val="24"/>
                <w:szCs w:val="24"/>
                <w:rtl/>
              </w:rPr>
              <w:t>סעיף</w:t>
            </w:r>
            <w:r w:rsidRPr="00AD5390">
              <w:rPr>
                <w:sz w:val="24"/>
                <w:szCs w:val="24"/>
                <w:rtl/>
              </w:rPr>
              <w:t xml:space="preserve"> </w:t>
            </w:r>
            <w:r w:rsidRPr="00AD5390">
              <w:rPr>
                <w:rFonts w:hint="eastAsia"/>
                <w:sz w:val="24"/>
                <w:szCs w:val="24"/>
                <w:rtl/>
              </w:rPr>
              <w:t>קטן</w:t>
            </w:r>
            <w:r w:rsidRPr="00AD5390">
              <w:rPr>
                <w:sz w:val="24"/>
                <w:szCs w:val="24"/>
                <w:rtl/>
              </w:rPr>
              <w:t xml:space="preserve"> (</w:t>
            </w:r>
            <w:r w:rsidRPr="00AD5390">
              <w:rPr>
                <w:rFonts w:hint="eastAsia"/>
                <w:sz w:val="24"/>
                <w:szCs w:val="24"/>
                <w:rtl/>
              </w:rPr>
              <w:t>א</w:t>
            </w:r>
            <w:r w:rsidRPr="00AD5390">
              <w:rPr>
                <w:sz w:val="24"/>
                <w:szCs w:val="24"/>
                <w:rtl/>
              </w:rPr>
              <w:t xml:space="preserve">), </w:t>
            </w:r>
            <w:r w:rsidRPr="00AD5390">
              <w:rPr>
                <w:rFonts w:hint="eastAsia"/>
                <w:sz w:val="24"/>
                <w:szCs w:val="24"/>
                <w:rtl/>
              </w:rPr>
              <w:t>ואולם</w:t>
            </w:r>
            <w:r w:rsidRPr="00AD5390">
              <w:rPr>
                <w:sz w:val="24"/>
                <w:szCs w:val="24"/>
                <w:rtl/>
              </w:rPr>
              <w:t xml:space="preserve"> </w:t>
            </w:r>
            <w:r w:rsidRPr="00AD5390">
              <w:rPr>
                <w:rFonts w:hint="eastAsia"/>
                <w:sz w:val="24"/>
                <w:szCs w:val="24"/>
                <w:rtl/>
              </w:rPr>
              <w:t>אמרה</w:t>
            </w:r>
            <w:r w:rsidRPr="00AD5390">
              <w:rPr>
                <w:sz w:val="24"/>
                <w:szCs w:val="24"/>
                <w:rtl/>
              </w:rPr>
              <w:t xml:space="preserve"> </w:t>
            </w:r>
            <w:r w:rsidRPr="00AD5390">
              <w:rPr>
                <w:rFonts w:hint="eastAsia"/>
                <w:sz w:val="24"/>
                <w:szCs w:val="24"/>
                <w:rtl/>
              </w:rPr>
              <w:t>כאמור</w:t>
            </w:r>
            <w:r w:rsidRPr="00AD5390">
              <w:rPr>
                <w:sz w:val="24"/>
                <w:szCs w:val="24"/>
                <w:rtl/>
              </w:rPr>
              <w:t xml:space="preserve"> </w:t>
            </w:r>
            <w:r w:rsidRPr="00AD5390">
              <w:rPr>
                <w:rFonts w:hint="eastAsia"/>
                <w:sz w:val="24"/>
                <w:szCs w:val="24"/>
                <w:rtl/>
              </w:rPr>
              <w:t>עשויה</w:t>
            </w:r>
            <w:r w:rsidRPr="00AD5390">
              <w:rPr>
                <w:sz w:val="24"/>
                <w:szCs w:val="24"/>
                <w:rtl/>
              </w:rPr>
              <w:t xml:space="preserve"> </w:t>
            </w:r>
            <w:r w:rsidRPr="00AD5390">
              <w:rPr>
                <w:rFonts w:hint="eastAsia"/>
                <w:sz w:val="24"/>
                <w:szCs w:val="24"/>
                <w:rtl/>
              </w:rPr>
              <w:t>לשמש</w:t>
            </w:r>
            <w:r w:rsidRPr="00AD5390">
              <w:rPr>
                <w:sz w:val="24"/>
                <w:szCs w:val="24"/>
                <w:rtl/>
              </w:rPr>
              <w:t xml:space="preserve"> </w:t>
            </w:r>
            <w:r w:rsidRPr="00AD5390">
              <w:rPr>
                <w:rFonts w:hint="eastAsia"/>
                <w:sz w:val="24"/>
                <w:szCs w:val="24"/>
                <w:rtl/>
              </w:rPr>
              <w:t>תוספת</w:t>
            </w:r>
            <w:r w:rsidRPr="00AD5390">
              <w:rPr>
                <w:sz w:val="24"/>
                <w:szCs w:val="24"/>
                <w:rtl/>
              </w:rPr>
              <w:t xml:space="preserve"> </w:t>
            </w:r>
            <w:r w:rsidRPr="00AD5390">
              <w:rPr>
                <w:rFonts w:hint="eastAsia"/>
                <w:sz w:val="24"/>
                <w:szCs w:val="24"/>
                <w:rtl/>
              </w:rPr>
              <w:t>ראייתית</w:t>
            </w:r>
            <w:r w:rsidRPr="00AD5390">
              <w:rPr>
                <w:sz w:val="24"/>
                <w:szCs w:val="24"/>
                <w:rtl/>
              </w:rPr>
              <w:t xml:space="preserve"> </w:t>
            </w:r>
            <w:r w:rsidRPr="00AD5390">
              <w:rPr>
                <w:rFonts w:hint="eastAsia"/>
                <w:sz w:val="24"/>
                <w:szCs w:val="24"/>
                <w:rtl/>
              </w:rPr>
              <w:t>לראיות</w:t>
            </w:r>
            <w:r w:rsidRPr="00AD5390">
              <w:rPr>
                <w:sz w:val="24"/>
                <w:szCs w:val="24"/>
                <w:rtl/>
              </w:rPr>
              <w:t xml:space="preserve"> </w:t>
            </w:r>
            <w:r w:rsidRPr="00AD5390">
              <w:rPr>
                <w:rFonts w:hint="eastAsia"/>
                <w:sz w:val="24"/>
                <w:szCs w:val="24"/>
                <w:rtl/>
              </w:rPr>
              <w:t>התביעה</w:t>
            </w:r>
            <w:r w:rsidRPr="00AD5390">
              <w:rPr>
                <w:sz w:val="24"/>
                <w:szCs w:val="24"/>
                <w:rtl/>
              </w:rPr>
              <w:t xml:space="preserve">, </w:t>
            </w:r>
            <w:r w:rsidRPr="00AD5390">
              <w:rPr>
                <w:rFonts w:hint="eastAsia"/>
                <w:sz w:val="24"/>
                <w:szCs w:val="24"/>
                <w:rtl/>
              </w:rPr>
              <w:t>ובלבד</w:t>
            </w:r>
            <w:r w:rsidRPr="00AD5390">
              <w:rPr>
                <w:sz w:val="24"/>
                <w:szCs w:val="24"/>
                <w:rtl/>
              </w:rPr>
              <w:t xml:space="preserve"> </w:t>
            </w:r>
            <w:r w:rsidRPr="00AD5390">
              <w:rPr>
                <w:rFonts w:hint="eastAsia"/>
                <w:sz w:val="24"/>
                <w:szCs w:val="24"/>
                <w:rtl/>
              </w:rPr>
              <w:t>שלא</w:t>
            </w:r>
            <w:r w:rsidRPr="00AD5390">
              <w:rPr>
                <w:sz w:val="24"/>
                <w:szCs w:val="24"/>
                <w:rtl/>
              </w:rPr>
              <w:t xml:space="preserve"> </w:t>
            </w:r>
            <w:r w:rsidRPr="00AD5390">
              <w:rPr>
                <w:rFonts w:hint="eastAsia"/>
                <w:sz w:val="24"/>
                <w:szCs w:val="24"/>
                <w:rtl/>
              </w:rPr>
              <w:t>תשמש</w:t>
            </w:r>
            <w:r w:rsidRPr="00AD5390">
              <w:rPr>
                <w:sz w:val="24"/>
                <w:szCs w:val="24"/>
                <w:rtl/>
              </w:rPr>
              <w:t xml:space="preserve"> </w:t>
            </w:r>
            <w:r w:rsidRPr="00AD5390">
              <w:rPr>
                <w:rFonts w:hint="eastAsia"/>
                <w:sz w:val="24"/>
                <w:szCs w:val="24"/>
                <w:rtl/>
              </w:rPr>
              <w:t>סיוע</w:t>
            </w:r>
            <w:r w:rsidRPr="00AD5390">
              <w:rPr>
                <w:sz w:val="24"/>
                <w:szCs w:val="24"/>
                <w:rtl/>
              </w:rPr>
              <w:t xml:space="preserve"> </w:t>
            </w:r>
            <w:r w:rsidRPr="00AD5390">
              <w:rPr>
                <w:rFonts w:hint="eastAsia"/>
                <w:sz w:val="24"/>
                <w:szCs w:val="24"/>
                <w:rtl/>
              </w:rPr>
              <w:t>לראיות</w:t>
            </w:r>
            <w:r w:rsidRPr="00AD5390">
              <w:rPr>
                <w:sz w:val="24"/>
                <w:szCs w:val="24"/>
                <w:rtl/>
              </w:rPr>
              <w:t xml:space="preserve"> </w:t>
            </w:r>
            <w:r w:rsidRPr="00AD5390">
              <w:rPr>
                <w:rFonts w:hint="eastAsia"/>
                <w:sz w:val="24"/>
                <w:szCs w:val="24"/>
                <w:rtl/>
              </w:rPr>
              <w:t>התביעה</w:t>
            </w:r>
            <w:r w:rsidRPr="00AD5390">
              <w:rPr>
                <w:sz w:val="24"/>
                <w:szCs w:val="24"/>
                <w:rtl/>
              </w:rPr>
              <w:t xml:space="preserve"> </w:t>
            </w:r>
            <w:r w:rsidRPr="00AD5390">
              <w:rPr>
                <w:rFonts w:hint="eastAsia"/>
                <w:sz w:val="24"/>
                <w:szCs w:val="24"/>
                <w:rtl/>
              </w:rPr>
              <w:t>במקום</w:t>
            </w:r>
            <w:r w:rsidRPr="00AD5390">
              <w:rPr>
                <w:sz w:val="24"/>
                <w:szCs w:val="24"/>
                <w:rtl/>
              </w:rPr>
              <w:t xml:space="preserve"> </w:t>
            </w:r>
            <w:r w:rsidRPr="00AD5390">
              <w:rPr>
                <w:rFonts w:hint="eastAsia"/>
                <w:sz w:val="24"/>
                <w:szCs w:val="24"/>
                <w:rtl/>
              </w:rPr>
              <w:t>שדרוש</w:t>
            </w:r>
            <w:r w:rsidRPr="00AD5390">
              <w:rPr>
                <w:sz w:val="24"/>
                <w:szCs w:val="24"/>
                <w:rtl/>
              </w:rPr>
              <w:t xml:space="preserve"> </w:t>
            </w:r>
            <w:r w:rsidRPr="00AD5390">
              <w:rPr>
                <w:rFonts w:hint="eastAsia"/>
                <w:sz w:val="24"/>
                <w:szCs w:val="24"/>
                <w:rtl/>
              </w:rPr>
              <w:t>להן</w:t>
            </w:r>
            <w:r w:rsidRPr="00AD5390">
              <w:rPr>
                <w:sz w:val="24"/>
                <w:szCs w:val="24"/>
                <w:rtl/>
              </w:rPr>
              <w:t xml:space="preserve"> </w:t>
            </w:r>
            <w:r w:rsidRPr="00AD5390">
              <w:rPr>
                <w:rFonts w:hint="eastAsia"/>
                <w:sz w:val="24"/>
                <w:szCs w:val="24"/>
                <w:rtl/>
              </w:rPr>
              <w:t>סיוע</w:t>
            </w:r>
            <w:r w:rsidRPr="00AD5390">
              <w:rPr>
                <w:sz w:val="24"/>
                <w:szCs w:val="24"/>
                <w:rtl/>
              </w:rPr>
              <w:t xml:space="preserve">, </w:t>
            </w:r>
            <w:r w:rsidRPr="00AD5390">
              <w:rPr>
                <w:rFonts w:hint="eastAsia"/>
                <w:sz w:val="24"/>
                <w:szCs w:val="24"/>
                <w:rtl/>
              </w:rPr>
              <w:t>אלא</w:t>
            </w:r>
            <w:r w:rsidRPr="00AD5390">
              <w:rPr>
                <w:sz w:val="24"/>
                <w:szCs w:val="24"/>
                <w:rtl/>
              </w:rPr>
              <w:t xml:space="preserve"> </w:t>
            </w:r>
            <w:r w:rsidRPr="00AD5390">
              <w:rPr>
                <w:rFonts w:hint="eastAsia"/>
                <w:sz w:val="24"/>
                <w:szCs w:val="24"/>
                <w:rtl/>
              </w:rPr>
              <w:t>מטעמים</w:t>
            </w:r>
            <w:r w:rsidRPr="00AD5390">
              <w:rPr>
                <w:sz w:val="24"/>
                <w:szCs w:val="24"/>
                <w:rtl/>
              </w:rPr>
              <w:t xml:space="preserve"> </w:t>
            </w:r>
            <w:r w:rsidRPr="00AD5390">
              <w:rPr>
                <w:rFonts w:hint="eastAsia"/>
                <w:sz w:val="24"/>
                <w:szCs w:val="24"/>
                <w:rtl/>
              </w:rPr>
              <w:t>מיוחדים</w:t>
            </w:r>
            <w:r w:rsidRPr="00AD5390">
              <w:rPr>
                <w:sz w:val="24"/>
                <w:szCs w:val="24"/>
                <w:rtl/>
              </w:rPr>
              <w:t xml:space="preserve"> </w:t>
            </w:r>
            <w:r w:rsidRPr="00AD5390">
              <w:rPr>
                <w:rFonts w:hint="eastAsia"/>
                <w:sz w:val="24"/>
                <w:szCs w:val="24"/>
                <w:rtl/>
              </w:rPr>
              <w:t>שיירשמו</w:t>
            </w:r>
            <w:r w:rsidRPr="00AD5390">
              <w:rPr>
                <w:sz w:val="24"/>
                <w:szCs w:val="24"/>
                <w:rtl/>
              </w:rPr>
              <w:t xml:space="preserve">. </w:t>
            </w:r>
            <w:r w:rsidR="00F20F47" w:rsidRPr="00AD5390">
              <w:rPr>
                <w:rFonts w:hint="cs"/>
                <w:sz w:val="24"/>
                <w:szCs w:val="24"/>
                <w:rtl/>
              </w:rPr>
              <w:t>"</w:t>
            </w:r>
          </w:p>
        </w:tc>
      </w:tr>
    </w:tbl>
    <w:p w:rsidR="004579C2" w:rsidRPr="00AD5390" w:rsidRDefault="004579C2" w:rsidP="004579C2">
      <w:pPr>
        <w:autoSpaceDE w:val="0"/>
        <w:autoSpaceDN w:val="0"/>
        <w:bidi/>
        <w:spacing w:after="0" w:line="240" w:lineRule="auto"/>
        <w:jc w:val="both"/>
        <w:rPr>
          <w:rFonts w:ascii="Garamond" w:hAnsi="Garamond" w:cs="David"/>
          <w:sz w:val="24"/>
          <w:szCs w:val="24"/>
          <w:rtl/>
          <w:lang w:eastAsia="he-IL"/>
        </w:rPr>
      </w:pPr>
    </w:p>
    <w:p w:rsidR="000A687B" w:rsidRPr="00AD5390" w:rsidRDefault="000A687B" w:rsidP="000A687B">
      <w:pPr>
        <w:autoSpaceDE w:val="0"/>
        <w:autoSpaceDN w:val="0"/>
        <w:bidi/>
        <w:spacing w:after="0" w:line="240" w:lineRule="auto"/>
        <w:jc w:val="both"/>
        <w:rPr>
          <w:rFonts w:ascii="Garamond" w:hAnsi="Garamond" w:cs="David"/>
          <w:sz w:val="24"/>
          <w:szCs w:val="24"/>
          <w:rtl/>
          <w:lang w:eastAsia="he-IL"/>
        </w:rPr>
      </w:pPr>
    </w:p>
    <w:p w:rsidR="000A687B" w:rsidRPr="00AD5390" w:rsidRDefault="00827889" w:rsidP="00B97E8E">
      <w:pPr>
        <w:bidi/>
        <w:spacing w:line="360" w:lineRule="auto"/>
        <w:jc w:val="both"/>
        <w:rPr>
          <w:rFonts w:ascii="Garamond" w:hAnsi="Garamond" w:cs="David"/>
          <w:sz w:val="24"/>
          <w:szCs w:val="24"/>
          <w:rtl/>
          <w:lang w:eastAsia="he-IL"/>
        </w:rPr>
      </w:pPr>
      <w:r w:rsidRPr="00AD5390">
        <w:rPr>
          <w:rFonts w:cs="David" w:hint="cs"/>
          <w:sz w:val="24"/>
          <w:szCs w:val="24"/>
          <w:rtl/>
        </w:rPr>
        <w:t xml:space="preserve">כל עדות אשר ניתנה מחוץ לכותלי בית המשפט </w:t>
      </w:r>
      <w:r w:rsidR="000A687B" w:rsidRPr="00AD5390">
        <w:rPr>
          <w:rFonts w:ascii="Garamond" w:hAnsi="Garamond" w:cs="David"/>
          <w:sz w:val="24"/>
          <w:szCs w:val="24"/>
          <w:rtl/>
          <w:lang w:eastAsia="he-IL"/>
        </w:rPr>
        <w:t xml:space="preserve">– </w:t>
      </w:r>
      <w:r w:rsidRPr="00AD5390">
        <w:rPr>
          <w:rFonts w:ascii="Garamond" w:hAnsi="Garamond" w:cs="David" w:hint="cs"/>
          <w:sz w:val="24"/>
          <w:szCs w:val="24"/>
          <w:rtl/>
          <w:lang w:eastAsia="he-IL"/>
        </w:rPr>
        <w:t xml:space="preserve">הייתה </w:t>
      </w:r>
      <w:r w:rsidR="00B97E8E" w:rsidRPr="00AD5390">
        <w:rPr>
          <w:rFonts w:ascii="Garamond" w:hAnsi="Garamond" w:cs="David" w:hint="cs"/>
          <w:sz w:val="24"/>
          <w:szCs w:val="24"/>
          <w:rtl/>
          <w:lang w:eastAsia="he-IL"/>
        </w:rPr>
        <w:t xml:space="preserve">ככלל </w:t>
      </w:r>
      <w:r w:rsidRPr="00AD5390">
        <w:rPr>
          <w:rFonts w:ascii="Garamond" w:hAnsi="Garamond" w:cs="David" w:hint="cs"/>
          <w:sz w:val="24"/>
          <w:szCs w:val="24"/>
          <w:rtl/>
          <w:lang w:eastAsia="he-IL"/>
        </w:rPr>
        <w:t xml:space="preserve">אמורה להיות </w:t>
      </w:r>
      <w:r w:rsidR="000A687B" w:rsidRPr="00AD5390">
        <w:rPr>
          <w:rFonts w:ascii="Garamond" w:hAnsi="Garamond" w:cs="David" w:hint="cs"/>
          <w:sz w:val="24"/>
          <w:szCs w:val="24"/>
          <w:rtl/>
          <w:lang w:eastAsia="he-IL"/>
        </w:rPr>
        <w:t>פסולה</w:t>
      </w:r>
      <w:r w:rsidR="000A687B" w:rsidRPr="00AD5390">
        <w:rPr>
          <w:rFonts w:ascii="Garamond" w:hAnsi="Garamond" w:cs="David"/>
          <w:sz w:val="24"/>
          <w:szCs w:val="24"/>
          <w:rtl/>
          <w:lang w:eastAsia="he-IL"/>
        </w:rPr>
        <w:t xml:space="preserve"> </w:t>
      </w:r>
      <w:r w:rsidR="000A687B" w:rsidRPr="00AD5390">
        <w:rPr>
          <w:rFonts w:ascii="Garamond" w:hAnsi="Garamond" w:cs="David" w:hint="cs"/>
          <w:sz w:val="24"/>
          <w:szCs w:val="24"/>
          <w:rtl/>
          <w:lang w:eastAsia="he-IL"/>
        </w:rPr>
        <w:t>כראיה</w:t>
      </w:r>
      <w:r w:rsidRPr="00AD5390">
        <w:rPr>
          <w:rFonts w:ascii="Garamond" w:hAnsi="Garamond" w:cs="David" w:hint="cs"/>
          <w:sz w:val="24"/>
          <w:szCs w:val="24"/>
          <w:rtl/>
          <w:lang w:eastAsia="he-IL"/>
        </w:rPr>
        <w:t xml:space="preserve"> לאמיתות תוכנה (</w:t>
      </w:r>
      <w:r w:rsidRPr="00AD5390">
        <w:rPr>
          <w:rFonts w:cs="David" w:hint="cs"/>
          <w:sz w:val="24"/>
          <w:szCs w:val="24"/>
          <w:rtl/>
        </w:rPr>
        <w:t xml:space="preserve">כאשר היא באה במקום ובנעלי עדותו של העד), מתוך התפיסה כי הסתמכות על אמרה שנאמרה שלא במעמד הנאשם, שלא בשבועה ובלא שהייתה לנאשם הזדמנות לחקור את אומרה במעמד אמירתו חקירה שכנגד, עשויה לפגוע בנאשם. עד שנת 1979, אימרה שמסר </w:t>
      </w:r>
      <w:r w:rsidRPr="00AD5390">
        <w:rPr>
          <w:rFonts w:cs="David" w:hint="cs"/>
          <w:sz w:val="24"/>
          <w:szCs w:val="24"/>
          <w:u w:val="single"/>
          <w:rtl/>
        </w:rPr>
        <w:t>עד</w:t>
      </w:r>
      <w:r w:rsidRPr="00AD5390">
        <w:rPr>
          <w:rFonts w:cs="David" w:hint="cs"/>
          <w:sz w:val="24"/>
          <w:szCs w:val="24"/>
          <w:rtl/>
        </w:rPr>
        <w:t xml:space="preserve"> לא התקבלה כראיה בבית המשפט להוכחת תוכנה. בפועל, נוצר מצב </w:t>
      </w:r>
      <w:r w:rsidR="00B97E8E" w:rsidRPr="00AD5390">
        <w:rPr>
          <w:rFonts w:cs="David" w:hint="cs"/>
          <w:sz w:val="24"/>
          <w:szCs w:val="24"/>
          <w:rtl/>
        </w:rPr>
        <w:t>ש</w:t>
      </w:r>
      <w:r w:rsidRPr="00AD5390">
        <w:rPr>
          <w:rFonts w:cs="David" w:hint="cs"/>
          <w:sz w:val="24"/>
          <w:szCs w:val="24"/>
          <w:rtl/>
        </w:rPr>
        <w:t xml:space="preserve">בו עד אשר סירב להעיד בבית המשפט או מסר בו גרסה הסותרת את הגרסה אותה מסר בחקירתו במשטרה, או התכחש לדברים שמסר במשטרה – לא הייתה דרך להוכיח </w:t>
      </w:r>
      <w:r w:rsidR="00B97E8E" w:rsidRPr="00AD5390">
        <w:rPr>
          <w:rFonts w:cs="David" w:hint="cs"/>
          <w:sz w:val="24"/>
          <w:szCs w:val="24"/>
          <w:rtl/>
        </w:rPr>
        <w:t>ב</w:t>
      </w:r>
      <w:r w:rsidRPr="00AD5390">
        <w:rPr>
          <w:rFonts w:cs="David" w:hint="cs"/>
          <w:sz w:val="24"/>
          <w:szCs w:val="24"/>
          <w:rtl/>
        </w:rPr>
        <w:t>בית המשפט את תוכן אמירתו במשטרה.</w:t>
      </w:r>
      <w:r w:rsidRPr="00AD5390">
        <w:rPr>
          <w:rFonts w:ascii="Garamond" w:hAnsi="Garamond" w:cs="David" w:hint="cs"/>
          <w:sz w:val="24"/>
          <w:szCs w:val="24"/>
          <w:rtl/>
          <w:lang w:eastAsia="he-IL"/>
        </w:rPr>
        <w:t xml:space="preserve"> לכן </w:t>
      </w:r>
      <w:r w:rsidRPr="00AD5390">
        <w:rPr>
          <w:rFonts w:cs="David" w:hint="cs"/>
          <w:sz w:val="24"/>
          <w:szCs w:val="24"/>
          <w:rtl/>
        </w:rPr>
        <w:t xml:space="preserve">בשנת 1979 תוקנה פקודת הראיות ונוספה הוראה – סעיף 10א לפקודת הראיות – שעניינו קבילותה של אמרת חוץ בכתב של עד במשפט פלילי ובמשקלה הראייתי. </w:t>
      </w:r>
      <w:r w:rsidRPr="00AD5390">
        <w:rPr>
          <w:rFonts w:ascii="Garamond" w:hAnsi="Garamond" w:cs="David" w:hint="cs"/>
          <w:sz w:val="24"/>
          <w:szCs w:val="24"/>
          <w:rtl/>
          <w:lang w:eastAsia="he-IL"/>
        </w:rPr>
        <w:t>הסעיף</w:t>
      </w:r>
      <w:r w:rsidR="000A687B" w:rsidRPr="00AD5390">
        <w:rPr>
          <w:rFonts w:ascii="Garamond" w:hAnsi="Garamond" w:cs="David" w:hint="cs"/>
          <w:sz w:val="24"/>
          <w:szCs w:val="24"/>
          <w:rtl/>
          <w:lang w:eastAsia="he-IL"/>
        </w:rPr>
        <w:t xml:space="preserve"> </w:t>
      </w:r>
      <w:r w:rsidRPr="00AD5390">
        <w:rPr>
          <w:rFonts w:ascii="Garamond" w:hAnsi="Garamond" w:cs="David" w:hint="cs"/>
          <w:sz w:val="24"/>
          <w:szCs w:val="24"/>
          <w:rtl/>
          <w:lang w:eastAsia="he-IL"/>
        </w:rPr>
        <w:t>קובע את המקרים בהם אמרת עד מחוץ לבית המשפט תהיה קבילה כראיה בהליך הפלילי</w:t>
      </w:r>
      <w:r w:rsidR="000A687B" w:rsidRPr="00AD5390">
        <w:rPr>
          <w:rFonts w:ascii="Garamond" w:hAnsi="Garamond" w:cs="David" w:hint="cs"/>
          <w:sz w:val="24"/>
          <w:szCs w:val="24"/>
          <w:rtl/>
          <w:lang w:eastAsia="he-IL"/>
        </w:rPr>
        <w:t>:</w:t>
      </w:r>
    </w:p>
    <w:p w:rsidR="000A687B" w:rsidRPr="00AD5390" w:rsidRDefault="000A687B" w:rsidP="00B77B89">
      <w:pPr>
        <w:pStyle w:val="p00"/>
        <w:bidi/>
        <w:spacing w:before="72" w:beforeAutospacing="0" w:after="0" w:afterAutospacing="0"/>
        <w:ind w:left="720" w:right="1134"/>
        <w:rPr>
          <w:rFonts w:cs="David"/>
        </w:rPr>
      </w:pPr>
      <w:r w:rsidRPr="00AD5390">
        <w:rPr>
          <w:rStyle w:val="big-number"/>
          <w:rFonts w:ascii="Time New Roman" w:hAnsi="Time New Roman" w:cs="David"/>
          <w:b/>
          <w:bCs/>
          <w:rtl/>
        </w:rPr>
        <w:t>אמרת עד מחוץ לבית המשפט</w:t>
      </w:r>
    </w:p>
    <w:p w:rsidR="000A687B" w:rsidRPr="00AD5390" w:rsidRDefault="000A687B" w:rsidP="00B77B89">
      <w:pPr>
        <w:pStyle w:val="p00"/>
        <w:bidi/>
        <w:spacing w:before="72" w:beforeAutospacing="0" w:after="0" w:afterAutospacing="0"/>
        <w:ind w:left="720" w:right="1134"/>
        <w:jc w:val="both"/>
        <w:rPr>
          <w:rFonts w:cs="David"/>
          <w:color w:val="000000"/>
          <w:rtl/>
        </w:rPr>
      </w:pPr>
      <w:r w:rsidRPr="00AD5390">
        <w:rPr>
          <w:rStyle w:val="big-number"/>
          <w:rFonts w:cs="David" w:hint="cs"/>
          <w:color w:val="000000"/>
          <w:rtl/>
        </w:rPr>
        <w:t>10</w:t>
      </w:r>
      <w:r w:rsidRPr="00AD5390">
        <w:rPr>
          <w:rStyle w:val="default"/>
          <w:rFonts w:cs="David" w:hint="cs"/>
          <w:color w:val="000000"/>
          <w:rtl/>
        </w:rPr>
        <w:t>א.  </w:t>
      </w:r>
      <w:r w:rsidRPr="00AD5390">
        <w:rPr>
          <w:rStyle w:val="apple-converted-space"/>
          <w:rFonts w:cs="David" w:hint="cs"/>
          <w:color w:val="000000"/>
          <w:rtl/>
        </w:rPr>
        <w:t> </w:t>
      </w:r>
      <w:r w:rsidRPr="00AD5390">
        <w:rPr>
          <w:rStyle w:val="default"/>
          <w:rFonts w:cs="David" w:hint="cs"/>
          <w:color w:val="000000"/>
          <w:rtl/>
        </w:rPr>
        <w:t>(א) </w:t>
      </w:r>
      <w:r w:rsidRPr="00AD5390">
        <w:rPr>
          <w:rStyle w:val="apple-converted-space"/>
          <w:rFonts w:cs="David" w:hint="cs"/>
          <w:color w:val="000000"/>
          <w:rtl/>
        </w:rPr>
        <w:t> </w:t>
      </w:r>
      <w:r w:rsidRPr="00AD5390">
        <w:rPr>
          <w:rStyle w:val="default"/>
          <w:rFonts w:cs="David" w:hint="cs"/>
          <w:color w:val="000000"/>
          <w:rtl/>
        </w:rPr>
        <w:t>אמרה בכתב שנתן עד מחוץ לבית המשפט תהיה קבילה כראיה בהליך פלילי אם נתקיימו אלה:</w:t>
      </w:r>
    </w:p>
    <w:p w:rsidR="000A687B" w:rsidRPr="00AD5390" w:rsidRDefault="000A687B" w:rsidP="00B77B89">
      <w:pPr>
        <w:pStyle w:val="p22"/>
        <w:bidi/>
        <w:spacing w:before="72" w:beforeAutospacing="0" w:after="0" w:afterAutospacing="0"/>
        <w:ind w:left="1741" w:right="1134"/>
        <w:jc w:val="both"/>
        <w:rPr>
          <w:rFonts w:cs="David"/>
          <w:color w:val="000000"/>
          <w:rtl/>
        </w:rPr>
      </w:pPr>
      <w:r w:rsidRPr="00AD5390">
        <w:rPr>
          <w:rStyle w:val="default"/>
          <w:rFonts w:cs="David" w:hint="cs"/>
          <w:color w:val="000000"/>
          <w:rtl/>
        </w:rPr>
        <w:t>(1)  </w:t>
      </w:r>
      <w:r w:rsidRPr="00AD5390">
        <w:rPr>
          <w:rStyle w:val="apple-converted-space"/>
          <w:rFonts w:cs="David" w:hint="cs"/>
          <w:color w:val="000000"/>
          <w:rtl/>
        </w:rPr>
        <w:t> </w:t>
      </w:r>
      <w:r w:rsidRPr="00AD5390">
        <w:rPr>
          <w:rStyle w:val="default"/>
          <w:rFonts w:cs="David" w:hint="cs"/>
          <w:color w:val="000000"/>
          <w:rtl/>
        </w:rPr>
        <w:t>מתן האמרה הוכח במשפט;</w:t>
      </w:r>
    </w:p>
    <w:p w:rsidR="000A687B" w:rsidRPr="00AD5390" w:rsidRDefault="000A687B" w:rsidP="00B77B89">
      <w:pPr>
        <w:pStyle w:val="p22"/>
        <w:bidi/>
        <w:spacing w:before="72" w:beforeAutospacing="0" w:after="0" w:afterAutospacing="0"/>
        <w:ind w:left="1741" w:right="1134"/>
        <w:jc w:val="both"/>
        <w:rPr>
          <w:rFonts w:cs="David"/>
          <w:color w:val="000000"/>
          <w:rtl/>
        </w:rPr>
      </w:pPr>
      <w:r w:rsidRPr="00AD5390">
        <w:rPr>
          <w:rStyle w:val="default"/>
          <w:rFonts w:cs="David" w:hint="cs"/>
          <w:color w:val="000000"/>
          <w:rtl/>
        </w:rPr>
        <w:t>(2)  </w:t>
      </w:r>
      <w:r w:rsidRPr="00AD5390">
        <w:rPr>
          <w:rStyle w:val="apple-converted-space"/>
          <w:rFonts w:cs="David" w:hint="cs"/>
          <w:color w:val="000000"/>
          <w:rtl/>
        </w:rPr>
        <w:t> </w:t>
      </w:r>
      <w:r w:rsidRPr="00AD5390">
        <w:rPr>
          <w:rStyle w:val="default"/>
          <w:rFonts w:cs="David" w:hint="cs"/>
          <w:color w:val="000000"/>
          <w:rtl/>
        </w:rPr>
        <w:t>נותן האמרה הוא עד במשפט וניתנה לצדדים הזדמנות לחקרו;</w:t>
      </w:r>
    </w:p>
    <w:p w:rsidR="000A687B" w:rsidRPr="00AD5390" w:rsidRDefault="000A687B" w:rsidP="00B77B89">
      <w:pPr>
        <w:pStyle w:val="p22"/>
        <w:bidi/>
        <w:spacing w:before="72" w:beforeAutospacing="0" w:after="0" w:afterAutospacing="0"/>
        <w:ind w:left="1741" w:right="1134"/>
        <w:jc w:val="both"/>
        <w:rPr>
          <w:rFonts w:cs="David"/>
          <w:color w:val="000000"/>
          <w:rtl/>
        </w:rPr>
      </w:pPr>
      <w:r w:rsidRPr="00AD5390">
        <w:rPr>
          <w:rStyle w:val="default"/>
          <w:rFonts w:cs="David" w:hint="cs"/>
          <w:color w:val="000000"/>
          <w:rtl/>
        </w:rPr>
        <w:t>(3)  </w:t>
      </w:r>
      <w:r w:rsidRPr="00AD5390">
        <w:rPr>
          <w:rStyle w:val="apple-converted-space"/>
          <w:rFonts w:cs="David" w:hint="cs"/>
          <w:color w:val="000000"/>
          <w:rtl/>
        </w:rPr>
        <w:t> </w:t>
      </w:r>
      <w:r w:rsidRPr="00AD5390">
        <w:rPr>
          <w:rStyle w:val="default"/>
          <w:rFonts w:cs="David" w:hint="cs"/>
          <w:color w:val="000000"/>
          <w:rtl/>
        </w:rPr>
        <w:t>העדות שונה, לדעת בית המשפט, מן האמרה בפרט מהותי, או העד מכחיש את תוכן האמרה או טוען כי אינו זוכר את תכנה.</w:t>
      </w:r>
    </w:p>
    <w:p w:rsidR="000A687B" w:rsidRPr="00AD5390" w:rsidRDefault="000A687B" w:rsidP="00B77B89">
      <w:pPr>
        <w:pStyle w:val="p00"/>
        <w:bidi/>
        <w:spacing w:before="72" w:beforeAutospacing="0" w:after="0" w:afterAutospacing="0"/>
        <w:ind w:left="720" w:right="1134"/>
        <w:jc w:val="both"/>
        <w:rPr>
          <w:rFonts w:cs="David"/>
          <w:color w:val="000000"/>
          <w:rtl/>
        </w:rPr>
      </w:pPr>
      <w:r w:rsidRPr="00AD5390">
        <w:rPr>
          <w:rFonts w:cs="David" w:hint="cs"/>
          <w:color w:val="000000"/>
          <w:rtl/>
        </w:rPr>
        <w:t>          </w:t>
      </w:r>
      <w:r w:rsidRPr="00AD5390">
        <w:rPr>
          <w:rStyle w:val="apple-converted-space"/>
          <w:rFonts w:cs="David" w:hint="cs"/>
          <w:color w:val="000000"/>
          <w:rtl/>
        </w:rPr>
        <w:t> </w:t>
      </w:r>
      <w:r w:rsidRPr="00AD5390">
        <w:rPr>
          <w:rStyle w:val="default"/>
          <w:rFonts w:cs="David" w:hint="cs"/>
          <w:color w:val="000000"/>
          <w:rtl/>
        </w:rPr>
        <w:t>(ב) </w:t>
      </w:r>
      <w:r w:rsidRPr="00AD5390">
        <w:rPr>
          <w:rStyle w:val="apple-converted-space"/>
          <w:rFonts w:cs="David" w:hint="cs"/>
          <w:color w:val="000000"/>
          <w:rtl/>
        </w:rPr>
        <w:t> </w:t>
      </w:r>
      <w:r w:rsidRPr="00AD5390">
        <w:rPr>
          <w:rStyle w:val="default"/>
          <w:rFonts w:cs="David" w:hint="cs"/>
          <w:color w:val="000000"/>
          <w:rtl/>
        </w:rPr>
        <w:t>בית-המשפט רשאי לקבל אמרה כאמור בסעיף קטן (א) אף אם נותן האמרה איננו עד, בין משום שהוא מסרב להעיד או אינו מסוגל להעיד, ובין שלא ניתן להביאו לבית-המשפט משום שאינו בחיים או לא ניתן למצאו, ובלבד שבית-המשפט שוכנע שמנסיבות הענין עולה, כי אמצעי פסול שימש להניא או למנוע את נותן האמרה מלתת את העדות.</w:t>
      </w:r>
    </w:p>
    <w:p w:rsidR="000A687B" w:rsidRPr="00AD5390" w:rsidRDefault="000A687B" w:rsidP="00B77B89">
      <w:pPr>
        <w:pStyle w:val="p00"/>
        <w:bidi/>
        <w:spacing w:before="72" w:beforeAutospacing="0" w:after="0" w:afterAutospacing="0"/>
        <w:ind w:left="720" w:right="1134"/>
        <w:jc w:val="both"/>
        <w:rPr>
          <w:rFonts w:cs="David"/>
          <w:color w:val="000000"/>
          <w:rtl/>
        </w:rPr>
      </w:pPr>
      <w:r w:rsidRPr="00AD5390">
        <w:rPr>
          <w:rFonts w:cs="David" w:hint="cs"/>
          <w:color w:val="000000"/>
          <w:rtl/>
        </w:rPr>
        <w:t>          </w:t>
      </w:r>
      <w:r w:rsidRPr="00AD5390">
        <w:rPr>
          <w:rStyle w:val="apple-converted-space"/>
          <w:rFonts w:cs="David" w:hint="cs"/>
          <w:color w:val="000000"/>
          <w:rtl/>
        </w:rPr>
        <w:t> </w:t>
      </w:r>
      <w:r w:rsidRPr="00AD5390">
        <w:rPr>
          <w:rStyle w:val="default"/>
          <w:rFonts w:cs="David" w:hint="cs"/>
          <w:color w:val="000000"/>
          <w:rtl/>
        </w:rPr>
        <w:t>(ג)  </w:t>
      </w:r>
      <w:r w:rsidRPr="00AD5390">
        <w:rPr>
          <w:rStyle w:val="apple-converted-space"/>
          <w:rFonts w:cs="David" w:hint="cs"/>
          <w:color w:val="000000"/>
          <w:rtl/>
        </w:rPr>
        <w:t> </w:t>
      </w:r>
      <w:r w:rsidRPr="00AD5390">
        <w:rPr>
          <w:rStyle w:val="default"/>
          <w:rFonts w:cs="David" w:hint="cs"/>
          <w:color w:val="000000"/>
          <w:rtl/>
        </w:rPr>
        <w:t>בית המשפט רשאי לסמוך ממצאיו על אמרה שנתקבלה לפי סעיף זה, או על חלקה, והוא רשאי להעדיף את האמרה על עדותו של העד, והכל אם ראה לעשות כן לנוכח נסיבות הענין, לרבות נסיבות מתן האמרה, הראיות שהובאו במשפט, התנהגות העד במשפט ואותות האמת שנתגלו במהלך המשפט, והטעמים יירשמו.</w:t>
      </w:r>
    </w:p>
    <w:p w:rsidR="000A687B" w:rsidRPr="00AD5390" w:rsidRDefault="000A687B" w:rsidP="00B77B89">
      <w:pPr>
        <w:pStyle w:val="p00"/>
        <w:bidi/>
        <w:spacing w:before="72" w:beforeAutospacing="0" w:after="0" w:afterAutospacing="0"/>
        <w:ind w:left="720" w:right="1134"/>
        <w:jc w:val="both"/>
        <w:rPr>
          <w:rStyle w:val="default"/>
          <w:rFonts w:cs="David"/>
          <w:color w:val="000000"/>
          <w:rtl/>
        </w:rPr>
      </w:pPr>
      <w:r w:rsidRPr="00AD5390">
        <w:rPr>
          <w:rFonts w:cs="David" w:hint="cs"/>
          <w:color w:val="000000"/>
          <w:rtl/>
        </w:rPr>
        <w:t>          </w:t>
      </w:r>
      <w:r w:rsidRPr="00AD5390">
        <w:rPr>
          <w:rStyle w:val="apple-converted-space"/>
          <w:rFonts w:cs="David" w:hint="cs"/>
          <w:color w:val="000000"/>
          <w:rtl/>
        </w:rPr>
        <w:t> </w:t>
      </w:r>
      <w:r w:rsidRPr="00AD5390">
        <w:rPr>
          <w:rStyle w:val="default"/>
          <w:rFonts w:cs="David" w:hint="cs"/>
          <w:color w:val="000000"/>
          <w:rtl/>
        </w:rPr>
        <w:t>(ד) </w:t>
      </w:r>
      <w:r w:rsidRPr="00AD5390">
        <w:rPr>
          <w:rStyle w:val="apple-converted-space"/>
          <w:rFonts w:cs="David" w:hint="cs"/>
          <w:color w:val="000000"/>
          <w:rtl/>
        </w:rPr>
        <w:t> </w:t>
      </w:r>
      <w:r w:rsidRPr="00AD5390">
        <w:rPr>
          <w:rStyle w:val="default"/>
          <w:rFonts w:cs="David" w:hint="cs"/>
          <w:color w:val="000000"/>
          <w:rtl/>
        </w:rPr>
        <w:t>לא יורשע אדם על סמך אמרה שנתקבלה לפי סעיף זה אלא אם יש בחומר הראיות דבר לחיזוקה.</w:t>
      </w:r>
    </w:p>
    <w:p w:rsidR="00827889" w:rsidRPr="00AD5390" w:rsidRDefault="00827889" w:rsidP="00827889">
      <w:pPr>
        <w:pStyle w:val="p00"/>
        <w:bidi/>
        <w:spacing w:before="72" w:beforeAutospacing="0" w:after="0" w:afterAutospacing="0"/>
        <w:ind w:right="1134"/>
        <w:jc w:val="both"/>
        <w:rPr>
          <w:rStyle w:val="default"/>
          <w:rFonts w:cs="David"/>
          <w:color w:val="000000"/>
          <w:rtl/>
        </w:rPr>
      </w:pPr>
    </w:p>
    <w:p w:rsidR="00D542AB" w:rsidRPr="00AD5390" w:rsidRDefault="00827889" w:rsidP="00A132D9">
      <w:pPr>
        <w:bidi/>
        <w:spacing w:line="360" w:lineRule="auto"/>
        <w:jc w:val="both"/>
        <w:rPr>
          <w:rFonts w:cs="David"/>
          <w:sz w:val="24"/>
          <w:szCs w:val="24"/>
          <w:rtl/>
        </w:rPr>
      </w:pPr>
      <w:r w:rsidRPr="00AD5390">
        <w:rPr>
          <w:rFonts w:cs="David" w:hint="cs"/>
          <w:sz w:val="24"/>
          <w:szCs w:val="24"/>
          <w:u w:val="single"/>
          <w:rtl/>
        </w:rPr>
        <w:t>סעיף 10א מתייחס לשני מצבים</w:t>
      </w:r>
      <w:r w:rsidRPr="00AD5390">
        <w:rPr>
          <w:rFonts w:cs="David" w:hint="cs"/>
          <w:sz w:val="24"/>
          <w:szCs w:val="24"/>
          <w:rtl/>
        </w:rPr>
        <w:t xml:space="preserve">: </w:t>
      </w:r>
      <w:r w:rsidRPr="00AD5390">
        <w:rPr>
          <w:rFonts w:cs="David" w:hint="cs"/>
          <w:sz w:val="24"/>
          <w:szCs w:val="24"/>
          <w:u w:val="single"/>
          <w:rtl/>
        </w:rPr>
        <w:t>האחד</w:t>
      </w:r>
      <w:r w:rsidRPr="00AD5390">
        <w:rPr>
          <w:rFonts w:cs="David" w:hint="cs"/>
          <w:sz w:val="24"/>
          <w:szCs w:val="24"/>
          <w:rtl/>
        </w:rPr>
        <w:t xml:space="preserve">, מדבר על מי שהוא "עד במשפט" (סעיף 10א(א)); </w:t>
      </w:r>
      <w:r w:rsidRPr="00AD5390">
        <w:rPr>
          <w:rFonts w:cs="David" w:hint="cs"/>
          <w:sz w:val="24"/>
          <w:szCs w:val="24"/>
          <w:u w:val="single"/>
          <w:rtl/>
        </w:rPr>
        <w:t>והשני</w:t>
      </w:r>
      <w:r w:rsidRPr="00AD5390">
        <w:rPr>
          <w:rFonts w:cs="David" w:hint="cs"/>
          <w:sz w:val="24"/>
          <w:szCs w:val="24"/>
          <w:rtl/>
        </w:rPr>
        <w:t xml:space="preserve">, מדבר על מי "שאיננו עד במשפט", וזאת משום שהוא מסרב להעיד, אינו מסוגל להעיד או מכיוון שלא ניתן להביאו לבית המשפט משום שנפטר או נעלם (סעיף 10א(ב)). </w:t>
      </w:r>
      <w:r w:rsidR="00A132D9">
        <w:rPr>
          <w:rFonts w:cs="David" w:hint="cs"/>
          <w:sz w:val="24"/>
          <w:szCs w:val="24"/>
          <w:rtl/>
        </w:rPr>
        <w:t>ההבדל העקרוני בין שני המצבים הוא שבמקרה הראשון השופט יכול לפחות לראות את האדם ולהתרשם ממ</w:t>
      </w:r>
      <w:r w:rsidR="002E301D">
        <w:rPr>
          <w:rFonts w:cs="David" w:hint="cs"/>
          <w:sz w:val="24"/>
          <w:szCs w:val="24"/>
          <w:rtl/>
        </w:rPr>
        <w:t>נו, ואולם במקרה השני, שהוא בצדק</w:t>
      </w:r>
      <w:r w:rsidR="00A132D9">
        <w:rPr>
          <w:rFonts w:cs="David" w:hint="cs"/>
          <w:sz w:val="24"/>
          <w:szCs w:val="24"/>
          <w:rtl/>
        </w:rPr>
        <w:t xml:space="preserve"> חריג יותר, השופט כלל אינו יכול להתרשם מהאדם.  ב</w:t>
      </w:r>
      <w:r w:rsidRPr="00AD5390">
        <w:rPr>
          <w:rFonts w:cs="David" w:hint="cs"/>
          <w:sz w:val="24"/>
          <w:szCs w:val="24"/>
          <w:rtl/>
        </w:rPr>
        <w:t>מצב הראשון, די בעצם העובדה שהעד חזר בו מאי</w:t>
      </w:r>
      <w:r w:rsidR="00015CD3" w:rsidRPr="00AD5390">
        <w:rPr>
          <w:rFonts w:cs="David" w:hint="cs"/>
          <w:sz w:val="24"/>
          <w:szCs w:val="24"/>
          <w:rtl/>
        </w:rPr>
        <w:t>מרת חוץ</w:t>
      </w:r>
      <w:r w:rsidRPr="00AD5390">
        <w:rPr>
          <w:rFonts w:cs="David" w:hint="cs"/>
          <w:sz w:val="24"/>
          <w:szCs w:val="24"/>
          <w:rtl/>
        </w:rPr>
        <w:t xml:space="preserve"> שמסר, ואין נפקא מינה מה גרם לכך; ואילו המצב השני </w:t>
      </w:r>
      <w:r w:rsidRPr="00AD5390">
        <w:rPr>
          <w:rFonts w:cs="David" w:hint="cs"/>
          <w:sz w:val="24"/>
          <w:szCs w:val="24"/>
          <w:rtl/>
        </w:rPr>
        <w:lastRenderedPageBreak/>
        <w:t xml:space="preserve">מדבר במי שאיננו עד, </w:t>
      </w:r>
      <w:r w:rsidR="00015CD3" w:rsidRPr="00AD5390">
        <w:rPr>
          <w:rFonts w:cs="David" w:hint="cs"/>
          <w:sz w:val="24"/>
          <w:szCs w:val="24"/>
          <w:rtl/>
        </w:rPr>
        <w:t xml:space="preserve">ושופט רשאי לקבל את האמרה אם שוכנע כי </w:t>
      </w:r>
      <w:r w:rsidRPr="00AD5390">
        <w:rPr>
          <w:rFonts w:cs="David" w:hint="cs"/>
          <w:sz w:val="24"/>
          <w:szCs w:val="24"/>
          <w:rtl/>
        </w:rPr>
        <w:t xml:space="preserve">"אמצעי פסול שימש להניא או למנוע" ממנו מלהעיד. </w:t>
      </w:r>
    </w:p>
    <w:p w:rsidR="00015CD3" w:rsidRPr="00AD5390" w:rsidRDefault="00015CD3" w:rsidP="00150C28">
      <w:pPr>
        <w:bidi/>
        <w:spacing w:line="360" w:lineRule="auto"/>
        <w:jc w:val="both"/>
        <w:rPr>
          <w:rFonts w:cs="David"/>
          <w:sz w:val="24"/>
          <w:szCs w:val="24"/>
          <w:rtl/>
        </w:rPr>
      </w:pPr>
      <w:r w:rsidRPr="00AD5390">
        <w:rPr>
          <w:rFonts w:cs="David" w:hint="cs"/>
          <w:sz w:val="24"/>
          <w:szCs w:val="24"/>
          <w:rtl/>
        </w:rPr>
        <w:t>(</w:t>
      </w:r>
      <w:r w:rsidR="00D542AB" w:rsidRPr="00AD5390">
        <w:rPr>
          <w:rFonts w:cs="David" w:hint="cs"/>
          <w:sz w:val="24"/>
          <w:szCs w:val="24"/>
          <w:rtl/>
        </w:rPr>
        <w:t xml:space="preserve">קיימים חריגים נוספים שמאפשרים קבלת אימרות חוץ של עדים: </w:t>
      </w:r>
      <w:r w:rsidR="00150C28" w:rsidRPr="00AD5390">
        <w:rPr>
          <w:rFonts w:cs="David" w:hint="cs"/>
          <w:sz w:val="24"/>
          <w:szCs w:val="24"/>
          <w:rtl/>
        </w:rPr>
        <w:t>אמרת חוץ של</w:t>
      </w:r>
      <w:r w:rsidR="00150C28" w:rsidRPr="00AD5390">
        <w:rPr>
          <w:rFonts w:cs="David"/>
          <w:sz w:val="24"/>
          <w:szCs w:val="24"/>
          <w:rtl/>
        </w:rPr>
        <w:t xml:space="preserve"> </w:t>
      </w:r>
      <w:r w:rsidR="00150C28" w:rsidRPr="00AD5390">
        <w:rPr>
          <w:rFonts w:cs="David" w:hint="cs"/>
          <w:sz w:val="24"/>
          <w:szCs w:val="24"/>
          <w:rtl/>
        </w:rPr>
        <w:t>עד</w:t>
      </w:r>
      <w:r w:rsidR="00150C28" w:rsidRPr="00AD5390">
        <w:rPr>
          <w:rFonts w:cs="David"/>
          <w:sz w:val="24"/>
          <w:szCs w:val="24"/>
          <w:rtl/>
        </w:rPr>
        <w:t xml:space="preserve"> </w:t>
      </w:r>
      <w:r w:rsidR="00150C28" w:rsidRPr="00AD5390">
        <w:rPr>
          <w:rFonts w:cs="David" w:hint="cs"/>
          <w:sz w:val="24"/>
          <w:szCs w:val="24"/>
          <w:rtl/>
        </w:rPr>
        <w:t>בעת</w:t>
      </w:r>
      <w:r w:rsidR="00150C28" w:rsidRPr="00AD5390">
        <w:rPr>
          <w:rFonts w:cs="David"/>
          <w:sz w:val="24"/>
          <w:szCs w:val="24"/>
          <w:rtl/>
        </w:rPr>
        <w:t xml:space="preserve"> </w:t>
      </w:r>
      <w:r w:rsidR="00150C28" w:rsidRPr="00AD5390">
        <w:rPr>
          <w:rFonts w:cs="David" w:hint="cs"/>
          <w:sz w:val="24"/>
          <w:szCs w:val="24"/>
          <w:rtl/>
        </w:rPr>
        <w:t>ביצוע</w:t>
      </w:r>
      <w:r w:rsidR="00150C28" w:rsidRPr="00AD5390">
        <w:rPr>
          <w:rFonts w:cs="David"/>
          <w:sz w:val="24"/>
          <w:szCs w:val="24"/>
          <w:rtl/>
        </w:rPr>
        <w:t xml:space="preserve"> </w:t>
      </w:r>
      <w:r w:rsidR="00150C28" w:rsidRPr="00AD5390">
        <w:rPr>
          <w:rFonts w:cs="David" w:hint="cs"/>
          <w:sz w:val="24"/>
          <w:szCs w:val="24"/>
          <w:rtl/>
        </w:rPr>
        <w:t>עבירה לפי סעיף 9 לפקודה</w:t>
      </w:r>
      <w:r w:rsidR="00150C28" w:rsidRPr="00AD5390">
        <w:rPr>
          <w:rFonts w:cs="David"/>
          <w:sz w:val="24"/>
          <w:szCs w:val="24"/>
        </w:rPr>
        <w:t>;</w:t>
      </w:r>
      <w:r w:rsidR="00150C28" w:rsidRPr="00AD5390">
        <w:rPr>
          <w:rFonts w:cs="David" w:hint="cs"/>
          <w:sz w:val="24"/>
          <w:szCs w:val="24"/>
          <w:rtl/>
        </w:rPr>
        <w:t xml:space="preserve"> אמרה של קורבן אלימות</w:t>
      </w:r>
      <w:r w:rsidR="00150C28" w:rsidRPr="00AD5390">
        <w:rPr>
          <w:rFonts w:cs="David" w:hint="cs"/>
          <w:sz w:val="24"/>
          <w:szCs w:val="24"/>
        </w:rPr>
        <w:t xml:space="preserve"> </w:t>
      </w:r>
      <w:r w:rsidR="00150C28" w:rsidRPr="00AD5390">
        <w:rPr>
          <w:rFonts w:cs="David" w:hint="cs"/>
          <w:sz w:val="24"/>
          <w:szCs w:val="24"/>
          <w:rtl/>
        </w:rPr>
        <w:t>לפי סעיף 10 לפקודה</w:t>
      </w:r>
      <w:r w:rsidR="00150C28" w:rsidRPr="00AD5390">
        <w:rPr>
          <w:rStyle w:val="a5"/>
          <w:rFonts w:cs="David"/>
          <w:sz w:val="24"/>
          <w:szCs w:val="24"/>
          <w:rtl/>
        </w:rPr>
        <w:footnoteReference w:id="1"/>
      </w:r>
      <w:r w:rsidR="00150C28" w:rsidRPr="00AD5390">
        <w:rPr>
          <w:rFonts w:cs="David" w:hint="cs"/>
          <w:sz w:val="24"/>
          <w:szCs w:val="24"/>
          <w:rtl/>
        </w:rPr>
        <w:t>; ע</w:t>
      </w:r>
      <w:r w:rsidR="00D542AB" w:rsidRPr="00AD5390">
        <w:rPr>
          <w:rFonts w:cs="David" w:hint="cs"/>
          <w:sz w:val="24"/>
          <w:szCs w:val="24"/>
          <w:rtl/>
        </w:rPr>
        <w:t xml:space="preserve">דים שנפטרו לפני שהייתה הזדמנות להשמיע את עדותם בבית המשפט (בכפוף לפסיקה שהתפתחה); </w:t>
      </w:r>
      <w:r w:rsidR="00150C28" w:rsidRPr="00AD5390">
        <w:rPr>
          <w:rFonts w:cs="David" w:hint="cs"/>
          <w:sz w:val="24"/>
          <w:szCs w:val="24"/>
          <w:rtl/>
        </w:rPr>
        <w:t xml:space="preserve">וכן </w:t>
      </w:r>
      <w:r w:rsidR="00D542AB" w:rsidRPr="00AD5390">
        <w:rPr>
          <w:rFonts w:cs="David" w:hint="cs"/>
          <w:sz w:val="24"/>
          <w:szCs w:val="24"/>
          <w:rtl/>
        </w:rPr>
        <w:t>אמירות מילוליות המשולבות בהתרחשות פיזית עד כדי היותן חלק ממנה, באופן שהן הופכות "להתנהגו</w:t>
      </w:r>
      <w:r w:rsidR="00150C28" w:rsidRPr="00AD5390">
        <w:rPr>
          <w:rFonts w:cs="David" w:hint="cs"/>
          <w:sz w:val="24"/>
          <w:szCs w:val="24"/>
          <w:rtl/>
        </w:rPr>
        <w:t>ת במילים" או</w:t>
      </w:r>
      <w:r w:rsidR="00B97E8E" w:rsidRPr="00AD5390">
        <w:rPr>
          <w:rFonts w:cs="David" w:hint="cs"/>
          <w:sz w:val="24"/>
          <w:szCs w:val="24"/>
          <w:rtl/>
        </w:rPr>
        <w:t xml:space="preserve"> ל"התנהגות מילולית", לפי הפסיקה</w:t>
      </w:r>
      <w:r w:rsidRPr="00AD5390">
        <w:rPr>
          <w:rFonts w:cs="David" w:hint="cs"/>
          <w:sz w:val="24"/>
          <w:szCs w:val="24"/>
          <w:rtl/>
        </w:rPr>
        <w:t>)</w:t>
      </w:r>
      <w:r w:rsidR="00B97E8E" w:rsidRPr="00AD5390">
        <w:rPr>
          <w:rFonts w:cs="David" w:hint="cs"/>
          <w:sz w:val="24"/>
          <w:szCs w:val="24"/>
          <w:rtl/>
        </w:rPr>
        <w:t>.</w:t>
      </w:r>
    </w:p>
    <w:p w:rsidR="005F5015" w:rsidRPr="00AD5390" w:rsidRDefault="00015CD3" w:rsidP="00015CD3">
      <w:pPr>
        <w:bidi/>
        <w:spacing w:line="360" w:lineRule="auto"/>
        <w:jc w:val="both"/>
        <w:rPr>
          <w:rFonts w:cs="David"/>
          <w:sz w:val="24"/>
          <w:szCs w:val="24"/>
          <w:rtl/>
        </w:rPr>
      </w:pPr>
      <w:r w:rsidRPr="00AD5390">
        <w:rPr>
          <w:rFonts w:cs="David" w:hint="cs"/>
          <w:sz w:val="24"/>
          <w:szCs w:val="24"/>
          <w:rtl/>
        </w:rPr>
        <w:t xml:space="preserve">הצעת החוק, כאמור, מבקשת לקבוע כי כל אמרה שנתנה על ידי מי שיצא למדינת אויב או לשטחי המועצה הפלסטינית, תהיה קבילה במשפט פלילי בעבירת טרור. </w:t>
      </w:r>
    </w:p>
    <w:p w:rsidR="005F5015" w:rsidRPr="00AD5390" w:rsidRDefault="009B36A8" w:rsidP="005F5015">
      <w:pPr>
        <w:bidi/>
        <w:spacing w:line="360" w:lineRule="auto"/>
        <w:jc w:val="both"/>
        <w:rPr>
          <w:rFonts w:cs="David"/>
          <w:sz w:val="24"/>
          <w:szCs w:val="24"/>
          <w:rtl/>
        </w:rPr>
      </w:pPr>
      <w:r w:rsidRPr="00AD5390">
        <w:rPr>
          <w:rFonts w:cs="David" w:hint="cs"/>
          <w:sz w:val="24"/>
          <w:szCs w:val="24"/>
          <w:rtl/>
        </w:rPr>
        <w:t xml:space="preserve">שאלות </w:t>
      </w:r>
      <w:r w:rsidR="005F5015" w:rsidRPr="00AD5390">
        <w:rPr>
          <w:rFonts w:cs="David" w:hint="cs"/>
          <w:sz w:val="24"/>
          <w:szCs w:val="24"/>
          <w:rtl/>
        </w:rPr>
        <w:t>לדיון:</w:t>
      </w:r>
    </w:p>
    <w:p w:rsidR="003D2A81" w:rsidRDefault="00B25502" w:rsidP="003D2A81">
      <w:pPr>
        <w:pStyle w:val="a6"/>
        <w:numPr>
          <w:ilvl w:val="0"/>
          <w:numId w:val="2"/>
        </w:numPr>
        <w:bidi/>
        <w:spacing w:line="360" w:lineRule="auto"/>
        <w:jc w:val="both"/>
        <w:rPr>
          <w:rFonts w:cs="David"/>
          <w:sz w:val="24"/>
          <w:szCs w:val="24"/>
        </w:rPr>
      </w:pPr>
      <w:r w:rsidRPr="00AD5390">
        <w:rPr>
          <w:rFonts w:cs="David" w:hint="cs"/>
          <w:sz w:val="24"/>
          <w:szCs w:val="24"/>
          <w:u w:val="single"/>
          <w:rtl/>
        </w:rPr>
        <w:t>היכולת להתגונן:</w:t>
      </w:r>
      <w:r w:rsidRPr="00AD5390">
        <w:rPr>
          <w:rFonts w:cs="David" w:hint="cs"/>
          <w:sz w:val="24"/>
          <w:szCs w:val="24"/>
          <w:rtl/>
        </w:rPr>
        <w:t xml:space="preserve"> </w:t>
      </w:r>
      <w:r w:rsidR="00E35196" w:rsidRPr="00AD5390">
        <w:rPr>
          <w:rFonts w:cs="David" w:hint="cs"/>
          <w:sz w:val="24"/>
          <w:szCs w:val="24"/>
          <w:rtl/>
        </w:rPr>
        <w:t xml:space="preserve">באילו מקרים יש צורך בסעיף זה? האם אין דרך מידתית יותר לגבות את העדות או האמרה שלא תפגע ביכולת של הנאשם להתגונן? אם העדות נתנה כאשר האדם נמצא בארץ, מדוע אין ביכולתם של גורמי האכיפה </w:t>
      </w:r>
      <w:r w:rsidR="00B97E8E" w:rsidRPr="00AD5390">
        <w:rPr>
          <w:rFonts w:cs="David" w:hint="cs"/>
          <w:sz w:val="24"/>
          <w:szCs w:val="24"/>
          <w:rtl/>
        </w:rPr>
        <w:t>לגבות</w:t>
      </w:r>
      <w:r w:rsidR="00E35196" w:rsidRPr="00AD5390">
        <w:rPr>
          <w:rFonts w:cs="David" w:hint="cs"/>
          <w:sz w:val="24"/>
          <w:szCs w:val="24"/>
          <w:rtl/>
        </w:rPr>
        <w:t xml:space="preserve"> עדות מוקדמת לפי סעיף 117 לחסד"פ לפני שהאדם יוצא מהמדינה?</w:t>
      </w:r>
      <w:r w:rsidR="00A132D9">
        <w:rPr>
          <w:rStyle w:val="a5"/>
          <w:rFonts w:cs="David"/>
          <w:sz w:val="24"/>
          <w:szCs w:val="24"/>
          <w:rtl/>
        </w:rPr>
        <w:footnoteReference w:id="2"/>
      </w:r>
      <w:r w:rsidR="00E35196" w:rsidRPr="00AD5390">
        <w:rPr>
          <w:rFonts w:cs="David" w:hint="cs"/>
          <w:sz w:val="24"/>
          <w:szCs w:val="24"/>
          <w:rtl/>
        </w:rPr>
        <w:t xml:space="preserve"> ואם האמרה נגבית בעת פעולה מלחמתית/מבצעית מחוץ למדינה, האם מוצדק לאפשר לשופט לקבל ראיה כזו, מבלי שהנאשם יוכל לנהל חקירה נגדית אפקטיבית? </w:t>
      </w:r>
      <w:r w:rsidR="002E301D">
        <w:rPr>
          <w:rFonts w:cs="David" w:hint="cs"/>
          <w:sz w:val="24"/>
          <w:szCs w:val="24"/>
          <w:u w:val="single"/>
          <w:rtl/>
        </w:rPr>
        <w:t>הכרעת הכנסת עד כה הייתה שרק במקרים נדירים ביותר, שעניינם התנהגות פסולה כלפי העד שמנע ממנו להעיד, ניתן לעשות שימוש באמרתו. אין מקום לחרוג מכלל זה רק לעניין המאבק בטרור.</w:t>
      </w:r>
      <w:r w:rsidR="003B2EB7">
        <w:rPr>
          <w:rFonts w:cs="David" w:hint="cs"/>
          <w:sz w:val="24"/>
          <w:szCs w:val="24"/>
          <w:u w:val="single"/>
          <w:rtl/>
        </w:rPr>
        <w:t xml:space="preserve"> שינוי סדרי בראשית בעניין כזה דורש תיקון כללי לפקודת הראיות, שהצדקותיו צריכות להיות מלובנות לעומק. </w:t>
      </w:r>
    </w:p>
    <w:p w:rsidR="003D2A81" w:rsidRPr="003D2A81" w:rsidRDefault="003D2A81" w:rsidP="003D2A81">
      <w:pPr>
        <w:pStyle w:val="a6"/>
        <w:bidi/>
        <w:spacing w:line="360" w:lineRule="auto"/>
        <w:jc w:val="both"/>
        <w:rPr>
          <w:rFonts w:cs="David"/>
          <w:sz w:val="24"/>
          <w:szCs w:val="24"/>
        </w:rPr>
      </w:pPr>
    </w:p>
    <w:p w:rsidR="004579C2" w:rsidRPr="003D2A81" w:rsidRDefault="00B25502" w:rsidP="00D86485">
      <w:pPr>
        <w:pStyle w:val="a6"/>
        <w:numPr>
          <w:ilvl w:val="0"/>
          <w:numId w:val="2"/>
        </w:numPr>
        <w:bidi/>
        <w:spacing w:before="100" w:beforeAutospacing="1" w:after="100" w:afterAutospacing="1" w:line="360" w:lineRule="auto"/>
        <w:jc w:val="both"/>
        <w:rPr>
          <w:rFonts w:cs="David"/>
          <w:sz w:val="24"/>
          <w:szCs w:val="24"/>
          <w:rtl/>
        </w:rPr>
      </w:pPr>
      <w:r w:rsidRPr="003D2A81">
        <w:rPr>
          <w:rFonts w:cs="David" w:hint="cs"/>
          <w:sz w:val="24"/>
          <w:szCs w:val="24"/>
          <w:u w:val="single"/>
          <w:rtl/>
        </w:rPr>
        <w:lastRenderedPageBreak/>
        <w:t>תוספת ראייתית</w:t>
      </w:r>
      <w:r w:rsidRPr="003D2A81">
        <w:rPr>
          <w:rFonts w:cs="David" w:hint="cs"/>
          <w:sz w:val="24"/>
          <w:szCs w:val="24"/>
          <w:rtl/>
        </w:rPr>
        <w:t xml:space="preserve">: </w:t>
      </w:r>
      <w:r w:rsidR="003D2A81" w:rsidRPr="003D2A81">
        <w:rPr>
          <w:rFonts w:cs="David" w:hint="cs"/>
          <w:sz w:val="24"/>
          <w:szCs w:val="24"/>
          <w:rtl/>
        </w:rPr>
        <w:t>הערה לשיטת המדינה עצמה: יש לשקול האם לאפשר לאמרה לשמש כסיוע</w:t>
      </w:r>
      <w:r w:rsidR="00D86485">
        <w:rPr>
          <w:rFonts w:cs="David" w:hint="cs"/>
          <w:sz w:val="24"/>
          <w:szCs w:val="24"/>
          <w:rtl/>
        </w:rPr>
        <w:t>.</w:t>
      </w:r>
      <w:r w:rsidR="003D2A81">
        <w:rPr>
          <w:rStyle w:val="a5"/>
          <w:rFonts w:cs="David"/>
          <w:sz w:val="24"/>
          <w:szCs w:val="24"/>
          <w:rtl/>
        </w:rPr>
        <w:footnoteReference w:id="3"/>
      </w:r>
      <w:r w:rsidR="003D2A81" w:rsidRPr="003D2A81">
        <w:rPr>
          <w:rFonts w:cs="David" w:hint="cs"/>
          <w:sz w:val="24"/>
          <w:szCs w:val="24"/>
          <w:rtl/>
        </w:rPr>
        <w:t xml:space="preserve"> מה ייחשב לטעם "מיוחד" שיאפשר את השימוש כסיוע? על פני הדברים, "הטעם המיוחד" יתקיים בכל תיק שיהיה צורך באמרת חוץ כדי להרשיע. </w:t>
      </w:r>
      <w:r w:rsidRPr="003D2A81">
        <w:rPr>
          <w:rFonts w:ascii="Arial" w:hAnsi="Arial" w:cs="David"/>
          <w:sz w:val="24"/>
          <w:szCs w:val="24"/>
          <w:rtl/>
        </w:rPr>
        <w:t> </w:t>
      </w:r>
      <w:r w:rsidR="00150C28" w:rsidRPr="003D2A81">
        <w:rPr>
          <w:rFonts w:cs="David" w:hint="cs"/>
          <w:sz w:val="24"/>
          <w:szCs w:val="24"/>
          <w:rtl/>
        </w:rPr>
        <w:t xml:space="preserve"> </w:t>
      </w:r>
    </w:p>
    <w:p w:rsidR="000B4EF9" w:rsidRPr="00AD5390" w:rsidRDefault="000B4EF9" w:rsidP="000B4EF9">
      <w:pPr>
        <w:autoSpaceDE w:val="0"/>
        <w:autoSpaceDN w:val="0"/>
        <w:bidi/>
        <w:spacing w:after="0" w:line="240" w:lineRule="auto"/>
        <w:jc w:val="both"/>
        <w:rPr>
          <w:rFonts w:ascii="Garamond" w:hAnsi="Garamond" w:cs="David"/>
          <w:b/>
          <w:bCs/>
          <w:sz w:val="24"/>
          <w:szCs w:val="24"/>
          <w:rtl/>
          <w:lang w:eastAsia="he-IL"/>
        </w:rPr>
      </w:pPr>
      <w:r w:rsidRPr="00AD5390">
        <w:rPr>
          <w:rFonts w:ascii="Garamond" w:hAnsi="Garamond" w:cs="David" w:hint="cs"/>
          <w:b/>
          <w:bCs/>
          <w:sz w:val="24"/>
          <w:szCs w:val="24"/>
          <w:rtl/>
          <w:lang w:eastAsia="he-IL"/>
        </w:rPr>
        <w:t>ב. התיישנות בעבירות טרור</w:t>
      </w:r>
    </w:p>
    <w:p w:rsidR="000B4EF9" w:rsidRPr="00AD5390" w:rsidRDefault="000B4EF9" w:rsidP="000B4EF9">
      <w:pPr>
        <w:autoSpaceDE w:val="0"/>
        <w:autoSpaceDN w:val="0"/>
        <w:bidi/>
        <w:spacing w:after="0" w:line="240" w:lineRule="auto"/>
        <w:jc w:val="both"/>
        <w:rPr>
          <w:rFonts w:ascii="Garamond" w:hAnsi="Garamond" w:cs="David"/>
          <w:b/>
          <w:bCs/>
          <w:sz w:val="24"/>
          <w:szCs w:val="24"/>
          <w:rtl/>
          <w:lang w:eastAsia="he-IL"/>
        </w:rPr>
      </w:pPr>
    </w:p>
    <w:p w:rsidR="000B4EF9" w:rsidRPr="00AD5390" w:rsidRDefault="000B4EF9" w:rsidP="00B97E8E">
      <w:pPr>
        <w:bidi/>
        <w:spacing w:line="360" w:lineRule="auto"/>
        <w:jc w:val="both"/>
        <w:rPr>
          <w:rFonts w:cs="David"/>
          <w:sz w:val="24"/>
          <w:szCs w:val="24"/>
          <w:rtl/>
        </w:rPr>
      </w:pPr>
      <w:r w:rsidRPr="00AD5390">
        <w:rPr>
          <w:rFonts w:cs="David" w:hint="cs"/>
          <w:sz w:val="24"/>
          <w:szCs w:val="24"/>
          <w:rtl/>
        </w:rPr>
        <w:t xml:space="preserve">בסעיף 48 להצעת החוק, מוצע לקבוע כי לעניין עבירות טרור (ולהזכיר </w:t>
      </w:r>
      <w:r w:rsidRPr="00AD5390">
        <w:rPr>
          <w:rFonts w:cs="David"/>
          <w:sz w:val="24"/>
          <w:szCs w:val="24"/>
          <w:rtl/>
        </w:rPr>
        <w:t>–</w:t>
      </w:r>
      <w:r w:rsidRPr="00AD5390">
        <w:rPr>
          <w:rFonts w:cs="David" w:hint="cs"/>
          <w:sz w:val="24"/>
          <w:szCs w:val="24"/>
          <w:rtl/>
        </w:rPr>
        <w:t xml:space="preserve"> עבירות טרור כוללות לא רק מעשים חמורים אלא גם כל העבירות "הקלות" לפי חוק המאבק בטרור),</w:t>
      </w:r>
      <w:r w:rsidRPr="00AD5390">
        <w:rPr>
          <w:rFonts w:cs="David" w:hint="cs"/>
          <w:sz w:val="24"/>
          <w:szCs w:val="24"/>
        </w:rPr>
        <w:t xml:space="preserve"> </w:t>
      </w:r>
      <w:r w:rsidRPr="00AD5390">
        <w:rPr>
          <w:rFonts w:cs="David" w:hint="cs"/>
          <w:sz w:val="24"/>
          <w:szCs w:val="24"/>
          <w:rtl/>
        </w:rPr>
        <w:t xml:space="preserve"> </w:t>
      </w:r>
      <w:r w:rsidRPr="00AD5390">
        <w:rPr>
          <w:rFonts w:cs="David" w:hint="cs"/>
          <w:sz w:val="24"/>
          <w:szCs w:val="24"/>
          <w:u w:val="single"/>
          <w:rtl/>
        </w:rPr>
        <w:t xml:space="preserve">לא יחול </w:t>
      </w:r>
      <w:r w:rsidRPr="00AD5390">
        <w:rPr>
          <w:rFonts w:cs="David" w:hint="cs"/>
          <w:sz w:val="24"/>
          <w:szCs w:val="24"/>
          <w:rtl/>
        </w:rPr>
        <w:t>סעיף 9 לחסד"פ, הקובע תקופת התיישנות לעבירות, אם לא נוהלה חקירה כיוון שהחשוד</w:t>
      </w:r>
      <w:r w:rsidRPr="00AD5390">
        <w:rPr>
          <w:rFonts w:cs="David"/>
          <w:sz w:val="24"/>
          <w:szCs w:val="24"/>
          <w:rtl/>
        </w:rPr>
        <w:t xml:space="preserve"> </w:t>
      </w:r>
      <w:r w:rsidRPr="00AD5390">
        <w:rPr>
          <w:rFonts w:cs="David" w:hint="cs"/>
          <w:sz w:val="24"/>
          <w:szCs w:val="24"/>
          <w:rtl/>
        </w:rPr>
        <w:t>נמצא</w:t>
      </w:r>
      <w:r w:rsidRPr="00AD5390">
        <w:rPr>
          <w:rFonts w:cs="David"/>
          <w:sz w:val="24"/>
          <w:szCs w:val="24"/>
          <w:rtl/>
        </w:rPr>
        <w:t xml:space="preserve"> </w:t>
      </w:r>
      <w:r w:rsidRPr="00AD5390">
        <w:rPr>
          <w:rFonts w:cs="David" w:hint="cs"/>
          <w:sz w:val="24"/>
          <w:szCs w:val="24"/>
          <w:rtl/>
        </w:rPr>
        <w:t>מחוץ</w:t>
      </w:r>
      <w:r w:rsidRPr="00AD5390">
        <w:rPr>
          <w:rFonts w:cs="David"/>
          <w:sz w:val="24"/>
          <w:szCs w:val="24"/>
          <w:rtl/>
        </w:rPr>
        <w:t xml:space="preserve"> </w:t>
      </w:r>
      <w:r w:rsidRPr="00AD5390">
        <w:rPr>
          <w:rFonts w:cs="David" w:hint="cs"/>
          <w:sz w:val="24"/>
          <w:szCs w:val="24"/>
          <w:rtl/>
        </w:rPr>
        <w:t>לישראל</w:t>
      </w:r>
      <w:r w:rsidRPr="00AD5390">
        <w:rPr>
          <w:rFonts w:cs="David"/>
          <w:sz w:val="24"/>
          <w:szCs w:val="24"/>
          <w:rtl/>
        </w:rPr>
        <w:t xml:space="preserve"> </w:t>
      </w:r>
      <w:r w:rsidRPr="00AD5390">
        <w:rPr>
          <w:rFonts w:cs="David" w:hint="cs"/>
          <w:sz w:val="24"/>
          <w:szCs w:val="24"/>
          <w:rtl/>
        </w:rPr>
        <w:t>ולא</w:t>
      </w:r>
      <w:r w:rsidRPr="00AD5390">
        <w:rPr>
          <w:rFonts w:cs="David"/>
          <w:sz w:val="24"/>
          <w:szCs w:val="24"/>
          <w:rtl/>
        </w:rPr>
        <w:t xml:space="preserve"> </w:t>
      </w:r>
      <w:r w:rsidRPr="00AD5390">
        <w:rPr>
          <w:rFonts w:cs="David" w:hint="cs"/>
          <w:sz w:val="24"/>
          <w:szCs w:val="24"/>
          <w:rtl/>
        </w:rPr>
        <w:t>ניתן</w:t>
      </w:r>
      <w:r w:rsidRPr="00AD5390">
        <w:rPr>
          <w:rFonts w:cs="David"/>
          <w:sz w:val="24"/>
          <w:szCs w:val="24"/>
          <w:rtl/>
        </w:rPr>
        <w:t xml:space="preserve"> </w:t>
      </w:r>
      <w:r w:rsidRPr="00AD5390">
        <w:rPr>
          <w:rFonts w:cs="David" w:hint="cs"/>
          <w:sz w:val="24"/>
          <w:szCs w:val="24"/>
          <w:rtl/>
        </w:rPr>
        <w:t>להביאו</w:t>
      </w:r>
      <w:r w:rsidRPr="00AD5390">
        <w:rPr>
          <w:rFonts w:cs="David"/>
          <w:sz w:val="24"/>
          <w:szCs w:val="24"/>
          <w:rtl/>
        </w:rPr>
        <w:t xml:space="preserve"> </w:t>
      </w:r>
      <w:r w:rsidRPr="00AD5390">
        <w:rPr>
          <w:rFonts w:cs="David" w:hint="cs"/>
          <w:sz w:val="24"/>
          <w:szCs w:val="24"/>
          <w:rtl/>
        </w:rPr>
        <w:t>לחקירה</w:t>
      </w:r>
      <w:r w:rsidRPr="00AD5390">
        <w:rPr>
          <w:rFonts w:cs="David"/>
          <w:sz w:val="24"/>
          <w:szCs w:val="24"/>
          <w:rtl/>
        </w:rPr>
        <w:t xml:space="preserve"> </w:t>
      </w:r>
      <w:r w:rsidRPr="00AD5390">
        <w:rPr>
          <w:rFonts w:cs="David" w:hint="cs"/>
          <w:sz w:val="24"/>
          <w:szCs w:val="24"/>
          <w:rtl/>
        </w:rPr>
        <w:t>או</w:t>
      </w:r>
      <w:r w:rsidRPr="00AD5390">
        <w:rPr>
          <w:rFonts w:cs="David"/>
          <w:sz w:val="24"/>
          <w:szCs w:val="24"/>
          <w:rtl/>
        </w:rPr>
        <w:t xml:space="preserve"> </w:t>
      </w:r>
      <w:r w:rsidRPr="00AD5390">
        <w:rPr>
          <w:rFonts w:cs="David" w:hint="cs"/>
          <w:sz w:val="24"/>
          <w:szCs w:val="24"/>
          <w:rtl/>
        </w:rPr>
        <w:t>למשפט</w:t>
      </w:r>
      <w:r w:rsidRPr="00AD5390">
        <w:rPr>
          <w:rFonts w:cs="David"/>
          <w:sz w:val="24"/>
          <w:szCs w:val="24"/>
          <w:rtl/>
        </w:rPr>
        <w:t xml:space="preserve"> </w:t>
      </w:r>
      <w:r w:rsidRPr="00AD5390">
        <w:rPr>
          <w:rFonts w:cs="David" w:hint="cs"/>
          <w:sz w:val="24"/>
          <w:szCs w:val="24"/>
          <w:rtl/>
        </w:rPr>
        <w:t>בישראל.</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7146"/>
      </w:tblGrid>
      <w:tr w:rsidR="004579C2" w:rsidRPr="00AD5390" w:rsidTr="00843769">
        <w:trPr>
          <w:cantSplit/>
        </w:trPr>
        <w:tc>
          <w:tcPr>
            <w:tcW w:w="1869" w:type="dxa"/>
            <w:shd w:val="clear" w:color="auto" w:fill="auto"/>
            <w:tcMar>
              <w:top w:w="170" w:type="dxa"/>
              <w:left w:w="0" w:type="dxa"/>
              <w:bottom w:w="91" w:type="dxa"/>
              <w:right w:w="0" w:type="dxa"/>
            </w:tcMar>
          </w:tcPr>
          <w:p w:rsidR="004579C2" w:rsidRPr="00AD5390" w:rsidRDefault="00B97E8E" w:rsidP="00843769">
            <w:pPr>
              <w:pStyle w:val="TableSideHeading"/>
              <w:rPr>
                <w:sz w:val="24"/>
                <w:szCs w:val="24"/>
                <w:rtl/>
              </w:rPr>
            </w:pPr>
            <w:r w:rsidRPr="00AD5390">
              <w:rPr>
                <w:rFonts w:hint="cs"/>
                <w:sz w:val="24"/>
                <w:szCs w:val="24"/>
                <w:rtl/>
              </w:rPr>
              <w:t>"</w:t>
            </w:r>
            <w:r w:rsidR="004579C2" w:rsidRPr="00AD5390">
              <w:rPr>
                <w:rFonts w:hint="eastAsia"/>
                <w:sz w:val="24"/>
                <w:szCs w:val="24"/>
                <w:rtl/>
              </w:rPr>
              <w:t>התיישנות</w:t>
            </w:r>
            <w:r w:rsidR="004579C2" w:rsidRPr="00AD5390">
              <w:rPr>
                <w:sz w:val="24"/>
                <w:szCs w:val="24"/>
                <w:rtl/>
              </w:rPr>
              <w:t xml:space="preserve"> </w:t>
            </w:r>
            <w:r w:rsidR="004579C2" w:rsidRPr="00AD5390">
              <w:rPr>
                <w:rFonts w:hint="eastAsia"/>
                <w:sz w:val="24"/>
                <w:szCs w:val="24"/>
                <w:rtl/>
              </w:rPr>
              <w:t>בעבירות</w:t>
            </w:r>
            <w:r w:rsidR="004579C2" w:rsidRPr="00AD5390">
              <w:rPr>
                <w:sz w:val="24"/>
                <w:szCs w:val="24"/>
                <w:rtl/>
              </w:rPr>
              <w:t xml:space="preserve"> </w:t>
            </w:r>
            <w:r w:rsidR="004579C2" w:rsidRPr="00AD5390">
              <w:rPr>
                <w:rFonts w:hint="eastAsia"/>
                <w:sz w:val="24"/>
                <w:szCs w:val="24"/>
                <w:rtl/>
              </w:rPr>
              <w:t>טרור</w:t>
            </w:r>
          </w:p>
        </w:tc>
        <w:tc>
          <w:tcPr>
            <w:tcW w:w="623" w:type="dxa"/>
            <w:shd w:val="clear" w:color="auto" w:fill="auto"/>
            <w:tcMar>
              <w:top w:w="170" w:type="dxa"/>
              <w:left w:w="0" w:type="dxa"/>
              <w:bottom w:w="91" w:type="dxa"/>
              <w:right w:w="0" w:type="dxa"/>
            </w:tcMar>
          </w:tcPr>
          <w:p w:rsidR="004579C2" w:rsidRPr="00AD5390" w:rsidRDefault="004579C2" w:rsidP="00843769">
            <w:pPr>
              <w:pStyle w:val="TableText"/>
              <w:rPr>
                <w:sz w:val="24"/>
                <w:szCs w:val="24"/>
                <w:rtl/>
              </w:rPr>
            </w:pPr>
            <w:r w:rsidRPr="00AD5390">
              <w:rPr>
                <w:sz w:val="24"/>
                <w:szCs w:val="24"/>
                <w:rtl/>
              </w:rPr>
              <w:t>48.</w:t>
            </w:r>
            <w:r w:rsidRPr="00AD5390">
              <w:rPr>
                <w:sz w:val="24"/>
                <w:szCs w:val="24"/>
                <w:rtl/>
              </w:rPr>
              <w:tab/>
            </w:r>
          </w:p>
        </w:tc>
        <w:tc>
          <w:tcPr>
            <w:tcW w:w="7146" w:type="dxa"/>
            <w:shd w:val="clear" w:color="auto" w:fill="auto"/>
            <w:tcMar>
              <w:top w:w="170" w:type="dxa"/>
              <w:left w:w="0" w:type="dxa"/>
              <w:bottom w:w="91" w:type="dxa"/>
              <w:right w:w="0" w:type="dxa"/>
            </w:tcMar>
          </w:tcPr>
          <w:p w:rsidR="004579C2" w:rsidRPr="00AD5390" w:rsidRDefault="004579C2" w:rsidP="00150C28">
            <w:pPr>
              <w:pStyle w:val="TableBlock"/>
              <w:rPr>
                <w:sz w:val="24"/>
                <w:szCs w:val="24"/>
                <w:rtl/>
              </w:rPr>
            </w:pPr>
            <w:r w:rsidRPr="00AD5390">
              <w:rPr>
                <w:rFonts w:hint="eastAsia"/>
                <w:sz w:val="24"/>
                <w:szCs w:val="24"/>
                <w:rtl/>
              </w:rPr>
              <w:t>על</w:t>
            </w:r>
            <w:r w:rsidRPr="00AD5390">
              <w:rPr>
                <w:sz w:val="24"/>
                <w:szCs w:val="24"/>
                <w:rtl/>
              </w:rPr>
              <w:t xml:space="preserve"> </w:t>
            </w:r>
            <w:r w:rsidRPr="00AD5390">
              <w:rPr>
                <w:rFonts w:hint="eastAsia"/>
                <w:sz w:val="24"/>
                <w:szCs w:val="24"/>
                <w:rtl/>
              </w:rPr>
              <w:t>אף</w:t>
            </w:r>
            <w:r w:rsidRPr="00AD5390">
              <w:rPr>
                <w:sz w:val="24"/>
                <w:szCs w:val="24"/>
                <w:rtl/>
              </w:rPr>
              <w:t xml:space="preserve"> </w:t>
            </w:r>
            <w:r w:rsidRPr="00AD5390">
              <w:rPr>
                <w:rFonts w:hint="eastAsia"/>
                <w:sz w:val="24"/>
                <w:szCs w:val="24"/>
                <w:rtl/>
              </w:rPr>
              <w:t>הוראות</w:t>
            </w:r>
            <w:r w:rsidRPr="00AD5390">
              <w:rPr>
                <w:sz w:val="24"/>
                <w:szCs w:val="24"/>
                <w:rtl/>
              </w:rPr>
              <w:t xml:space="preserve"> </w:t>
            </w:r>
            <w:r w:rsidRPr="00AD5390">
              <w:rPr>
                <w:rFonts w:hint="eastAsia"/>
                <w:sz w:val="24"/>
                <w:szCs w:val="24"/>
                <w:rtl/>
              </w:rPr>
              <w:t>סעיף</w:t>
            </w:r>
            <w:r w:rsidRPr="00AD5390">
              <w:rPr>
                <w:sz w:val="24"/>
                <w:szCs w:val="24"/>
                <w:rtl/>
              </w:rPr>
              <w:t xml:space="preserve"> 9 </w:t>
            </w:r>
            <w:r w:rsidRPr="00AD5390">
              <w:rPr>
                <w:rFonts w:hint="eastAsia"/>
                <w:sz w:val="24"/>
                <w:szCs w:val="24"/>
                <w:rtl/>
              </w:rPr>
              <w:t>לחוק</w:t>
            </w:r>
            <w:r w:rsidRPr="00AD5390">
              <w:rPr>
                <w:sz w:val="24"/>
                <w:szCs w:val="24"/>
                <w:rtl/>
              </w:rPr>
              <w:t xml:space="preserve"> </w:t>
            </w:r>
            <w:r w:rsidRPr="00AD5390">
              <w:rPr>
                <w:rFonts w:hint="eastAsia"/>
                <w:sz w:val="24"/>
                <w:szCs w:val="24"/>
                <w:rtl/>
              </w:rPr>
              <w:t>סדר</w:t>
            </w:r>
            <w:r w:rsidRPr="00AD5390">
              <w:rPr>
                <w:sz w:val="24"/>
                <w:szCs w:val="24"/>
                <w:rtl/>
              </w:rPr>
              <w:t xml:space="preserve"> </w:t>
            </w:r>
            <w:r w:rsidRPr="00AD5390">
              <w:rPr>
                <w:rFonts w:hint="eastAsia"/>
                <w:sz w:val="24"/>
                <w:szCs w:val="24"/>
                <w:rtl/>
              </w:rPr>
              <w:t>הדין</w:t>
            </w:r>
            <w:r w:rsidRPr="00AD5390">
              <w:rPr>
                <w:sz w:val="24"/>
                <w:szCs w:val="24"/>
                <w:rtl/>
              </w:rPr>
              <w:t xml:space="preserve"> </w:t>
            </w:r>
            <w:r w:rsidRPr="00AD5390">
              <w:rPr>
                <w:rFonts w:hint="eastAsia"/>
                <w:sz w:val="24"/>
                <w:szCs w:val="24"/>
                <w:rtl/>
              </w:rPr>
              <w:t>הפלילי</w:t>
            </w:r>
            <w:r w:rsidRPr="00AD5390">
              <w:rPr>
                <w:sz w:val="24"/>
                <w:szCs w:val="24"/>
                <w:rtl/>
              </w:rPr>
              <w:t xml:space="preserve"> [</w:t>
            </w:r>
            <w:r w:rsidRPr="00AD5390">
              <w:rPr>
                <w:rFonts w:hint="eastAsia"/>
                <w:sz w:val="24"/>
                <w:szCs w:val="24"/>
                <w:rtl/>
              </w:rPr>
              <w:t>נוסח</w:t>
            </w:r>
            <w:r w:rsidRPr="00AD5390">
              <w:rPr>
                <w:sz w:val="24"/>
                <w:szCs w:val="24"/>
                <w:rtl/>
              </w:rPr>
              <w:t xml:space="preserve"> </w:t>
            </w:r>
            <w:r w:rsidRPr="00AD5390">
              <w:rPr>
                <w:rFonts w:hint="eastAsia"/>
                <w:sz w:val="24"/>
                <w:szCs w:val="24"/>
                <w:rtl/>
              </w:rPr>
              <w:t>משולב</w:t>
            </w:r>
            <w:r w:rsidRPr="00AD5390">
              <w:rPr>
                <w:sz w:val="24"/>
                <w:szCs w:val="24"/>
                <w:rtl/>
              </w:rPr>
              <w:t xml:space="preserve">], </w:t>
            </w:r>
            <w:r w:rsidRPr="00AD5390">
              <w:rPr>
                <w:rFonts w:hint="eastAsia"/>
                <w:sz w:val="24"/>
                <w:szCs w:val="24"/>
                <w:rtl/>
              </w:rPr>
              <w:t>התשמ</w:t>
            </w:r>
            <w:r w:rsidRPr="00AD5390">
              <w:rPr>
                <w:sz w:val="24"/>
                <w:szCs w:val="24"/>
                <w:rtl/>
              </w:rPr>
              <w:t>"</w:t>
            </w:r>
            <w:r w:rsidRPr="00AD5390">
              <w:rPr>
                <w:rFonts w:hint="eastAsia"/>
                <w:sz w:val="24"/>
                <w:szCs w:val="24"/>
                <w:rtl/>
              </w:rPr>
              <w:t>ב</w:t>
            </w:r>
            <w:r w:rsidRPr="00AD5390">
              <w:rPr>
                <w:sz w:val="24"/>
                <w:szCs w:val="24"/>
                <w:rtl/>
              </w:rPr>
              <w:t>–1982</w:t>
            </w:r>
            <w:r w:rsidRPr="00AD5390">
              <w:rPr>
                <w:rFonts w:hint="eastAsia"/>
                <w:sz w:val="24"/>
                <w:szCs w:val="24"/>
                <w:rtl/>
              </w:rPr>
              <w:t>‏</w:t>
            </w:r>
            <w:r w:rsidRPr="00AD5390">
              <w:rPr>
                <w:sz w:val="24"/>
                <w:szCs w:val="24"/>
                <w:rtl/>
              </w:rPr>
              <w:t xml:space="preserve">, </w:t>
            </w:r>
            <w:r w:rsidRPr="00AD5390">
              <w:rPr>
                <w:rFonts w:hint="eastAsia"/>
                <w:sz w:val="24"/>
                <w:szCs w:val="24"/>
                <w:rtl/>
              </w:rPr>
              <w:t>ניתן</w:t>
            </w:r>
            <w:r w:rsidRPr="00AD5390">
              <w:rPr>
                <w:sz w:val="24"/>
                <w:szCs w:val="24"/>
                <w:rtl/>
              </w:rPr>
              <w:t xml:space="preserve"> </w:t>
            </w:r>
            <w:r w:rsidRPr="00AD5390">
              <w:rPr>
                <w:rFonts w:hint="eastAsia"/>
                <w:sz w:val="24"/>
                <w:szCs w:val="24"/>
                <w:rtl/>
              </w:rPr>
              <w:t>להעמיד</w:t>
            </w:r>
            <w:r w:rsidRPr="00AD5390">
              <w:rPr>
                <w:sz w:val="24"/>
                <w:szCs w:val="24"/>
                <w:rtl/>
              </w:rPr>
              <w:t xml:space="preserve"> </w:t>
            </w:r>
            <w:r w:rsidRPr="00AD5390">
              <w:rPr>
                <w:rFonts w:hint="eastAsia"/>
                <w:sz w:val="24"/>
                <w:szCs w:val="24"/>
                <w:rtl/>
              </w:rPr>
              <w:t>לדין</w:t>
            </w:r>
            <w:r w:rsidRPr="00AD5390">
              <w:rPr>
                <w:sz w:val="24"/>
                <w:szCs w:val="24"/>
                <w:rtl/>
              </w:rPr>
              <w:t xml:space="preserve"> </w:t>
            </w:r>
            <w:r w:rsidRPr="00AD5390">
              <w:rPr>
                <w:rFonts w:hint="eastAsia"/>
                <w:sz w:val="24"/>
                <w:szCs w:val="24"/>
                <w:rtl/>
              </w:rPr>
              <w:t>אדם</w:t>
            </w:r>
            <w:r w:rsidRPr="00AD5390">
              <w:rPr>
                <w:sz w:val="24"/>
                <w:szCs w:val="24"/>
                <w:rtl/>
              </w:rPr>
              <w:t xml:space="preserve"> </w:t>
            </w:r>
            <w:r w:rsidRPr="00AD5390">
              <w:rPr>
                <w:rFonts w:hint="eastAsia"/>
                <w:sz w:val="24"/>
                <w:szCs w:val="24"/>
                <w:rtl/>
              </w:rPr>
              <w:t>בשל</w:t>
            </w:r>
            <w:r w:rsidRPr="00AD5390">
              <w:rPr>
                <w:sz w:val="24"/>
                <w:szCs w:val="24"/>
                <w:rtl/>
              </w:rPr>
              <w:t xml:space="preserve"> </w:t>
            </w:r>
            <w:r w:rsidRPr="00AD5390">
              <w:rPr>
                <w:rFonts w:hint="eastAsia"/>
                <w:sz w:val="24"/>
                <w:szCs w:val="24"/>
                <w:rtl/>
              </w:rPr>
              <w:t>עבירת</w:t>
            </w:r>
            <w:r w:rsidRPr="00AD5390">
              <w:rPr>
                <w:sz w:val="24"/>
                <w:szCs w:val="24"/>
                <w:rtl/>
              </w:rPr>
              <w:t xml:space="preserve"> </w:t>
            </w:r>
            <w:r w:rsidRPr="00AD5390">
              <w:rPr>
                <w:rFonts w:hint="eastAsia"/>
                <w:sz w:val="24"/>
                <w:szCs w:val="24"/>
                <w:rtl/>
              </w:rPr>
              <w:t>טרור</w:t>
            </w:r>
            <w:r w:rsidRPr="00AD5390">
              <w:rPr>
                <w:sz w:val="24"/>
                <w:szCs w:val="24"/>
                <w:rtl/>
              </w:rPr>
              <w:t xml:space="preserve"> </w:t>
            </w:r>
            <w:r w:rsidRPr="00AD5390">
              <w:rPr>
                <w:rFonts w:hint="eastAsia"/>
                <w:sz w:val="24"/>
                <w:szCs w:val="24"/>
                <w:rtl/>
              </w:rPr>
              <w:t>גם</w:t>
            </w:r>
            <w:r w:rsidRPr="00AD5390">
              <w:rPr>
                <w:sz w:val="24"/>
                <w:szCs w:val="24"/>
                <w:rtl/>
              </w:rPr>
              <w:t xml:space="preserve"> </w:t>
            </w:r>
            <w:r w:rsidRPr="00AD5390">
              <w:rPr>
                <w:rFonts w:hint="eastAsia"/>
                <w:sz w:val="24"/>
                <w:szCs w:val="24"/>
                <w:rtl/>
              </w:rPr>
              <w:t>אם</w:t>
            </w:r>
            <w:r w:rsidRPr="00AD5390">
              <w:rPr>
                <w:sz w:val="24"/>
                <w:szCs w:val="24"/>
                <w:rtl/>
              </w:rPr>
              <w:t xml:space="preserve"> </w:t>
            </w:r>
            <w:r w:rsidRPr="00AD5390">
              <w:rPr>
                <w:rFonts w:hint="eastAsia"/>
                <w:sz w:val="24"/>
                <w:szCs w:val="24"/>
                <w:rtl/>
              </w:rPr>
              <w:t>עברה</w:t>
            </w:r>
            <w:r w:rsidRPr="00AD5390">
              <w:rPr>
                <w:sz w:val="24"/>
                <w:szCs w:val="24"/>
                <w:rtl/>
              </w:rPr>
              <w:t xml:space="preserve"> </w:t>
            </w:r>
            <w:r w:rsidRPr="00AD5390">
              <w:rPr>
                <w:rFonts w:hint="eastAsia"/>
                <w:sz w:val="24"/>
                <w:szCs w:val="24"/>
                <w:rtl/>
              </w:rPr>
              <w:t>תקופת</w:t>
            </w:r>
            <w:r w:rsidRPr="00AD5390">
              <w:rPr>
                <w:sz w:val="24"/>
                <w:szCs w:val="24"/>
                <w:rtl/>
              </w:rPr>
              <w:t xml:space="preserve"> </w:t>
            </w:r>
            <w:r w:rsidRPr="00AD5390">
              <w:rPr>
                <w:rFonts w:hint="eastAsia"/>
                <w:sz w:val="24"/>
                <w:szCs w:val="24"/>
                <w:rtl/>
              </w:rPr>
              <w:t>ההתיישנות</w:t>
            </w:r>
            <w:r w:rsidRPr="00AD5390">
              <w:rPr>
                <w:sz w:val="24"/>
                <w:szCs w:val="24"/>
                <w:rtl/>
              </w:rPr>
              <w:t xml:space="preserve"> </w:t>
            </w:r>
            <w:r w:rsidRPr="00AD5390">
              <w:rPr>
                <w:rFonts w:hint="eastAsia"/>
                <w:sz w:val="24"/>
                <w:szCs w:val="24"/>
                <w:rtl/>
              </w:rPr>
              <w:t>החלה</w:t>
            </w:r>
            <w:r w:rsidRPr="00AD5390">
              <w:rPr>
                <w:sz w:val="24"/>
                <w:szCs w:val="24"/>
                <w:rtl/>
              </w:rPr>
              <w:t xml:space="preserve"> </w:t>
            </w:r>
            <w:r w:rsidRPr="00AD5390">
              <w:rPr>
                <w:rFonts w:hint="eastAsia"/>
                <w:sz w:val="24"/>
                <w:szCs w:val="24"/>
                <w:rtl/>
              </w:rPr>
              <w:t>לגביה</w:t>
            </w:r>
            <w:r w:rsidRPr="00AD5390">
              <w:rPr>
                <w:sz w:val="24"/>
                <w:szCs w:val="24"/>
                <w:rtl/>
              </w:rPr>
              <w:t xml:space="preserve"> </w:t>
            </w:r>
            <w:r w:rsidRPr="00AD5390">
              <w:rPr>
                <w:rFonts w:hint="eastAsia"/>
                <w:sz w:val="24"/>
                <w:szCs w:val="24"/>
                <w:rtl/>
              </w:rPr>
              <w:t>לפי</w:t>
            </w:r>
            <w:r w:rsidRPr="00AD5390">
              <w:rPr>
                <w:sz w:val="24"/>
                <w:szCs w:val="24"/>
                <w:rtl/>
              </w:rPr>
              <w:t xml:space="preserve"> </w:t>
            </w:r>
            <w:r w:rsidRPr="00AD5390">
              <w:rPr>
                <w:rFonts w:hint="eastAsia"/>
                <w:sz w:val="24"/>
                <w:szCs w:val="24"/>
                <w:rtl/>
              </w:rPr>
              <w:t>סעיף</w:t>
            </w:r>
            <w:r w:rsidRPr="00AD5390">
              <w:rPr>
                <w:sz w:val="24"/>
                <w:szCs w:val="24"/>
                <w:rtl/>
              </w:rPr>
              <w:t xml:space="preserve"> 9(</w:t>
            </w:r>
            <w:r w:rsidRPr="00AD5390">
              <w:rPr>
                <w:rFonts w:hint="eastAsia"/>
                <w:sz w:val="24"/>
                <w:szCs w:val="24"/>
                <w:rtl/>
              </w:rPr>
              <w:t>א</w:t>
            </w:r>
            <w:r w:rsidRPr="00AD5390">
              <w:rPr>
                <w:sz w:val="24"/>
                <w:szCs w:val="24"/>
                <w:rtl/>
              </w:rPr>
              <w:t xml:space="preserve">) </w:t>
            </w:r>
            <w:r w:rsidRPr="00AD5390">
              <w:rPr>
                <w:rFonts w:hint="eastAsia"/>
                <w:sz w:val="24"/>
                <w:szCs w:val="24"/>
                <w:rtl/>
              </w:rPr>
              <w:t>לחוק</w:t>
            </w:r>
            <w:r w:rsidRPr="00AD5390">
              <w:rPr>
                <w:sz w:val="24"/>
                <w:szCs w:val="24"/>
                <w:rtl/>
              </w:rPr>
              <w:t xml:space="preserve"> </w:t>
            </w:r>
            <w:r w:rsidRPr="00AD5390">
              <w:rPr>
                <w:rFonts w:hint="eastAsia"/>
                <w:sz w:val="24"/>
                <w:szCs w:val="24"/>
                <w:rtl/>
              </w:rPr>
              <w:t>האמור</w:t>
            </w:r>
            <w:r w:rsidRPr="00AD5390">
              <w:rPr>
                <w:sz w:val="24"/>
                <w:szCs w:val="24"/>
                <w:rtl/>
              </w:rPr>
              <w:t xml:space="preserve">, </w:t>
            </w:r>
            <w:r w:rsidRPr="00AD5390">
              <w:rPr>
                <w:rFonts w:hint="eastAsia"/>
                <w:sz w:val="24"/>
                <w:szCs w:val="24"/>
                <w:rtl/>
              </w:rPr>
              <w:t>ובלבד</w:t>
            </w:r>
            <w:r w:rsidRPr="00AD5390">
              <w:rPr>
                <w:sz w:val="24"/>
                <w:szCs w:val="24"/>
                <w:rtl/>
              </w:rPr>
              <w:t xml:space="preserve"> </w:t>
            </w:r>
            <w:r w:rsidRPr="00AD5390">
              <w:rPr>
                <w:rFonts w:hint="eastAsia"/>
                <w:sz w:val="24"/>
                <w:szCs w:val="24"/>
                <w:rtl/>
              </w:rPr>
              <w:t>שהטעם</w:t>
            </w:r>
            <w:r w:rsidRPr="00AD5390">
              <w:rPr>
                <w:sz w:val="24"/>
                <w:szCs w:val="24"/>
                <w:rtl/>
              </w:rPr>
              <w:t xml:space="preserve"> </w:t>
            </w:r>
            <w:r w:rsidRPr="00AD5390">
              <w:rPr>
                <w:rFonts w:hint="eastAsia"/>
                <w:sz w:val="24"/>
                <w:szCs w:val="24"/>
                <w:rtl/>
              </w:rPr>
              <w:t>לכך</w:t>
            </w:r>
            <w:r w:rsidRPr="00AD5390">
              <w:rPr>
                <w:sz w:val="24"/>
                <w:szCs w:val="24"/>
                <w:rtl/>
              </w:rPr>
              <w:t xml:space="preserve"> </w:t>
            </w:r>
            <w:r w:rsidRPr="00AD5390">
              <w:rPr>
                <w:rFonts w:hint="eastAsia"/>
                <w:sz w:val="24"/>
                <w:szCs w:val="24"/>
                <w:rtl/>
              </w:rPr>
              <w:t>שלא</w:t>
            </w:r>
            <w:r w:rsidRPr="00AD5390">
              <w:rPr>
                <w:sz w:val="24"/>
                <w:szCs w:val="24"/>
                <w:rtl/>
              </w:rPr>
              <w:t xml:space="preserve"> </w:t>
            </w:r>
            <w:r w:rsidRPr="00AD5390">
              <w:rPr>
                <w:rFonts w:hint="eastAsia"/>
                <w:sz w:val="24"/>
                <w:szCs w:val="24"/>
                <w:rtl/>
              </w:rPr>
              <w:t>הוגש</w:t>
            </w:r>
            <w:r w:rsidRPr="00AD5390">
              <w:rPr>
                <w:sz w:val="24"/>
                <w:szCs w:val="24"/>
                <w:rtl/>
              </w:rPr>
              <w:t xml:space="preserve"> </w:t>
            </w:r>
            <w:r w:rsidRPr="00AD5390">
              <w:rPr>
                <w:rFonts w:hint="eastAsia"/>
                <w:sz w:val="24"/>
                <w:szCs w:val="24"/>
                <w:rtl/>
              </w:rPr>
              <w:t>כתב</w:t>
            </w:r>
            <w:r w:rsidRPr="00AD5390">
              <w:rPr>
                <w:sz w:val="24"/>
                <w:szCs w:val="24"/>
                <w:rtl/>
              </w:rPr>
              <w:t xml:space="preserve"> </w:t>
            </w:r>
            <w:r w:rsidRPr="00AD5390">
              <w:rPr>
                <w:rFonts w:hint="eastAsia"/>
                <w:sz w:val="24"/>
                <w:szCs w:val="24"/>
                <w:rtl/>
              </w:rPr>
              <w:t>אישום</w:t>
            </w:r>
            <w:r w:rsidRPr="00AD5390">
              <w:rPr>
                <w:sz w:val="24"/>
                <w:szCs w:val="24"/>
                <w:rtl/>
              </w:rPr>
              <w:t xml:space="preserve">, </w:t>
            </w:r>
            <w:r w:rsidRPr="00AD5390">
              <w:rPr>
                <w:rFonts w:hint="eastAsia"/>
                <w:sz w:val="24"/>
                <w:szCs w:val="24"/>
                <w:rtl/>
              </w:rPr>
              <w:t>לא</w:t>
            </w:r>
            <w:r w:rsidRPr="00AD5390">
              <w:rPr>
                <w:sz w:val="24"/>
                <w:szCs w:val="24"/>
                <w:rtl/>
              </w:rPr>
              <w:t xml:space="preserve"> </w:t>
            </w:r>
            <w:r w:rsidRPr="00AD5390">
              <w:rPr>
                <w:rFonts w:hint="eastAsia"/>
                <w:sz w:val="24"/>
                <w:szCs w:val="24"/>
                <w:rtl/>
              </w:rPr>
              <w:t>נוהלה</w:t>
            </w:r>
            <w:r w:rsidRPr="00AD5390">
              <w:rPr>
                <w:sz w:val="24"/>
                <w:szCs w:val="24"/>
                <w:rtl/>
              </w:rPr>
              <w:t xml:space="preserve"> </w:t>
            </w:r>
            <w:r w:rsidRPr="00AD5390">
              <w:rPr>
                <w:rFonts w:hint="eastAsia"/>
                <w:sz w:val="24"/>
                <w:szCs w:val="24"/>
                <w:rtl/>
              </w:rPr>
              <w:t>חקירה</w:t>
            </w:r>
            <w:r w:rsidRPr="00AD5390">
              <w:rPr>
                <w:sz w:val="24"/>
                <w:szCs w:val="24"/>
                <w:rtl/>
              </w:rPr>
              <w:t xml:space="preserve"> </w:t>
            </w:r>
            <w:r w:rsidRPr="00AD5390">
              <w:rPr>
                <w:rFonts w:hint="eastAsia"/>
                <w:sz w:val="24"/>
                <w:szCs w:val="24"/>
                <w:rtl/>
              </w:rPr>
              <w:t>או</w:t>
            </w:r>
            <w:r w:rsidRPr="00AD5390">
              <w:rPr>
                <w:sz w:val="24"/>
                <w:szCs w:val="24"/>
                <w:rtl/>
              </w:rPr>
              <w:t xml:space="preserve"> </w:t>
            </w:r>
            <w:r w:rsidRPr="00AD5390">
              <w:rPr>
                <w:rFonts w:hint="eastAsia"/>
                <w:sz w:val="24"/>
                <w:szCs w:val="24"/>
                <w:rtl/>
              </w:rPr>
              <w:t>לא</w:t>
            </w:r>
            <w:r w:rsidRPr="00AD5390">
              <w:rPr>
                <w:sz w:val="24"/>
                <w:szCs w:val="24"/>
                <w:rtl/>
              </w:rPr>
              <w:t xml:space="preserve"> </w:t>
            </w:r>
            <w:r w:rsidRPr="00AD5390">
              <w:rPr>
                <w:rFonts w:hint="eastAsia"/>
                <w:sz w:val="24"/>
                <w:szCs w:val="24"/>
                <w:rtl/>
              </w:rPr>
              <w:t>התקיים</w:t>
            </w:r>
            <w:r w:rsidRPr="00AD5390">
              <w:rPr>
                <w:sz w:val="24"/>
                <w:szCs w:val="24"/>
                <w:rtl/>
              </w:rPr>
              <w:t xml:space="preserve"> </w:t>
            </w:r>
            <w:r w:rsidRPr="00AD5390">
              <w:rPr>
                <w:rFonts w:hint="eastAsia"/>
                <w:sz w:val="24"/>
                <w:szCs w:val="24"/>
                <w:rtl/>
              </w:rPr>
              <w:t>הליך</w:t>
            </w:r>
            <w:r w:rsidRPr="00AD5390">
              <w:rPr>
                <w:sz w:val="24"/>
                <w:szCs w:val="24"/>
                <w:rtl/>
              </w:rPr>
              <w:t xml:space="preserve"> </w:t>
            </w:r>
            <w:r w:rsidRPr="00AD5390">
              <w:rPr>
                <w:rFonts w:hint="eastAsia"/>
                <w:sz w:val="24"/>
                <w:szCs w:val="24"/>
                <w:rtl/>
              </w:rPr>
              <w:t>מטעם</w:t>
            </w:r>
            <w:r w:rsidRPr="00AD5390">
              <w:rPr>
                <w:sz w:val="24"/>
                <w:szCs w:val="24"/>
                <w:rtl/>
              </w:rPr>
              <w:t xml:space="preserve"> </w:t>
            </w:r>
            <w:r w:rsidRPr="00AD5390">
              <w:rPr>
                <w:rFonts w:hint="eastAsia"/>
                <w:sz w:val="24"/>
                <w:szCs w:val="24"/>
                <w:rtl/>
              </w:rPr>
              <w:t>בית</w:t>
            </w:r>
            <w:r w:rsidRPr="00AD5390">
              <w:rPr>
                <w:sz w:val="24"/>
                <w:szCs w:val="24"/>
                <w:rtl/>
              </w:rPr>
              <w:t xml:space="preserve"> </w:t>
            </w:r>
            <w:r w:rsidRPr="00AD5390">
              <w:rPr>
                <w:rFonts w:hint="eastAsia"/>
                <w:sz w:val="24"/>
                <w:szCs w:val="24"/>
                <w:rtl/>
              </w:rPr>
              <w:t>משפט</w:t>
            </w:r>
            <w:r w:rsidRPr="00AD5390">
              <w:rPr>
                <w:sz w:val="24"/>
                <w:szCs w:val="24"/>
                <w:rtl/>
              </w:rPr>
              <w:t xml:space="preserve"> </w:t>
            </w:r>
            <w:r w:rsidRPr="00AD5390">
              <w:rPr>
                <w:rFonts w:hint="eastAsia"/>
                <w:sz w:val="24"/>
                <w:szCs w:val="24"/>
                <w:rtl/>
              </w:rPr>
              <w:t>במהלך</w:t>
            </w:r>
            <w:r w:rsidRPr="00AD5390">
              <w:rPr>
                <w:sz w:val="24"/>
                <w:szCs w:val="24"/>
                <w:rtl/>
              </w:rPr>
              <w:t xml:space="preserve"> </w:t>
            </w:r>
            <w:r w:rsidRPr="00AD5390">
              <w:rPr>
                <w:rFonts w:hint="eastAsia"/>
                <w:sz w:val="24"/>
                <w:szCs w:val="24"/>
                <w:rtl/>
              </w:rPr>
              <w:t>התקופה</w:t>
            </w:r>
            <w:r w:rsidRPr="00AD5390">
              <w:rPr>
                <w:sz w:val="24"/>
                <w:szCs w:val="24"/>
                <w:rtl/>
              </w:rPr>
              <w:t xml:space="preserve"> </w:t>
            </w:r>
            <w:r w:rsidRPr="00AD5390">
              <w:rPr>
                <w:rFonts w:hint="eastAsia"/>
                <w:sz w:val="24"/>
                <w:szCs w:val="24"/>
                <w:rtl/>
              </w:rPr>
              <w:t>האמורה</w:t>
            </w:r>
            <w:r w:rsidRPr="00AD5390">
              <w:rPr>
                <w:sz w:val="24"/>
                <w:szCs w:val="24"/>
                <w:rtl/>
              </w:rPr>
              <w:t xml:space="preserve">, </w:t>
            </w:r>
            <w:r w:rsidRPr="00AD5390">
              <w:rPr>
                <w:rFonts w:hint="eastAsia"/>
                <w:sz w:val="24"/>
                <w:szCs w:val="24"/>
                <w:rtl/>
              </w:rPr>
              <w:t>לפי</w:t>
            </w:r>
            <w:r w:rsidRPr="00AD5390">
              <w:rPr>
                <w:sz w:val="24"/>
                <w:szCs w:val="24"/>
                <w:rtl/>
              </w:rPr>
              <w:t xml:space="preserve"> </w:t>
            </w:r>
            <w:r w:rsidRPr="00AD5390">
              <w:rPr>
                <w:rFonts w:hint="eastAsia"/>
                <w:sz w:val="24"/>
                <w:szCs w:val="24"/>
                <w:rtl/>
              </w:rPr>
              <w:t>העניין</w:t>
            </w:r>
            <w:r w:rsidRPr="00AD5390">
              <w:rPr>
                <w:sz w:val="24"/>
                <w:szCs w:val="24"/>
                <w:rtl/>
              </w:rPr>
              <w:t xml:space="preserve">, </w:t>
            </w:r>
            <w:r w:rsidRPr="00AD5390">
              <w:rPr>
                <w:rFonts w:hint="eastAsia"/>
                <w:sz w:val="24"/>
                <w:szCs w:val="24"/>
                <w:rtl/>
              </w:rPr>
              <w:t>הוא</w:t>
            </w:r>
            <w:r w:rsidRPr="00AD5390">
              <w:rPr>
                <w:sz w:val="24"/>
                <w:szCs w:val="24"/>
                <w:rtl/>
              </w:rPr>
              <w:t xml:space="preserve"> </w:t>
            </w:r>
            <w:r w:rsidRPr="00AD5390">
              <w:rPr>
                <w:rFonts w:hint="eastAsia"/>
                <w:sz w:val="24"/>
                <w:szCs w:val="24"/>
                <w:rtl/>
              </w:rPr>
              <w:t>שהחשוד</w:t>
            </w:r>
            <w:r w:rsidRPr="00AD5390">
              <w:rPr>
                <w:sz w:val="24"/>
                <w:szCs w:val="24"/>
                <w:rtl/>
              </w:rPr>
              <w:t xml:space="preserve"> </w:t>
            </w:r>
            <w:r w:rsidRPr="00AD5390">
              <w:rPr>
                <w:rFonts w:hint="eastAsia"/>
                <w:sz w:val="24"/>
                <w:szCs w:val="24"/>
                <w:rtl/>
              </w:rPr>
              <w:t>נמצא</w:t>
            </w:r>
            <w:r w:rsidRPr="00AD5390">
              <w:rPr>
                <w:sz w:val="24"/>
                <w:szCs w:val="24"/>
                <w:rtl/>
              </w:rPr>
              <w:t xml:space="preserve"> </w:t>
            </w:r>
            <w:r w:rsidRPr="00AD5390">
              <w:rPr>
                <w:rFonts w:hint="eastAsia"/>
                <w:sz w:val="24"/>
                <w:szCs w:val="24"/>
                <w:rtl/>
              </w:rPr>
              <w:t>מחוץ</w:t>
            </w:r>
            <w:r w:rsidRPr="00AD5390">
              <w:rPr>
                <w:sz w:val="24"/>
                <w:szCs w:val="24"/>
                <w:rtl/>
              </w:rPr>
              <w:t xml:space="preserve"> </w:t>
            </w:r>
            <w:r w:rsidRPr="00AD5390">
              <w:rPr>
                <w:rFonts w:hint="eastAsia"/>
                <w:sz w:val="24"/>
                <w:szCs w:val="24"/>
                <w:rtl/>
              </w:rPr>
              <w:t>לישראל</w:t>
            </w:r>
            <w:r w:rsidRPr="00AD5390">
              <w:rPr>
                <w:sz w:val="24"/>
                <w:szCs w:val="24"/>
                <w:rtl/>
              </w:rPr>
              <w:t xml:space="preserve"> </w:t>
            </w:r>
            <w:r w:rsidRPr="00AD5390">
              <w:rPr>
                <w:rFonts w:hint="eastAsia"/>
                <w:sz w:val="24"/>
                <w:szCs w:val="24"/>
                <w:rtl/>
              </w:rPr>
              <w:t>ולא</w:t>
            </w:r>
            <w:r w:rsidRPr="00AD5390">
              <w:rPr>
                <w:sz w:val="24"/>
                <w:szCs w:val="24"/>
                <w:rtl/>
              </w:rPr>
              <w:t xml:space="preserve"> </w:t>
            </w:r>
            <w:r w:rsidRPr="00AD5390">
              <w:rPr>
                <w:rFonts w:hint="eastAsia"/>
                <w:sz w:val="24"/>
                <w:szCs w:val="24"/>
                <w:rtl/>
              </w:rPr>
              <w:t>ניתן</w:t>
            </w:r>
            <w:r w:rsidRPr="00AD5390">
              <w:rPr>
                <w:sz w:val="24"/>
                <w:szCs w:val="24"/>
                <w:rtl/>
              </w:rPr>
              <w:t xml:space="preserve"> </w:t>
            </w:r>
            <w:r w:rsidRPr="00AD5390">
              <w:rPr>
                <w:rFonts w:hint="eastAsia"/>
                <w:sz w:val="24"/>
                <w:szCs w:val="24"/>
                <w:rtl/>
              </w:rPr>
              <w:t>להביאו</w:t>
            </w:r>
            <w:r w:rsidRPr="00AD5390">
              <w:rPr>
                <w:sz w:val="24"/>
                <w:szCs w:val="24"/>
                <w:rtl/>
              </w:rPr>
              <w:t xml:space="preserve"> </w:t>
            </w:r>
            <w:r w:rsidRPr="00AD5390">
              <w:rPr>
                <w:rFonts w:hint="eastAsia"/>
                <w:sz w:val="24"/>
                <w:szCs w:val="24"/>
                <w:rtl/>
              </w:rPr>
              <w:t>לחקירה</w:t>
            </w:r>
            <w:r w:rsidRPr="00AD5390">
              <w:rPr>
                <w:sz w:val="24"/>
                <w:szCs w:val="24"/>
                <w:rtl/>
              </w:rPr>
              <w:t xml:space="preserve"> </w:t>
            </w:r>
            <w:r w:rsidRPr="00AD5390">
              <w:rPr>
                <w:rFonts w:hint="eastAsia"/>
                <w:sz w:val="24"/>
                <w:szCs w:val="24"/>
                <w:rtl/>
              </w:rPr>
              <w:t>או</w:t>
            </w:r>
            <w:r w:rsidRPr="00AD5390">
              <w:rPr>
                <w:sz w:val="24"/>
                <w:szCs w:val="24"/>
                <w:rtl/>
              </w:rPr>
              <w:t xml:space="preserve"> </w:t>
            </w:r>
            <w:r w:rsidRPr="00AD5390">
              <w:rPr>
                <w:rFonts w:hint="eastAsia"/>
                <w:sz w:val="24"/>
                <w:szCs w:val="24"/>
                <w:rtl/>
              </w:rPr>
              <w:t>למשפט</w:t>
            </w:r>
            <w:r w:rsidRPr="00AD5390">
              <w:rPr>
                <w:sz w:val="24"/>
                <w:szCs w:val="24"/>
                <w:rtl/>
              </w:rPr>
              <w:t xml:space="preserve"> </w:t>
            </w:r>
            <w:r w:rsidRPr="00AD5390">
              <w:rPr>
                <w:rFonts w:hint="eastAsia"/>
                <w:sz w:val="24"/>
                <w:szCs w:val="24"/>
                <w:rtl/>
              </w:rPr>
              <w:t>בישראל</w:t>
            </w:r>
            <w:r w:rsidRPr="00AD5390">
              <w:rPr>
                <w:sz w:val="24"/>
                <w:szCs w:val="24"/>
                <w:rtl/>
              </w:rPr>
              <w:t>.</w:t>
            </w:r>
            <w:r w:rsidR="00B97E8E" w:rsidRPr="00AD5390">
              <w:rPr>
                <w:rFonts w:hint="cs"/>
                <w:sz w:val="24"/>
                <w:szCs w:val="24"/>
                <w:rtl/>
              </w:rPr>
              <w:t>"</w:t>
            </w:r>
            <w:r w:rsidRPr="00AD5390">
              <w:rPr>
                <w:sz w:val="24"/>
                <w:szCs w:val="24"/>
                <w:rtl/>
              </w:rPr>
              <w:t xml:space="preserve"> </w:t>
            </w:r>
          </w:p>
        </w:tc>
      </w:tr>
    </w:tbl>
    <w:p w:rsidR="004579C2" w:rsidRPr="00AD5390" w:rsidRDefault="004579C2" w:rsidP="004579C2">
      <w:pPr>
        <w:bidi/>
        <w:rPr>
          <w:rFonts w:cs="David"/>
          <w:sz w:val="24"/>
          <w:szCs w:val="24"/>
          <w:rtl/>
        </w:rPr>
      </w:pPr>
    </w:p>
    <w:p w:rsidR="00FC757B" w:rsidRPr="00AD5390" w:rsidRDefault="00FC757B" w:rsidP="00B97E8E">
      <w:pPr>
        <w:bidi/>
        <w:spacing w:line="360" w:lineRule="auto"/>
        <w:jc w:val="both"/>
        <w:rPr>
          <w:rFonts w:cs="David"/>
          <w:sz w:val="24"/>
          <w:szCs w:val="24"/>
          <w:rtl/>
        </w:rPr>
      </w:pPr>
      <w:r w:rsidRPr="00AD5390">
        <w:rPr>
          <w:rFonts w:cs="David" w:hint="cs"/>
          <w:sz w:val="24"/>
          <w:szCs w:val="24"/>
          <w:rtl/>
        </w:rPr>
        <w:t>סעיף 9 לחסד"פ קובע</w:t>
      </w:r>
      <w:r w:rsidR="009B36A8" w:rsidRPr="00AD5390">
        <w:rPr>
          <w:rFonts w:cs="David" w:hint="cs"/>
          <w:sz w:val="24"/>
          <w:szCs w:val="24"/>
          <w:rtl/>
        </w:rPr>
        <w:t xml:space="preserve"> תקופת התיישנות שלאחריה אי אפשר להעמיד אדם לדין בשל עבירה שהוא ביצע. בעבירות רצח וניסיון לרצח, וכן בעבירות הקשורות להשמדת עם ועשיית דין בנאצים, אין תקופת התיישנות; בפשע שדינו מיתה או מאסר עולם, תקופה ההתיישנות היא 20 שנים; בפשע אחר </w:t>
      </w:r>
      <w:r w:rsidR="009B36A8" w:rsidRPr="00AD5390">
        <w:rPr>
          <w:rFonts w:cs="David"/>
          <w:sz w:val="24"/>
          <w:szCs w:val="24"/>
          <w:rtl/>
        </w:rPr>
        <w:t>–</w:t>
      </w:r>
      <w:r w:rsidR="009B36A8" w:rsidRPr="00AD5390">
        <w:rPr>
          <w:rFonts w:cs="David" w:hint="cs"/>
          <w:sz w:val="24"/>
          <w:szCs w:val="24"/>
          <w:rtl/>
        </w:rPr>
        <w:t xml:space="preserve"> 10 שנים; בעוון </w:t>
      </w:r>
      <w:r w:rsidR="009B36A8" w:rsidRPr="00AD5390">
        <w:rPr>
          <w:rFonts w:cs="David"/>
          <w:sz w:val="24"/>
          <w:szCs w:val="24"/>
          <w:rtl/>
        </w:rPr>
        <w:t>–</w:t>
      </w:r>
      <w:r w:rsidR="009B36A8" w:rsidRPr="00AD5390">
        <w:rPr>
          <w:rFonts w:cs="David" w:hint="cs"/>
          <w:sz w:val="24"/>
          <w:szCs w:val="24"/>
          <w:rtl/>
        </w:rPr>
        <w:t xml:space="preserve"> חמש שנים; ובחטא </w:t>
      </w:r>
      <w:r w:rsidR="009B36A8" w:rsidRPr="00AD5390">
        <w:rPr>
          <w:rFonts w:cs="David"/>
          <w:sz w:val="24"/>
          <w:szCs w:val="24"/>
          <w:rtl/>
        </w:rPr>
        <w:t>–</w:t>
      </w:r>
      <w:r w:rsidR="009B36A8" w:rsidRPr="00AD5390">
        <w:rPr>
          <w:rFonts w:cs="David" w:hint="cs"/>
          <w:sz w:val="24"/>
          <w:szCs w:val="24"/>
          <w:rtl/>
        </w:rPr>
        <w:t xml:space="preserve"> שנה.</w:t>
      </w:r>
      <w:r w:rsidR="00B97E8E" w:rsidRPr="00AD5390">
        <w:rPr>
          <w:rStyle w:val="a5"/>
          <w:rFonts w:cs="David"/>
          <w:sz w:val="24"/>
          <w:szCs w:val="24"/>
          <w:rtl/>
        </w:rPr>
        <w:footnoteReference w:id="4"/>
      </w:r>
      <w:r w:rsidR="009B36A8" w:rsidRPr="00AD5390">
        <w:rPr>
          <w:rFonts w:cs="David" w:hint="cs"/>
          <w:sz w:val="24"/>
          <w:szCs w:val="24"/>
          <w:rtl/>
        </w:rPr>
        <w:t xml:space="preserve"> אולם, סעיף קטן (ג) קובע כי אם נערכה חקירה או הוגש כתב אישום או התקיים הליך מטעם בית המשפט בתוך התקופה האמורה, </w:t>
      </w:r>
      <w:r w:rsidR="00B97E8E" w:rsidRPr="00AD5390">
        <w:rPr>
          <w:rFonts w:cs="David" w:hint="cs"/>
          <w:sz w:val="24"/>
          <w:szCs w:val="24"/>
          <w:rtl/>
        </w:rPr>
        <w:t>"מתאפס"</w:t>
      </w:r>
      <w:r w:rsidR="003D18B1" w:rsidRPr="00AD5390">
        <w:rPr>
          <w:rFonts w:cs="David" w:hint="cs"/>
          <w:sz w:val="24"/>
          <w:szCs w:val="24"/>
          <w:rtl/>
        </w:rPr>
        <w:t xml:space="preserve"> את השעון מחדש, ומנין השנים בתקופת ההתיישנות מתחיל מחדש. משמע שכל עוד </w:t>
      </w:r>
      <w:r w:rsidR="00F87339" w:rsidRPr="00AD5390">
        <w:rPr>
          <w:rFonts w:cs="David" w:hint="cs"/>
          <w:sz w:val="24"/>
          <w:szCs w:val="24"/>
          <w:rtl/>
        </w:rPr>
        <w:t>נערכה</w:t>
      </w:r>
      <w:r w:rsidR="003D18B1" w:rsidRPr="00AD5390">
        <w:rPr>
          <w:rFonts w:cs="David" w:hint="cs"/>
          <w:sz w:val="24"/>
          <w:szCs w:val="24"/>
          <w:rtl/>
        </w:rPr>
        <w:t xml:space="preserve"> פעולת חקירה, תקופת ההתיישנות מתארכת:</w:t>
      </w:r>
    </w:p>
    <w:p w:rsidR="00FC757B" w:rsidRPr="00AD5390" w:rsidRDefault="00FC757B" w:rsidP="00B97E8E">
      <w:pPr>
        <w:bidi/>
        <w:spacing w:before="72" w:after="0" w:line="240" w:lineRule="auto"/>
        <w:ind w:left="720" w:right="142"/>
        <w:rPr>
          <w:rFonts w:ascii="Times New Roman" w:eastAsia="Times New Roman" w:hAnsi="Times New Roman" w:cs="David"/>
          <w:sz w:val="24"/>
          <w:szCs w:val="24"/>
        </w:rPr>
      </w:pPr>
      <w:r w:rsidRPr="00AD5390">
        <w:rPr>
          <w:rFonts w:ascii="Time New Roman" w:eastAsia="Times New Roman" w:hAnsi="Time New Roman" w:cs="David"/>
          <w:b/>
          <w:bCs/>
          <w:sz w:val="24"/>
          <w:szCs w:val="24"/>
          <w:rtl/>
        </w:rPr>
        <w:t xml:space="preserve">התיישנות עבירות </w:t>
      </w:r>
    </w:p>
    <w:p w:rsidR="00FC757B" w:rsidRPr="00AD5390" w:rsidRDefault="00FC757B" w:rsidP="00B97E8E">
      <w:pPr>
        <w:bidi/>
        <w:spacing w:before="72" w:after="0" w:line="240" w:lineRule="auto"/>
        <w:ind w:left="720"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9.    (א)  באין הוראה אחרת לענין זה בחוק אחר, אין להעמיד אדם לדין בשל עבירה אם עברו מיום ביצועה –</w:t>
      </w:r>
    </w:p>
    <w:p w:rsidR="00FC757B" w:rsidRPr="00AD5390" w:rsidRDefault="00FC757B" w:rsidP="00B97E8E">
      <w:pPr>
        <w:bidi/>
        <w:spacing w:before="72" w:after="0" w:line="240" w:lineRule="auto"/>
        <w:ind w:left="1741"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(1)   בפשע שדינו מיתה או מאסר עולם – עשרים שנים;</w:t>
      </w:r>
    </w:p>
    <w:p w:rsidR="00FC757B" w:rsidRPr="00AD5390" w:rsidRDefault="00FC757B" w:rsidP="00B97E8E">
      <w:pPr>
        <w:bidi/>
        <w:spacing w:before="72" w:after="0" w:line="240" w:lineRule="auto"/>
        <w:ind w:left="1741"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(2)   בפשע אחר – עשר שנים;</w:t>
      </w:r>
    </w:p>
    <w:p w:rsidR="00FC757B" w:rsidRPr="00AD5390" w:rsidRDefault="00FC757B" w:rsidP="00B97E8E">
      <w:pPr>
        <w:bidi/>
        <w:spacing w:before="72" w:after="0" w:line="240" w:lineRule="auto"/>
        <w:ind w:left="1741"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lastRenderedPageBreak/>
        <w:t>(3)   בעוון – חמש שנים;</w:t>
      </w:r>
    </w:p>
    <w:p w:rsidR="00FC757B" w:rsidRPr="00AD5390" w:rsidRDefault="00FC757B" w:rsidP="00B97E8E">
      <w:pPr>
        <w:bidi/>
        <w:spacing w:before="72" w:after="0" w:line="240" w:lineRule="auto"/>
        <w:ind w:left="1741"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(4)   בחטא – שנה אחת.</w:t>
      </w:r>
    </w:p>
    <w:p w:rsidR="00FC757B" w:rsidRPr="00AD5390" w:rsidRDefault="00FC757B" w:rsidP="00B97E8E">
      <w:pPr>
        <w:bidi/>
        <w:spacing w:before="72" w:after="0" w:line="240" w:lineRule="auto"/>
        <w:ind w:left="720"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          (ב)  בעבירות לפי החוק בדבר מניעתו וענישתו של הפשע השמדת עם, תש"י-1950, ולפי החוק לעשיית דין בנאצים ובעוזריהם, תש"י-1950 – אין התיישנות.</w:t>
      </w:r>
    </w:p>
    <w:p w:rsidR="00FC757B" w:rsidRPr="00AD5390" w:rsidRDefault="00FC757B" w:rsidP="00B97E8E">
      <w:pPr>
        <w:bidi/>
        <w:spacing w:before="72" w:after="0" w:line="240" w:lineRule="auto"/>
        <w:ind w:left="720"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          (ב1) בעבירות רצח וניסיון לרצח לפי סעיפים 300 ו-305 לחוק העונשין, התשל"ז-1977, ובעבירה של קשר לפי סעיף 499 לחוק האמור לעבור עבירה מהעבירות האמורות, שבוצעו לפי מי שכיהן כראש הממשלה בעת ביצוע העבירה – אין התיישנות.</w:t>
      </w:r>
    </w:p>
    <w:p w:rsidR="00FC757B" w:rsidRPr="00AD5390" w:rsidRDefault="00FC757B" w:rsidP="00B97E8E">
      <w:pPr>
        <w:bidi/>
        <w:spacing w:before="72" w:after="0" w:line="240" w:lineRule="auto"/>
        <w:ind w:left="720"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          (ג)   בפשע או בעוון אשר תוך התקופות האמורות בסעיף קטן (א) נערכה לגביהם חקירה על פי חיקוק או הוגש כתב אישום או התקיים הליך מטעם בית המשפט, יתחיל מנין התקופות מיום ההליך האחרון בחקירה או מיום הגשת כתב האישום או מיום ההליך האחרון מטעם בית המשפט, הכל לפי המאוחר יותר.</w:t>
      </w:r>
    </w:p>
    <w:p w:rsidR="00FC757B" w:rsidRPr="00AD5390" w:rsidRDefault="00FC757B" w:rsidP="00B97E8E">
      <w:pPr>
        <w:bidi/>
        <w:spacing w:before="72" w:after="0" w:line="240" w:lineRule="auto"/>
        <w:ind w:left="720"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          (ד)  הוראות סעיף קטן (ג) יחולו על עבירת הסגרה שבשלה הוגשה בקשת הסגרה למדינת ישראל וכל פעולה מהפעולות המפורטות באותו סעיף קטן, שנעשתה במדינה המבקשת, תאריך את מנין תקופת ההתיישנות לאותה עבירה לפי סעיף זה, כאילו נעשתה בישראל.</w:t>
      </w:r>
    </w:p>
    <w:p w:rsidR="00FC757B" w:rsidRPr="00AD5390" w:rsidRDefault="00FC757B" w:rsidP="00B97E8E">
      <w:pPr>
        <w:bidi/>
        <w:spacing w:before="72" w:after="0" w:line="240" w:lineRule="auto"/>
        <w:ind w:left="720" w:right="142"/>
        <w:jc w:val="both"/>
        <w:rPr>
          <w:rFonts w:ascii="Times New Roman" w:eastAsia="Times New Roman" w:hAnsi="Times New Roman" w:cs="David"/>
          <w:sz w:val="24"/>
          <w:szCs w:val="24"/>
          <w:rtl/>
        </w:rPr>
      </w:pPr>
      <w:r w:rsidRPr="00AD5390">
        <w:rPr>
          <w:rFonts w:ascii="Times New Roman" w:eastAsia="Times New Roman" w:hAnsi="Times New Roman" w:cs="David" w:hint="cs"/>
          <w:sz w:val="24"/>
          <w:szCs w:val="24"/>
          <w:rtl/>
        </w:rPr>
        <w:t>          (ה)  על אף האמור בסעיף קטן (א), נסגר תיק בהסדר לפי סימן א'1 בפרק ד', לא תימנה התקופה שנקבעה לקיום תנאי ההסדר במניין תקופות ההתיישנות.</w:t>
      </w:r>
    </w:p>
    <w:p w:rsidR="003D18B1" w:rsidRPr="00AD5390" w:rsidRDefault="003D18B1" w:rsidP="00FC757B">
      <w:pPr>
        <w:bidi/>
        <w:rPr>
          <w:rFonts w:cs="David"/>
          <w:sz w:val="24"/>
          <w:szCs w:val="24"/>
          <w:rtl/>
        </w:rPr>
      </w:pPr>
    </w:p>
    <w:p w:rsidR="003D18B1" w:rsidRPr="00AD5390" w:rsidRDefault="003D18B1" w:rsidP="00F47A2A">
      <w:pPr>
        <w:bidi/>
        <w:spacing w:line="360" w:lineRule="auto"/>
        <w:jc w:val="both"/>
        <w:rPr>
          <w:rFonts w:cs="David"/>
          <w:sz w:val="24"/>
          <w:szCs w:val="24"/>
          <w:rtl/>
        </w:rPr>
      </w:pPr>
      <w:r w:rsidRPr="00AD5390">
        <w:rPr>
          <w:rFonts w:cs="David" w:hint="cs"/>
          <w:sz w:val="24"/>
          <w:szCs w:val="24"/>
          <w:rtl/>
        </w:rPr>
        <w:t xml:space="preserve">נדמה כי סעיף </w:t>
      </w:r>
      <w:r w:rsidR="000B4EF9" w:rsidRPr="00AD5390">
        <w:rPr>
          <w:rFonts w:cs="David" w:hint="cs"/>
          <w:sz w:val="24"/>
          <w:szCs w:val="24"/>
          <w:rtl/>
        </w:rPr>
        <w:t>48 המוצע</w:t>
      </w:r>
      <w:r w:rsidRPr="00AD5390">
        <w:rPr>
          <w:rFonts w:cs="David" w:hint="cs"/>
          <w:sz w:val="24"/>
          <w:szCs w:val="24"/>
          <w:rtl/>
        </w:rPr>
        <w:t xml:space="preserve"> מרחיק לכת מבחינת </w:t>
      </w:r>
      <w:r w:rsidR="00F47A2A">
        <w:rPr>
          <w:rFonts w:cs="David" w:hint="cs"/>
          <w:sz w:val="24"/>
          <w:szCs w:val="24"/>
          <w:rtl/>
        </w:rPr>
        <w:t>ניהול ההליך</w:t>
      </w:r>
      <w:r w:rsidRPr="00AD5390">
        <w:rPr>
          <w:rFonts w:cs="David" w:hint="cs"/>
          <w:sz w:val="24"/>
          <w:szCs w:val="24"/>
          <w:rtl/>
        </w:rPr>
        <w:t>: כללי ההתיישנות נועדו להגן על נאשם מפני ניהול הליך פלילי לאחר שנים, כאשר אין לו יכולת אפקטיבית לנהל את הגנתו</w:t>
      </w:r>
      <w:r w:rsidR="00EB585F" w:rsidRPr="00AD5390">
        <w:rPr>
          <w:rFonts w:cs="David" w:hint="cs"/>
          <w:sz w:val="24"/>
          <w:szCs w:val="24"/>
          <w:rtl/>
        </w:rPr>
        <w:t xml:space="preserve">, וכן להגן עליו מפני החשש שהמדינה </w:t>
      </w:r>
      <w:r w:rsidR="00B97E8E" w:rsidRPr="00AD5390">
        <w:rPr>
          <w:rFonts w:cs="David" w:hint="cs"/>
          <w:sz w:val="24"/>
          <w:szCs w:val="24"/>
          <w:rtl/>
        </w:rPr>
        <w:t>תנהל נגדו הליך</w:t>
      </w:r>
      <w:r w:rsidR="00EB585F" w:rsidRPr="00AD5390">
        <w:rPr>
          <w:rFonts w:cs="David" w:hint="cs"/>
          <w:sz w:val="24"/>
          <w:szCs w:val="24"/>
          <w:rtl/>
        </w:rPr>
        <w:t xml:space="preserve"> עליו אחרי שנים רבות </w:t>
      </w:r>
      <w:r w:rsidR="00B97E8E" w:rsidRPr="00AD5390">
        <w:rPr>
          <w:rFonts w:cs="David" w:hint="cs"/>
          <w:sz w:val="24"/>
          <w:szCs w:val="24"/>
          <w:rtl/>
        </w:rPr>
        <w:t xml:space="preserve">כדי </w:t>
      </w:r>
      <w:r w:rsidR="00EB585F" w:rsidRPr="00AD5390">
        <w:rPr>
          <w:rFonts w:cs="David" w:hint="cs"/>
          <w:sz w:val="24"/>
          <w:szCs w:val="24"/>
          <w:rtl/>
        </w:rPr>
        <w:t>לגבות את המחיר על מה שעשה לפני שנים</w:t>
      </w:r>
      <w:r w:rsidR="00B97E8E" w:rsidRPr="00AD5390">
        <w:rPr>
          <w:rFonts w:cs="David" w:hint="cs"/>
          <w:sz w:val="24"/>
          <w:szCs w:val="24"/>
          <w:rtl/>
        </w:rPr>
        <w:t>, כשניתן היה להתאמץ ולהביא</w:t>
      </w:r>
      <w:r w:rsidR="00F47A2A">
        <w:rPr>
          <w:rFonts w:cs="David" w:hint="cs"/>
          <w:sz w:val="24"/>
          <w:szCs w:val="24"/>
          <w:rtl/>
        </w:rPr>
        <w:t>ו</w:t>
      </w:r>
      <w:r w:rsidR="00B97E8E" w:rsidRPr="00AD5390">
        <w:rPr>
          <w:rFonts w:cs="David" w:hint="cs"/>
          <w:sz w:val="24"/>
          <w:szCs w:val="24"/>
          <w:rtl/>
        </w:rPr>
        <w:t xml:space="preserve"> לדין קודם לכן.</w:t>
      </w:r>
      <w:r w:rsidRPr="00AD5390">
        <w:rPr>
          <w:rFonts w:cs="David" w:hint="cs"/>
          <w:sz w:val="24"/>
          <w:szCs w:val="24"/>
          <w:rtl/>
        </w:rPr>
        <w:t xml:space="preserve"> לעתים האשם המוסרי של המעשה התפוגג במשך השנים, </w:t>
      </w:r>
      <w:r w:rsidR="00B97E8E" w:rsidRPr="00AD5390">
        <w:rPr>
          <w:rFonts w:cs="David" w:hint="cs"/>
          <w:sz w:val="24"/>
          <w:szCs w:val="24"/>
          <w:rtl/>
        </w:rPr>
        <w:t>ו</w:t>
      </w:r>
      <w:r w:rsidRPr="00AD5390">
        <w:rPr>
          <w:rFonts w:cs="David" w:hint="cs"/>
          <w:sz w:val="24"/>
          <w:szCs w:val="24"/>
          <w:rtl/>
        </w:rPr>
        <w:t>העבריין התבגר ושינה את חייו</w:t>
      </w:r>
      <w:r w:rsidR="00EB585F" w:rsidRPr="00AD5390">
        <w:rPr>
          <w:rFonts w:cs="David" w:hint="cs"/>
          <w:sz w:val="24"/>
          <w:szCs w:val="24"/>
          <w:rtl/>
        </w:rPr>
        <w:t xml:space="preserve"> (שכחה</w:t>
      </w:r>
      <w:r w:rsidR="00EB585F" w:rsidRPr="00AD5390">
        <w:rPr>
          <w:rFonts w:cs="David"/>
          <w:sz w:val="24"/>
          <w:szCs w:val="24"/>
          <w:rtl/>
        </w:rPr>
        <w:t xml:space="preserve"> </w:t>
      </w:r>
      <w:r w:rsidR="00EB585F" w:rsidRPr="00AD5390">
        <w:rPr>
          <w:rFonts w:cs="David" w:hint="cs"/>
          <w:sz w:val="24"/>
          <w:szCs w:val="24"/>
          <w:rtl/>
        </w:rPr>
        <w:t>ומחילה)</w:t>
      </w:r>
      <w:r w:rsidRPr="00AD5390">
        <w:rPr>
          <w:rFonts w:cs="David" w:hint="cs"/>
          <w:sz w:val="24"/>
          <w:szCs w:val="24"/>
          <w:rtl/>
        </w:rPr>
        <w:t xml:space="preserve">. </w:t>
      </w:r>
      <w:r w:rsidR="00EB585F" w:rsidRPr="00AD5390">
        <w:rPr>
          <w:rFonts w:cs="David" w:hint="cs"/>
          <w:sz w:val="24"/>
          <w:szCs w:val="24"/>
          <w:rtl/>
        </w:rPr>
        <w:t>בשל שני אלה, קיימות גם תקופות שונות לגבי עבירות שחומרתן שונה. (ור' לעניין זה מאמרה של רינת</w:t>
      </w:r>
      <w:r w:rsidR="00EB585F" w:rsidRPr="00AD5390">
        <w:rPr>
          <w:rFonts w:cs="David"/>
          <w:sz w:val="24"/>
          <w:szCs w:val="24"/>
          <w:rtl/>
        </w:rPr>
        <w:t xml:space="preserve"> </w:t>
      </w:r>
      <w:r w:rsidR="00EB585F" w:rsidRPr="00AD5390">
        <w:rPr>
          <w:rFonts w:cs="David" w:hint="cs"/>
          <w:sz w:val="24"/>
          <w:szCs w:val="24"/>
          <w:rtl/>
        </w:rPr>
        <w:t>קיטאי</w:t>
      </w:r>
      <w:r w:rsidR="00EB585F" w:rsidRPr="00AD5390">
        <w:rPr>
          <w:rFonts w:cs="David"/>
          <w:sz w:val="24"/>
          <w:szCs w:val="24"/>
          <w:rtl/>
        </w:rPr>
        <w:t xml:space="preserve"> </w:t>
      </w:r>
      <w:r w:rsidR="00EB585F" w:rsidRPr="00AD5390">
        <w:rPr>
          <w:rFonts w:cs="David" w:hint="cs"/>
          <w:sz w:val="24"/>
          <w:szCs w:val="24"/>
          <w:rtl/>
        </w:rPr>
        <w:t>סנג</w:t>
      </w:r>
      <w:r w:rsidR="00EB585F" w:rsidRPr="00AD5390">
        <w:rPr>
          <w:rFonts w:cs="David"/>
          <w:sz w:val="24"/>
          <w:szCs w:val="24"/>
          <w:rtl/>
        </w:rPr>
        <w:t>'</w:t>
      </w:r>
      <w:r w:rsidR="00EB585F" w:rsidRPr="00AD5390">
        <w:rPr>
          <w:rFonts w:cs="David" w:hint="cs"/>
          <w:sz w:val="24"/>
          <w:szCs w:val="24"/>
          <w:rtl/>
        </w:rPr>
        <w:t>רו</w:t>
      </w:r>
      <w:r w:rsidR="00EB585F" w:rsidRPr="00AD5390">
        <w:rPr>
          <w:rFonts w:cs="David"/>
          <w:sz w:val="24"/>
          <w:szCs w:val="24"/>
          <w:rtl/>
        </w:rPr>
        <w:t xml:space="preserve"> "</w:t>
      </w:r>
      <w:r w:rsidR="00EB585F" w:rsidRPr="00AD5390">
        <w:rPr>
          <w:rFonts w:cs="David" w:hint="cs"/>
          <w:sz w:val="24"/>
          <w:szCs w:val="24"/>
          <w:rtl/>
        </w:rPr>
        <w:t>הצדקות</w:t>
      </w:r>
      <w:r w:rsidR="00EB585F" w:rsidRPr="00AD5390">
        <w:rPr>
          <w:rFonts w:cs="David"/>
          <w:sz w:val="24"/>
          <w:szCs w:val="24"/>
          <w:rtl/>
        </w:rPr>
        <w:t xml:space="preserve"> </w:t>
      </w:r>
      <w:r w:rsidR="00EB585F" w:rsidRPr="00AD5390">
        <w:rPr>
          <w:rFonts w:cs="David" w:hint="cs"/>
          <w:sz w:val="24"/>
          <w:szCs w:val="24"/>
          <w:rtl/>
        </w:rPr>
        <w:t>להתיישנות</w:t>
      </w:r>
      <w:r w:rsidR="00EB585F" w:rsidRPr="00AD5390">
        <w:rPr>
          <w:rFonts w:cs="David"/>
          <w:sz w:val="24"/>
          <w:szCs w:val="24"/>
          <w:rtl/>
        </w:rPr>
        <w:t xml:space="preserve"> </w:t>
      </w:r>
      <w:r w:rsidR="00EB585F" w:rsidRPr="00AD5390">
        <w:rPr>
          <w:rFonts w:cs="David" w:hint="cs"/>
          <w:sz w:val="24"/>
          <w:szCs w:val="24"/>
          <w:rtl/>
        </w:rPr>
        <w:t>עבירות</w:t>
      </w:r>
      <w:r w:rsidR="00EB585F" w:rsidRPr="00AD5390">
        <w:rPr>
          <w:rFonts w:cs="David"/>
          <w:sz w:val="24"/>
          <w:szCs w:val="24"/>
          <w:rtl/>
        </w:rPr>
        <w:t xml:space="preserve">" </w:t>
      </w:r>
      <w:r w:rsidR="00EB585F" w:rsidRPr="00AD5390">
        <w:rPr>
          <w:rFonts w:cs="David" w:hint="cs"/>
          <w:sz w:val="24"/>
          <w:szCs w:val="24"/>
          <w:rtl/>
        </w:rPr>
        <w:t>עלי</w:t>
      </w:r>
      <w:r w:rsidR="00EB585F" w:rsidRPr="00AD5390">
        <w:rPr>
          <w:rFonts w:cs="David"/>
          <w:sz w:val="24"/>
          <w:szCs w:val="24"/>
          <w:rtl/>
        </w:rPr>
        <w:t xml:space="preserve"> </w:t>
      </w:r>
      <w:r w:rsidR="00EB585F" w:rsidRPr="00AD5390">
        <w:rPr>
          <w:rFonts w:cs="David" w:hint="cs"/>
          <w:sz w:val="24"/>
          <w:szCs w:val="24"/>
          <w:rtl/>
        </w:rPr>
        <w:t>משפט</w:t>
      </w:r>
      <w:r w:rsidR="00EB585F" w:rsidRPr="00AD5390">
        <w:rPr>
          <w:rFonts w:cs="David"/>
          <w:sz w:val="24"/>
          <w:szCs w:val="24"/>
          <w:rtl/>
        </w:rPr>
        <w:t xml:space="preserve"> </w:t>
      </w:r>
      <w:r w:rsidR="00EB585F" w:rsidRPr="00AD5390">
        <w:rPr>
          <w:rFonts w:cs="David" w:hint="cs"/>
          <w:sz w:val="24"/>
          <w:szCs w:val="24"/>
          <w:rtl/>
        </w:rPr>
        <w:t>יא</w:t>
      </w:r>
      <w:r w:rsidR="00EB585F" w:rsidRPr="00AD5390">
        <w:rPr>
          <w:rFonts w:cs="David"/>
          <w:sz w:val="24"/>
          <w:szCs w:val="24"/>
          <w:rtl/>
        </w:rPr>
        <w:t xml:space="preserve"> 227 (2014</w:t>
      </w:r>
      <w:r w:rsidR="00EB585F" w:rsidRPr="00AD5390">
        <w:rPr>
          <w:rFonts w:cs="David" w:hint="cs"/>
          <w:sz w:val="24"/>
          <w:szCs w:val="24"/>
          <w:rtl/>
        </w:rPr>
        <w:t>.</w:t>
      </w:r>
      <w:r w:rsidR="00EB585F" w:rsidRPr="00AD5390">
        <w:rPr>
          <w:rFonts w:cs="David"/>
          <w:sz w:val="24"/>
          <w:szCs w:val="24"/>
          <w:rtl/>
        </w:rPr>
        <w:t>)</w:t>
      </w:r>
    </w:p>
    <w:p w:rsidR="00EB585F" w:rsidRPr="00AD5390" w:rsidRDefault="00EB585F" w:rsidP="00B97E8E">
      <w:pPr>
        <w:bidi/>
        <w:spacing w:line="360" w:lineRule="auto"/>
        <w:jc w:val="both"/>
        <w:rPr>
          <w:rFonts w:cs="David"/>
          <w:sz w:val="24"/>
          <w:szCs w:val="24"/>
          <w:rtl/>
        </w:rPr>
      </w:pPr>
      <w:r w:rsidRPr="00AD5390">
        <w:rPr>
          <w:rFonts w:cs="David" w:hint="cs"/>
          <w:sz w:val="24"/>
          <w:szCs w:val="24"/>
          <w:rtl/>
        </w:rPr>
        <w:t xml:space="preserve">ההצדקה האחרונה לדיני ההתיישנות, לדברי השופט גולדברג </w:t>
      </w:r>
      <w:r w:rsidR="00B97E8E" w:rsidRPr="00AD5390">
        <w:rPr>
          <w:rFonts w:cs="David" w:hint="cs"/>
          <w:sz w:val="24"/>
          <w:szCs w:val="24"/>
          <w:rtl/>
        </w:rPr>
        <w:t>(</w:t>
      </w:r>
      <w:r w:rsidRPr="00AD5390">
        <w:rPr>
          <w:rFonts w:cs="David" w:hint="cs"/>
          <w:sz w:val="24"/>
          <w:szCs w:val="24"/>
          <w:rtl/>
        </w:rPr>
        <w:t>בג</w:t>
      </w:r>
      <w:r w:rsidRPr="00AD5390">
        <w:rPr>
          <w:rFonts w:cs="David"/>
          <w:sz w:val="24"/>
          <w:szCs w:val="24"/>
          <w:rtl/>
        </w:rPr>
        <w:t>"</w:t>
      </w:r>
      <w:r w:rsidRPr="00AD5390">
        <w:rPr>
          <w:rFonts w:cs="David" w:hint="cs"/>
          <w:sz w:val="24"/>
          <w:szCs w:val="24"/>
          <w:rtl/>
        </w:rPr>
        <w:t>ץ</w:t>
      </w:r>
      <w:r w:rsidRPr="00AD5390">
        <w:rPr>
          <w:rFonts w:cs="David"/>
          <w:sz w:val="24"/>
          <w:szCs w:val="24"/>
          <w:rtl/>
        </w:rPr>
        <w:t xml:space="preserve"> 6972/96</w:t>
      </w:r>
      <w:r w:rsidRPr="00AD5390">
        <w:rPr>
          <w:rFonts w:cs="David"/>
          <w:sz w:val="24"/>
          <w:szCs w:val="24"/>
          <w:rtl/>
        </w:rPr>
        <w:tab/>
      </w:r>
      <w:r w:rsidRPr="00AD5390">
        <w:rPr>
          <w:rFonts w:cs="David" w:hint="cs"/>
          <w:sz w:val="24"/>
          <w:szCs w:val="24"/>
          <w:rtl/>
        </w:rPr>
        <w:t>התנועה</w:t>
      </w:r>
      <w:r w:rsidRPr="00AD5390">
        <w:rPr>
          <w:rFonts w:cs="David"/>
          <w:sz w:val="24"/>
          <w:szCs w:val="24"/>
          <w:rtl/>
        </w:rPr>
        <w:t xml:space="preserve"> </w:t>
      </w:r>
      <w:r w:rsidRPr="00AD5390">
        <w:rPr>
          <w:rFonts w:cs="David" w:hint="cs"/>
          <w:sz w:val="24"/>
          <w:szCs w:val="24"/>
          <w:rtl/>
        </w:rPr>
        <w:t>למען</w:t>
      </w:r>
      <w:r w:rsidRPr="00AD5390">
        <w:rPr>
          <w:rFonts w:cs="David"/>
          <w:sz w:val="24"/>
          <w:szCs w:val="24"/>
          <w:rtl/>
        </w:rPr>
        <w:t xml:space="preserve"> </w:t>
      </w:r>
      <w:r w:rsidRPr="00AD5390">
        <w:rPr>
          <w:rFonts w:cs="David" w:hint="cs"/>
          <w:sz w:val="24"/>
          <w:szCs w:val="24"/>
          <w:rtl/>
        </w:rPr>
        <w:t>איכות</w:t>
      </w:r>
      <w:r w:rsidRPr="00AD5390">
        <w:rPr>
          <w:rFonts w:cs="David"/>
          <w:sz w:val="24"/>
          <w:szCs w:val="24"/>
          <w:rtl/>
        </w:rPr>
        <w:t xml:space="preserve"> </w:t>
      </w:r>
      <w:r w:rsidRPr="00AD5390">
        <w:rPr>
          <w:rFonts w:cs="David" w:hint="cs"/>
          <w:sz w:val="24"/>
          <w:szCs w:val="24"/>
          <w:rtl/>
        </w:rPr>
        <w:t>השלטון</w:t>
      </w:r>
      <w:r w:rsidRPr="00AD5390">
        <w:rPr>
          <w:rFonts w:cs="David"/>
          <w:sz w:val="24"/>
          <w:szCs w:val="24"/>
          <w:rtl/>
        </w:rPr>
        <w:t xml:space="preserve">  </w:t>
      </w:r>
      <w:r w:rsidRPr="00AD5390">
        <w:rPr>
          <w:rFonts w:cs="David" w:hint="cs"/>
          <w:sz w:val="24"/>
          <w:szCs w:val="24"/>
          <w:rtl/>
        </w:rPr>
        <w:t>נ</w:t>
      </w:r>
      <w:r w:rsidRPr="00AD5390">
        <w:rPr>
          <w:rFonts w:cs="David"/>
          <w:sz w:val="24"/>
          <w:szCs w:val="24"/>
          <w:rtl/>
        </w:rPr>
        <w:t xml:space="preserve">' </w:t>
      </w:r>
      <w:r w:rsidRPr="00AD5390">
        <w:rPr>
          <w:rFonts w:cs="David" w:hint="cs"/>
          <w:sz w:val="24"/>
          <w:szCs w:val="24"/>
          <w:rtl/>
        </w:rPr>
        <w:t>היועץ</w:t>
      </w:r>
      <w:r w:rsidRPr="00AD5390">
        <w:rPr>
          <w:rFonts w:cs="David"/>
          <w:sz w:val="24"/>
          <w:szCs w:val="24"/>
          <w:rtl/>
        </w:rPr>
        <w:t xml:space="preserve"> </w:t>
      </w:r>
      <w:r w:rsidRPr="00AD5390">
        <w:rPr>
          <w:rFonts w:cs="David" w:hint="cs"/>
          <w:sz w:val="24"/>
          <w:szCs w:val="24"/>
          <w:rtl/>
        </w:rPr>
        <w:t>המשפטי</w:t>
      </w:r>
      <w:r w:rsidRPr="00AD5390">
        <w:rPr>
          <w:rFonts w:cs="David"/>
          <w:sz w:val="24"/>
          <w:szCs w:val="24"/>
          <w:rtl/>
        </w:rPr>
        <w:t xml:space="preserve"> </w:t>
      </w:r>
      <w:r w:rsidRPr="00AD5390">
        <w:rPr>
          <w:rFonts w:cs="David" w:hint="cs"/>
          <w:sz w:val="24"/>
          <w:szCs w:val="24"/>
          <w:rtl/>
        </w:rPr>
        <w:t>לממשלה</w:t>
      </w:r>
      <w:r w:rsidR="00B97E8E" w:rsidRPr="00AD5390">
        <w:rPr>
          <w:rFonts w:cs="David" w:hint="cs"/>
          <w:sz w:val="24"/>
          <w:szCs w:val="24"/>
          <w:rtl/>
        </w:rPr>
        <w:t>)</w:t>
      </w:r>
      <w:r w:rsidRPr="00AD5390">
        <w:rPr>
          <w:rFonts w:cs="David" w:hint="cs"/>
          <w:sz w:val="24"/>
          <w:szCs w:val="24"/>
          <w:rtl/>
        </w:rPr>
        <w:t>, הוא הטעם</w:t>
      </w:r>
      <w:r w:rsidRPr="00AD5390">
        <w:rPr>
          <w:rFonts w:cs="David"/>
          <w:sz w:val="24"/>
          <w:szCs w:val="24"/>
          <w:rtl/>
        </w:rPr>
        <w:t xml:space="preserve"> </w:t>
      </w:r>
      <w:r w:rsidRPr="00AD5390">
        <w:rPr>
          <w:rFonts w:cs="David" w:hint="cs"/>
          <w:sz w:val="24"/>
          <w:szCs w:val="24"/>
          <w:rtl/>
        </w:rPr>
        <w:t>התועלתני</w:t>
      </w:r>
      <w:r w:rsidR="00B97E8E" w:rsidRPr="00AD5390">
        <w:rPr>
          <w:rFonts w:cs="David" w:hint="cs"/>
          <w:sz w:val="24"/>
          <w:szCs w:val="24"/>
          <w:rtl/>
        </w:rPr>
        <w:t>:</w:t>
      </w:r>
      <w:r w:rsidRPr="00AD5390">
        <w:rPr>
          <w:rFonts w:cs="David"/>
          <w:sz w:val="24"/>
          <w:szCs w:val="24"/>
          <w:rtl/>
        </w:rPr>
        <w:t xml:space="preserve"> </w:t>
      </w:r>
      <w:r w:rsidR="00B97E8E" w:rsidRPr="00AD5390">
        <w:rPr>
          <w:rFonts w:cs="David" w:hint="cs"/>
          <w:sz w:val="24"/>
          <w:szCs w:val="24"/>
          <w:rtl/>
        </w:rPr>
        <w:t>"</w:t>
      </w:r>
      <w:r w:rsidRPr="00AD5390">
        <w:rPr>
          <w:rFonts w:cs="David" w:hint="cs"/>
          <w:sz w:val="24"/>
          <w:szCs w:val="24"/>
          <w:u w:val="single"/>
          <w:rtl/>
        </w:rPr>
        <w:t>משמעות</w:t>
      </w:r>
      <w:r w:rsidRPr="00AD5390">
        <w:rPr>
          <w:rFonts w:cs="David"/>
          <w:sz w:val="24"/>
          <w:szCs w:val="24"/>
          <w:u w:val="single"/>
          <w:rtl/>
        </w:rPr>
        <w:t xml:space="preserve"> </w:t>
      </w:r>
      <w:r w:rsidRPr="00AD5390">
        <w:rPr>
          <w:rFonts w:cs="David" w:hint="cs"/>
          <w:sz w:val="24"/>
          <w:szCs w:val="24"/>
          <w:u w:val="single"/>
          <w:rtl/>
        </w:rPr>
        <w:t>הדבר</w:t>
      </w:r>
      <w:r w:rsidRPr="00AD5390">
        <w:rPr>
          <w:rFonts w:cs="David"/>
          <w:sz w:val="24"/>
          <w:szCs w:val="24"/>
          <w:u w:val="single"/>
          <w:rtl/>
        </w:rPr>
        <w:t xml:space="preserve"> </w:t>
      </w:r>
      <w:r w:rsidRPr="00AD5390">
        <w:rPr>
          <w:rFonts w:cs="David" w:hint="cs"/>
          <w:sz w:val="24"/>
          <w:szCs w:val="24"/>
          <w:u w:val="single"/>
          <w:rtl/>
        </w:rPr>
        <w:t>היא</w:t>
      </w:r>
      <w:r w:rsidRPr="00AD5390">
        <w:rPr>
          <w:rFonts w:cs="David"/>
          <w:sz w:val="24"/>
          <w:szCs w:val="24"/>
          <w:u w:val="single"/>
          <w:rtl/>
        </w:rPr>
        <w:t xml:space="preserve"> </w:t>
      </w:r>
      <w:r w:rsidRPr="00AD5390">
        <w:rPr>
          <w:rFonts w:cs="David" w:hint="cs"/>
          <w:sz w:val="24"/>
          <w:szCs w:val="24"/>
          <w:u w:val="single"/>
          <w:rtl/>
        </w:rPr>
        <w:t>שההתיישנות</w:t>
      </w:r>
      <w:r w:rsidRPr="00AD5390">
        <w:rPr>
          <w:rFonts w:cs="David"/>
          <w:sz w:val="24"/>
          <w:szCs w:val="24"/>
          <w:u w:val="single"/>
          <w:rtl/>
        </w:rPr>
        <w:t xml:space="preserve"> </w:t>
      </w:r>
      <w:r w:rsidRPr="00AD5390">
        <w:rPr>
          <w:rFonts w:cs="David" w:hint="cs"/>
          <w:sz w:val="24"/>
          <w:szCs w:val="24"/>
          <w:u w:val="single"/>
          <w:rtl/>
        </w:rPr>
        <w:t>ממריצה</w:t>
      </w:r>
      <w:r w:rsidRPr="00AD5390">
        <w:rPr>
          <w:rFonts w:cs="David"/>
          <w:sz w:val="24"/>
          <w:szCs w:val="24"/>
          <w:u w:val="single"/>
          <w:rtl/>
        </w:rPr>
        <w:t xml:space="preserve"> </w:t>
      </w:r>
      <w:r w:rsidRPr="00AD5390">
        <w:rPr>
          <w:rFonts w:cs="David" w:hint="cs"/>
          <w:sz w:val="24"/>
          <w:szCs w:val="24"/>
          <w:u w:val="single"/>
          <w:rtl/>
        </w:rPr>
        <w:t>את</w:t>
      </w:r>
      <w:r w:rsidRPr="00AD5390">
        <w:rPr>
          <w:rFonts w:cs="David"/>
          <w:sz w:val="24"/>
          <w:szCs w:val="24"/>
          <w:u w:val="single"/>
          <w:rtl/>
        </w:rPr>
        <w:t xml:space="preserve"> </w:t>
      </w:r>
      <w:r w:rsidRPr="00AD5390">
        <w:rPr>
          <w:rFonts w:cs="David" w:hint="cs"/>
          <w:sz w:val="24"/>
          <w:szCs w:val="24"/>
          <w:u w:val="single"/>
          <w:rtl/>
        </w:rPr>
        <w:t>רשויות</w:t>
      </w:r>
      <w:r w:rsidRPr="00AD5390">
        <w:rPr>
          <w:rFonts w:cs="David"/>
          <w:sz w:val="24"/>
          <w:szCs w:val="24"/>
          <w:u w:val="single"/>
          <w:rtl/>
        </w:rPr>
        <w:t xml:space="preserve"> </w:t>
      </w:r>
      <w:r w:rsidRPr="00AD5390">
        <w:rPr>
          <w:rFonts w:cs="David" w:hint="cs"/>
          <w:sz w:val="24"/>
          <w:szCs w:val="24"/>
          <w:u w:val="single"/>
          <w:rtl/>
        </w:rPr>
        <w:t>האכיפה</w:t>
      </w:r>
      <w:r w:rsidRPr="00AD5390">
        <w:rPr>
          <w:rFonts w:cs="David"/>
          <w:sz w:val="24"/>
          <w:szCs w:val="24"/>
          <w:u w:val="single"/>
          <w:rtl/>
        </w:rPr>
        <w:t xml:space="preserve"> </w:t>
      </w:r>
      <w:r w:rsidRPr="00AD5390">
        <w:rPr>
          <w:rFonts w:cs="David" w:hint="cs"/>
          <w:sz w:val="24"/>
          <w:szCs w:val="24"/>
          <w:u w:val="single"/>
          <w:rtl/>
        </w:rPr>
        <w:t>לסיים</w:t>
      </w:r>
      <w:r w:rsidRPr="00AD5390">
        <w:rPr>
          <w:rFonts w:cs="David"/>
          <w:sz w:val="24"/>
          <w:szCs w:val="24"/>
          <w:u w:val="single"/>
          <w:rtl/>
        </w:rPr>
        <w:t xml:space="preserve"> </w:t>
      </w:r>
      <w:r w:rsidRPr="00AD5390">
        <w:rPr>
          <w:rFonts w:cs="David" w:hint="cs"/>
          <w:sz w:val="24"/>
          <w:szCs w:val="24"/>
          <w:u w:val="single"/>
          <w:rtl/>
        </w:rPr>
        <w:t>במהירות</w:t>
      </w:r>
      <w:r w:rsidRPr="00AD5390">
        <w:rPr>
          <w:rFonts w:cs="David"/>
          <w:sz w:val="24"/>
          <w:szCs w:val="24"/>
          <w:u w:val="single"/>
          <w:rtl/>
        </w:rPr>
        <w:t xml:space="preserve"> </w:t>
      </w:r>
      <w:r w:rsidRPr="00AD5390">
        <w:rPr>
          <w:rFonts w:cs="David" w:hint="cs"/>
          <w:sz w:val="24"/>
          <w:szCs w:val="24"/>
          <w:u w:val="single"/>
          <w:rtl/>
        </w:rPr>
        <w:t>יחסית</w:t>
      </w:r>
      <w:r w:rsidRPr="00AD5390">
        <w:rPr>
          <w:rFonts w:cs="David"/>
          <w:sz w:val="24"/>
          <w:szCs w:val="24"/>
          <w:u w:val="single"/>
          <w:rtl/>
        </w:rPr>
        <w:t xml:space="preserve"> </w:t>
      </w:r>
      <w:r w:rsidRPr="00AD5390">
        <w:rPr>
          <w:rFonts w:cs="David" w:hint="cs"/>
          <w:sz w:val="24"/>
          <w:szCs w:val="24"/>
          <w:u w:val="single"/>
          <w:rtl/>
        </w:rPr>
        <w:t>את</w:t>
      </w:r>
      <w:r w:rsidRPr="00AD5390">
        <w:rPr>
          <w:rFonts w:cs="David"/>
          <w:sz w:val="24"/>
          <w:szCs w:val="24"/>
          <w:u w:val="single"/>
          <w:rtl/>
        </w:rPr>
        <w:t xml:space="preserve"> </w:t>
      </w:r>
      <w:r w:rsidRPr="00AD5390">
        <w:rPr>
          <w:rFonts w:cs="David" w:hint="cs"/>
          <w:sz w:val="24"/>
          <w:szCs w:val="24"/>
          <w:u w:val="single"/>
          <w:rtl/>
        </w:rPr>
        <w:t>הטיפול</w:t>
      </w:r>
      <w:r w:rsidRPr="00AD5390">
        <w:rPr>
          <w:rFonts w:cs="David"/>
          <w:sz w:val="24"/>
          <w:szCs w:val="24"/>
          <w:u w:val="single"/>
          <w:rtl/>
        </w:rPr>
        <w:t xml:space="preserve"> </w:t>
      </w:r>
      <w:r w:rsidRPr="00AD5390">
        <w:rPr>
          <w:rFonts w:cs="David" w:hint="cs"/>
          <w:sz w:val="24"/>
          <w:szCs w:val="24"/>
          <w:u w:val="single"/>
          <w:rtl/>
        </w:rPr>
        <w:t>בעבירות</w:t>
      </w:r>
      <w:r w:rsidRPr="00AD5390">
        <w:rPr>
          <w:rFonts w:cs="David"/>
          <w:sz w:val="24"/>
          <w:szCs w:val="24"/>
          <w:u w:val="single"/>
          <w:rtl/>
        </w:rPr>
        <w:t xml:space="preserve">, </w:t>
      </w:r>
      <w:r w:rsidRPr="00AD5390">
        <w:rPr>
          <w:rFonts w:cs="David" w:hint="cs"/>
          <w:sz w:val="24"/>
          <w:szCs w:val="24"/>
          <w:u w:val="single"/>
          <w:rtl/>
        </w:rPr>
        <w:t>ולא</w:t>
      </w:r>
      <w:r w:rsidRPr="00AD5390">
        <w:rPr>
          <w:rFonts w:cs="David"/>
          <w:sz w:val="24"/>
          <w:szCs w:val="24"/>
          <w:u w:val="single"/>
          <w:rtl/>
        </w:rPr>
        <w:t xml:space="preserve"> </w:t>
      </w:r>
      <w:r w:rsidRPr="00AD5390">
        <w:rPr>
          <w:rFonts w:cs="David" w:hint="cs"/>
          <w:sz w:val="24"/>
          <w:szCs w:val="24"/>
          <w:u w:val="single"/>
          <w:rtl/>
        </w:rPr>
        <w:t>לדחותו</w:t>
      </w:r>
      <w:r w:rsidRPr="00AD5390">
        <w:rPr>
          <w:rFonts w:cs="David"/>
          <w:sz w:val="24"/>
          <w:szCs w:val="24"/>
          <w:u w:val="single"/>
          <w:rtl/>
        </w:rPr>
        <w:t xml:space="preserve">. </w:t>
      </w:r>
      <w:r w:rsidRPr="00AD5390">
        <w:rPr>
          <w:rFonts w:cs="David" w:hint="cs"/>
          <w:sz w:val="24"/>
          <w:szCs w:val="24"/>
          <w:u w:val="single"/>
          <w:rtl/>
        </w:rPr>
        <w:t>האינטרס</w:t>
      </w:r>
      <w:r w:rsidRPr="00AD5390">
        <w:rPr>
          <w:rFonts w:cs="David"/>
          <w:sz w:val="24"/>
          <w:szCs w:val="24"/>
          <w:u w:val="single"/>
          <w:rtl/>
        </w:rPr>
        <w:t xml:space="preserve"> </w:t>
      </w:r>
      <w:r w:rsidRPr="00AD5390">
        <w:rPr>
          <w:rFonts w:cs="David" w:hint="cs"/>
          <w:sz w:val="24"/>
          <w:szCs w:val="24"/>
          <w:u w:val="single"/>
          <w:rtl/>
        </w:rPr>
        <w:t>הציבורי</w:t>
      </w:r>
      <w:r w:rsidRPr="00AD5390">
        <w:rPr>
          <w:rFonts w:cs="David"/>
          <w:sz w:val="24"/>
          <w:szCs w:val="24"/>
          <w:u w:val="single"/>
          <w:rtl/>
        </w:rPr>
        <w:t xml:space="preserve"> </w:t>
      </w:r>
      <w:r w:rsidRPr="00AD5390">
        <w:rPr>
          <w:rFonts w:cs="David" w:hint="cs"/>
          <w:sz w:val="24"/>
          <w:szCs w:val="24"/>
          <w:u w:val="single"/>
          <w:rtl/>
        </w:rPr>
        <w:t>של</w:t>
      </w:r>
      <w:r w:rsidRPr="00AD5390">
        <w:rPr>
          <w:rFonts w:cs="David"/>
          <w:sz w:val="24"/>
          <w:szCs w:val="24"/>
          <w:u w:val="single"/>
          <w:rtl/>
        </w:rPr>
        <w:t xml:space="preserve"> </w:t>
      </w:r>
      <w:r w:rsidRPr="00AD5390">
        <w:rPr>
          <w:rFonts w:cs="David" w:hint="cs"/>
          <w:sz w:val="24"/>
          <w:szCs w:val="24"/>
          <w:u w:val="single"/>
          <w:rtl/>
        </w:rPr>
        <w:t>מלחמה</w:t>
      </w:r>
      <w:r w:rsidRPr="00AD5390">
        <w:rPr>
          <w:rFonts w:cs="David"/>
          <w:sz w:val="24"/>
          <w:szCs w:val="24"/>
          <w:u w:val="single"/>
          <w:rtl/>
        </w:rPr>
        <w:t xml:space="preserve"> </w:t>
      </w:r>
      <w:r w:rsidRPr="00AD5390">
        <w:rPr>
          <w:rFonts w:cs="David" w:hint="cs"/>
          <w:sz w:val="24"/>
          <w:szCs w:val="24"/>
          <w:u w:val="single"/>
          <w:rtl/>
        </w:rPr>
        <w:t>יעילה</w:t>
      </w:r>
      <w:r w:rsidRPr="00AD5390">
        <w:rPr>
          <w:rFonts w:cs="David"/>
          <w:sz w:val="24"/>
          <w:szCs w:val="24"/>
          <w:u w:val="single"/>
          <w:rtl/>
        </w:rPr>
        <w:t xml:space="preserve"> </w:t>
      </w:r>
      <w:r w:rsidRPr="00AD5390">
        <w:rPr>
          <w:rFonts w:cs="David" w:hint="cs"/>
          <w:sz w:val="24"/>
          <w:szCs w:val="24"/>
          <w:u w:val="single"/>
          <w:rtl/>
        </w:rPr>
        <w:t>בפשיעה</w:t>
      </w:r>
      <w:r w:rsidRPr="00AD5390">
        <w:rPr>
          <w:rFonts w:cs="David"/>
          <w:sz w:val="24"/>
          <w:szCs w:val="24"/>
          <w:u w:val="single"/>
          <w:rtl/>
        </w:rPr>
        <w:t xml:space="preserve"> </w:t>
      </w:r>
      <w:r w:rsidRPr="00AD5390">
        <w:rPr>
          <w:rFonts w:cs="David" w:hint="cs"/>
          <w:sz w:val="24"/>
          <w:szCs w:val="24"/>
          <w:u w:val="single"/>
          <w:rtl/>
        </w:rPr>
        <w:t>דורש</w:t>
      </w:r>
      <w:r w:rsidRPr="00AD5390">
        <w:rPr>
          <w:rFonts w:cs="David"/>
          <w:sz w:val="24"/>
          <w:szCs w:val="24"/>
          <w:u w:val="single"/>
          <w:rtl/>
        </w:rPr>
        <w:t xml:space="preserve"> </w:t>
      </w:r>
      <w:r w:rsidRPr="00AD5390">
        <w:rPr>
          <w:rFonts w:cs="David" w:hint="cs"/>
          <w:sz w:val="24"/>
          <w:szCs w:val="24"/>
          <w:u w:val="single"/>
          <w:rtl/>
        </w:rPr>
        <w:t>שמלאכת</w:t>
      </w:r>
      <w:r w:rsidRPr="00AD5390">
        <w:rPr>
          <w:rFonts w:cs="David"/>
          <w:sz w:val="24"/>
          <w:szCs w:val="24"/>
          <w:u w:val="single"/>
          <w:rtl/>
        </w:rPr>
        <w:t xml:space="preserve"> </w:t>
      </w:r>
      <w:r w:rsidRPr="00AD5390">
        <w:rPr>
          <w:rFonts w:cs="David" w:hint="cs"/>
          <w:sz w:val="24"/>
          <w:szCs w:val="24"/>
          <w:u w:val="single"/>
          <w:rtl/>
        </w:rPr>
        <w:t>אכיפת</w:t>
      </w:r>
      <w:r w:rsidRPr="00AD5390">
        <w:rPr>
          <w:rFonts w:cs="David"/>
          <w:sz w:val="24"/>
          <w:szCs w:val="24"/>
          <w:u w:val="single"/>
          <w:rtl/>
        </w:rPr>
        <w:t xml:space="preserve"> </w:t>
      </w:r>
      <w:r w:rsidRPr="00AD5390">
        <w:rPr>
          <w:rFonts w:cs="David" w:hint="cs"/>
          <w:sz w:val="24"/>
          <w:szCs w:val="24"/>
          <w:u w:val="single"/>
          <w:rtl/>
        </w:rPr>
        <w:t>הדין</w:t>
      </w:r>
      <w:r w:rsidRPr="00AD5390">
        <w:rPr>
          <w:rFonts w:cs="David"/>
          <w:sz w:val="24"/>
          <w:szCs w:val="24"/>
          <w:u w:val="single"/>
          <w:rtl/>
        </w:rPr>
        <w:t xml:space="preserve"> </w:t>
      </w:r>
      <w:r w:rsidRPr="00AD5390">
        <w:rPr>
          <w:rFonts w:cs="David" w:hint="cs"/>
          <w:sz w:val="24"/>
          <w:szCs w:val="24"/>
          <w:u w:val="single"/>
          <w:rtl/>
        </w:rPr>
        <w:t>הפלילי</w:t>
      </w:r>
      <w:r w:rsidRPr="00AD5390">
        <w:rPr>
          <w:rFonts w:cs="David"/>
          <w:sz w:val="24"/>
          <w:szCs w:val="24"/>
          <w:u w:val="single"/>
          <w:rtl/>
        </w:rPr>
        <w:t xml:space="preserve"> </w:t>
      </w:r>
      <w:r w:rsidRPr="00AD5390">
        <w:rPr>
          <w:rFonts w:cs="David" w:hint="cs"/>
          <w:sz w:val="24"/>
          <w:szCs w:val="24"/>
          <w:u w:val="single"/>
          <w:rtl/>
        </w:rPr>
        <w:t>תתבצע</w:t>
      </w:r>
      <w:r w:rsidRPr="00AD5390">
        <w:rPr>
          <w:rFonts w:cs="David"/>
          <w:sz w:val="24"/>
          <w:szCs w:val="24"/>
          <w:u w:val="single"/>
          <w:rtl/>
        </w:rPr>
        <w:t xml:space="preserve"> </w:t>
      </w:r>
      <w:r w:rsidRPr="00AD5390">
        <w:rPr>
          <w:rFonts w:cs="David" w:hint="cs"/>
          <w:sz w:val="24"/>
          <w:szCs w:val="24"/>
          <w:u w:val="single"/>
          <w:rtl/>
        </w:rPr>
        <w:t>במהירות</w:t>
      </w:r>
      <w:r w:rsidRPr="00AD5390">
        <w:rPr>
          <w:rFonts w:cs="David"/>
          <w:sz w:val="24"/>
          <w:szCs w:val="24"/>
          <w:rtl/>
        </w:rPr>
        <w:t>.</w:t>
      </w:r>
      <w:r w:rsidRPr="00AD5390">
        <w:rPr>
          <w:rFonts w:cs="David" w:hint="cs"/>
          <w:sz w:val="24"/>
          <w:szCs w:val="24"/>
          <w:rtl/>
        </w:rPr>
        <w:t>"</w:t>
      </w:r>
    </w:p>
    <w:p w:rsidR="00431998" w:rsidRPr="00AD5390" w:rsidRDefault="00431998" w:rsidP="00B97E8E">
      <w:pPr>
        <w:bidi/>
        <w:spacing w:line="360" w:lineRule="auto"/>
        <w:jc w:val="both"/>
        <w:rPr>
          <w:rFonts w:cs="David"/>
          <w:sz w:val="24"/>
          <w:szCs w:val="24"/>
          <w:rtl/>
        </w:rPr>
      </w:pPr>
      <w:r w:rsidRPr="00AD5390">
        <w:rPr>
          <w:rFonts w:cs="David" w:hint="cs"/>
          <w:sz w:val="24"/>
          <w:szCs w:val="24"/>
          <w:rtl/>
        </w:rPr>
        <w:t>כמובן, אם הנאשם מתחמק מרשויות האכיפה, אין לתת לו "פרס" על כך בצורה מחילה על העבירה. ולכן, סעיף 9 קובע כי אם נעשו פעולות חקירה, נקטעת תקופת ההתיישנות. (הסדר דומה נקבע לעניין התליית הליכים לאחר הגשת כתב אישום, כאשר סעיף 94א(ג) לחסד"פ קובע כי "על</w:t>
      </w:r>
      <w:r w:rsidRPr="00AD5390">
        <w:rPr>
          <w:rFonts w:cs="David"/>
          <w:sz w:val="24"/>
          <w:szCs w:val="24"/>
          <w:rtl/>
        </w:rPr>
        <w:t xml:space="preserve"> </w:t>
      </w:r>
      <w:r w:rsidRPr="00AD5390">
        <w:rPr>
          <w:rFonts w:cs="David" w:hint="cs"/>
          <w:sz w:val="24"/>
          <w:szCs w:val="24"/>
          <w:rtl/>
        </w:rPr>
        <w:t>אף</w:t>
      </w:r>
      <w:r w:rsidRPr="00AD5390">
        <w:rPr>
          <w:rFonts w:cs="David"/>
          <w:sz w:val="24"/>
          <w:szCs w:val="24"/>
          <w:rtl/>
        </w:rPr>
        <w:t xml:space="preserve"> </w:t>
      </w:r>
      <w:r w:rsidRPr="00AD5390">
        <w:rPr>
          <w:rFonts w:cs="David" w:hint="cs"/>
          <w:sz w:val="24"/>
          <w:szCs w:val="24"/>
          <w:rtl/>
        </w:rPr>
        <w:t>הוראות</w:t>
      </w:r>
      <w:r w:rsidRPr="00AD5390">
        <w:rPr>
          <w:rFonts w:cs="David"/>
          <w:sz w:val="24"/>
          <w:szCs w:val="24"/>
          <w:rtl/>
        </w:rPr>
        <w:t xml:space="preserve"> </w:t>
      </w:r>
      <w:r w:rsidRPr="00AD5390">
        <w:rPr>
          <w:rFonts w:cs="David" w:hint="cs"/>
          <w:sz w:val="24"/>
          <w:szCs w:val="24"/>
          <w:rtl/>
        </w:rPr>
        <w:t>סעיף</w:t>
      </w:r>
      <w:r w:rsidRPr="00AD5390">
        <w:rPr>
          <w:rFonts w:cs="David"/>
          <w:sz w:val="24"/>
          <w:szCs w:val="24"/>
          <w:rtl/>
        </w:rPr>
        <w:t xml:space="preserve"> 9 </w:t>
      </w:r>
      <w:r w:rsidRPr="00AD5390">
        <w:rPr>
          <w:rFonts w:cs="David" w:hint="cs"/>
          <w:sz w:val="24"/>
          <w:szCs w:val="24"/>
          <w:rtl/>
        </w:rPr>
        <w:t>ניתן</w:t>
      </w:r>
      <w:r w:rsidRPr="00AD5390">
        <w:rPr>
          <w:rFonts w:cs="David"/>
          <w:sz w:val="24"/>
          <w:szCs w:val="24"/>
          <w:rtl/>
        </w:rPr>
        <w:t xml:space="preserve"> </w:t>
      </w:r>
      <w:r w:rsidRPr="00AD5390">
        <w:rPr>
          <w:rFonts w:cs="David" w:hint="cs"/>
          <w:sz w:val="24"/>
          <w:szCs w:val="24"/>
          <w:rtl/>
        </w:rPr>
        <w:t>לחדש</w:t>
      </w:r>
      <w:r w:rsidRPr="00AD5390">
        <w:rPr>
          <w:rFonts w:cs="David"/>
          <w:sz w:val="24"/>
          <w:szCs w:val="24"/>
          <w:rtl/>
        </w:rPr>
        <w:t xml:space="preserve"> </w:t>
      </w:r>
      <w:r w:rsidRPr="00AD5390">
        <w:rPr>
          <w:rFonts w:cs="David" w:hint="cs"/>
          <w:sz w:val="24"/>
          <w:szCs w:val="24"/>
          <w:rtl/>
        </w:rPr>
        <w:t>את</w:t>
      </w:r>
      <w:r w:rsidRPr="00AD5390">
        <w:rPr>
          <w:rFonts w:cs="David"/>
          <w:sz w:val="24"/>
          <w:szCs w:val="24"/>
          <w:rtl/>
        </w:rPr>
        <w:t xml:space="preserve"> </w:t>
      </w:r>
      <w:r w:rsidRPr="00AD5390">
        <w:rPr>
          <w:rFonts w:cs="David" w:hint="cs"/>
          <w:sz w:val="24"/>
          <w:szCs w:val="24"/>
          <w:rtl/>
        </w:rPr>
        <w:t>ההליכים</w:t>
      </w:r>
      <w:r w:rsidRPr="00AD5390">
        <w:rPr>
          <w:rFonts w:cs="David"/>
          <w:sz w:val="24"/>
          <w:szCs w:val="24"/>
          <w:rtl/>
        </w:rPr>
        <w:t xml:space="preserve"> </w:t>
      </w:r>
      <w:r w:rsidRPr="00AD5390">
        <w:rPr>
          <w:rFonts w:cs="David" w:hint="cs"/>
          <w:sz w:val="24"/>
          <w:szCs w:val="24"/>
          <w:rtl/>
        </w:rPr>
        <w:t>באישור</w:t>
      </w:r>
      <w:r w:rsidRPr="00AD5390">
        <w:rPr>
          <w:rFonts w:cs="David"/>
          <w:sz w:val="24"/>
          <w:szCs w:val="24"/>
          <w:rtl/>
        </w:rPr>
        <w:t xml:space="preserve"> </w:t>
      </w:r>
      <w:r w:rsidRPr="00AD5390">
        <w:rPr>
          <w:rFonts w:cs="David" w:hint="cs"/>
          <w:sz w:val="24"/>
          <w:szCs w:val="24"/>
          <w:rtl/>
        </w:rPr>
        <w:t>היועץ</w:t>
      </w:r>
      <w:r w:rsidRPr="00AD5390">
        <w:rPr>
          <w:rFonts w:cs="David"/>
          <w:sz w:val="24"/>
          <w:szCs w:val="24"/>
          <w:rtl/>
        </w:rPr>
        <w:t xml:space="preserve"> </w:t>
      </w:r>
      <w:r w:rsidRPr="00AD5390">
        <w:rPr>
          <w:rFonts w:cs="David" w:hint="cs"/>
          <w:sz w:val="24"/>
          <w:szCs w:val="24"/>
          <w:rtl/>
        </w:rPr>
        <w:t>המשפטי</w:t>
      </w:r>
      <w:r w:rsidRPr="00AD5390">
        <w:rPr>
          <w:rFonts w:cs="David"/>
          <w:sz w:val="24"/>
          <w:szCs w:val="24"/>
          <w:rtl/>
        </w:rPr>
        <w:t xml:space="preserve"> </w:t>
      </w:r>
      <w:r w:rsidRPr="00AD5390">
        <w:rPr>
          <w:rFonts w:cs="David" w:hint="cs"/>
          <w:sz w:val="24"/>
          <w:szCs w:val="24"/>
          <w:rtl/>
        </w:rPr>
        <w:t>לממשלה</w:t>
      </w:r>
      <w:r w:rsidRPr="00AD5390">
        <w:rPr>
          <w:rFonts w:cs="David"/>
          <w:sz w:val="24"/>
          <w:szCs w:val="24"/>
          <w:rtl/>
        </w:rPr>
        <w:t xml:space="preserve">, </w:t>
      </w:r>
      <w:r w:rsidRPr="00AD5390">
        <w:rPr>
          <w:rFonts w:cs="David" w:hint="cs"/>
          <w:sz w:val="24"/>
          <w:szCs w:val="24"/>
          <w:rtl/>
        </w:rPr>
        <w:t>מטעמים</w:t>
      </w:r>
      <w:r w:rsidRPr="00AD5390">
        <w:rPr>
          <w:rFonts w:cs="David"/>
          <w:sz w:val="24"/>
          <w:szCs w:val="24"/>
          <w:rtl/>
        </w:rPr>
        <w:t xml:space="preserve"> </w:t>
      </w:r>
      <w:r w:rsidRPr="00AD5390">
        <w:rPr>
          <w:rFonts w:cs="David" w:hint="cs"/>
          <w:sz w:val="24"/>
          <w:szCs w:val="24"/>
          <w:rtl/>
        </w:rPr>
        <w:t>שיירשמו</w:t>
      </w:r>
      <w:r w:rsidRPr="00AD5390">
        <w:rPr>
          <w:rFonts w:cs="David"/>
          <w:sz w:val="24"/>
          <w:szCs w:val="24"/>
          <w:rtl/>
        </w:rPr>
        <w:t xml:space="preserve">, </w:t>
      </w:r>
      <w:r w:rsidRPr="00AD5390">
        <w:rPr>
          <w:rFonts w:cs="David" w:hint="cs"/>
          <w:sz w:val="24"/>
          <w:szCs w:val="24"/>
          <w:rtl/>
        </w:rPr>
        <w:t>אף</w:t>
      </w:r>
      <w:r w:rsidRPr="00AD5390">
        <w:rPr>
          <w:rFonts w:cs="David"/>
          <w:sz w:val="24"/>
          <w:szCs w:val="24"/>
          <w:rtl/>
        </w:rPr>
        <w:t xml:space="preserve"> </w:t>
      </w:r>
      <w:r w:rsidRPr="00AD5390">
        <w:rPr>
          <w:rFonts w:cs="David" w:hint="cs"/>
          <w:sz w:val="24"/>
          <w:szCs w:val="24"/>
          <w:rtl/>
        </w:rPr>
        <w:t>אם</w:t>
      </w:r>
      <w:r w:rsidRPr="00AD5390">
        <w:rPr>
          <w:rFonts w:cs="David"/>
          <w:sz w:val="24"/>
          <w:szCs w:val="24"/>
          <w:rtl/>
        </w:rPr>
        <w:t xml:space="preserve"> </w:t>
      </w:r>
      <w:r w:rsidRPr="00AD5390">
        <w:rPr>
          <w:rFonts w:cs="David" w:hint="cs"/>
          <w:sz w:val="24"/>
          <w:szCs w:val="24"/>
          <w:rtl/>
        </w:rPr>
        <w:t>עברו</w:t>
      </w:r>
      <w:r w:rsidRPr="00AD5390">
        <w:rPr>
          <w:rFonts w:cs="David"/>
          <w:sz w:val="24"/>
          <w:szCs w:val="24"/>
          <w:rtl/>
        </w:rPr>
        <w:t xml:space="preserve"> </w:t>
      </w:r>
      <w:r w:rsidRPr="00AD5390">
        <w:rPr>
          <w:rFonts w:cs="David" w:hint="cs"/>
          <w:sz w:val="24"/>
          <w:szCs w:val="24"/>
          <w:rtl/>
        </w:rPr>
        <w:t>בין</w:t>
      </w:r>
      <w:r w:rsidRPr="00AD5390">
        <w:rPr>
          <w:rFonts w:cs="David"/>
          <w:sz w:val="24"/>
          <w:szCs w:val="24"/>
          <w:rtl/>
        </w:rPr>
        <w:t xml:space="preserve"> </w:t>
      </w:r>
      <w:r w:rsidRPr="00AD5390">
        <w:rPr>
          <w:rFonts w:cs="David" w:hint="cs"/>
          <w:sz w:val="24"/>
          <w:szCs w:val="24"/>
          <w:rtl/>
        </w:rPr>
        <w:t>מועד</w:t>
      </w:r>
      <w:r w:rsidRPr="00AD5390">
        <w:rPr>
          <w:rFonts w:cs="David"/>
          <w:sz w:val="24"/>
          <w:szCs w:val="24"/>
          <w:rtl/>
        </w:rPr>
        <w:t xml:space="preserve"> </w:t>
      </w:r>
      <w:r w:rsidRPr="00AD5390">
        <w:rPr>
          <w:rFonts w:cs="David" w:hint="cs"/>
          <w:sz w:val="24"/>
          <w:szCs w:val="24"/>
          <w:rtl/>
        </w:rPr>
        <w:t>התליית</w:t>
      </w:r>
      <w:r w:rsidRPr="00AD5390">
        <w:rPr>
          <w:rFonts w:cs="David"/>
          <w:sz w:val="24"/>
          <w:szCs w:val="24"/>
          <w:rtl/>
        </w:rPr>
        <w:t xml:space="preserve"> </w:t>
      </w:r>
      <w:r w:rsidRPr="00AD5390">
        <w:rPr>
          <w:rFonts w:cs="David" w:hint="cs"/>
          <w:sz w:val="24"/>
          <w:szCs w:val="24"/>
          <w:rtl/>
        </w:rPr>
        <w:t>ההליכים</w:t>
      </w:r>
      <w:r w:rsidRPr="00AD5390">
        <w:rPr>
          <w:rFonts w:cs="David"/>
          <w:sz w:val="24"/>
          <w:szCs w:val="24"/>
          <w:rtl/>
        </w:rPr>
        <w:t xml:space="preserve"> </w:t>
      </w:r>
      <w:r w:rsidRPr="00AD5390">
        <w:rPr>
          <w:rFonts w:cs="David" w:hint="cs"/>
          <w:sz w:val="24"/>
          <w:szCs w:val="24"/>
          <w:rtl/>
        </w:rPr>
        <w:t>לבין</w:t>
      </w:r>
      <w:r w:rsidRPr="00AD5390">
        <w:rPr>
          <w:rFonts w:cs="David"/>
          <w:sz w:val="24"/>
          <w:szCs w:val="24"/>
          <w:rtl/>
        </w:rPr>
        <w:t xml:space="preserve"> </w:t>
      </w:r>
      <w:r w:rsidRPr="00AD5390">
        <w:rPr>
          <w:rFonts w:cs="David" w:hint="cs"/>
          <w:sz w:val="24"/>
          <w:szCs w:val="24"/>
          <w:rtl/>
        </w:rPr>
        <w:t>המועד</w:t>
      </w:r>
      <w:r w:rsidRPr="00AD5390">
        <w:rPr>
          <w:rFonts w:cs="David"/>
          <w:sz w:val="24"/>
          <w:szCs w:val="24"/>
          <w:rtl/>
        </w:rPr>
        <w:t xml:space="preserve"> </w:t>
      </w:r>
      <w:r w:rsidRPr="00AD5390">
        <w:rPr>
          <w:rFonts w:cs="David" w:hint="cs"/>
          <w:sz w:val="24"/>
          <w:szCs w:val="24"/>
          <w:rtl/>
        </w:rPr>
        <w:t>שבו</w:t>
      </w:r>
      <w:r w:rsidRPr="00AD5390">
        <w:rPr>
          <w:rFonts w:cs="David"/>
          <w:sz w:val="24"/>
          <w:szCs w:val="24"/>
          <w:rtl/>
        </w:rPr>
        <w:t xml:space="preserve"> </w:t>
      </w:r>
      <w:r w:rsidRPr="00AD5390">
        <w:rPr>
          <w:rFonts w:cs="David" w:hint="cs"/>
          <w:sz w:val="24"/>
          <w:szCs w:val="24"/>
          <w:rtl/>
        </w:rPr>
        <w:t>ניתן</w:t>
      </w:r>
      <w:r w:rsidRPr="00AD5390">
        <w:rPr>
          <w:rFonts w:cs="David"/>
          <w:sz w:val="24"/>
          <w:szCs w:val="24"/>
          <w:rtl/>
        </w:rPr>
        <w:t xml:space="preserve"> </w:t>
      </w:r>
      <w:r w:rsidRPr="00AD5390">
        <w:rPr>
          <w:rFonts w:cs="David" w:hint="cs"/>
          <w:sz w:val="24"/>
          <w:szCs w:val="24"/>
          <w:rtl/>
        </w:rPr>
        <w:t>להביא</w:t>
      </w:r>
      <w:r w:rsidRPr="00AD5390">
        <w:rPr>
          <w:rFonts w:cs="David"/>
          <w:sz w:val="24"/>
          <w:szCs w:val="24"/>
          <w:rtl/>
        </w:rPr>
        <w:t xml:space="preserve"> </w:t>
      </w:r>
      <w:r w:rsidRPr="00AD5390">
        <w:rPr>
          <w:rFonts w:cs="David" w:hint="cs"/>
          <w:sz w:val="24"/>
          <w:szCs w:val="24"/>
          <w:rtl/>
        </w:rPr>
        <w:t>את</w:t>
      </w:r>
      <w:r w:rsidRPr="00AD5390">
        <w:rPr>
          <w:rFonts w:cs="David"/>
          <w:sz w:val="24"/>
          <w:szCs w:val="24"/>
          <w:rtl/>
        </w:rPr>
        <w:t xml:space="preserve"> </w:t>
      </w:r>
      <w:r w:rsidRPr="00AD5390">
        <w:rPr>
          <w:rFonts w:cs="David" w:hint="cs"/>
          <w:sz w:val="24"/>
          <w:szCs w:val="24"/>
          <w:rtl/>
        </w:rPr>
        <w:t>הנאשם</w:t>
      </w:r>
      <w:r w:rsidRPr="00AD5390">
        <w:rPr>
          <w:rFonts w:cs="David"/>
          <w:sz w:val="24"/>
          <w:szCs w:val="24"/>
          <w:rtl/>
        </w:rPr>
        <w:t xml:space="preserve"> </w:t>
      </w:r>
      <w:r w:rsidRPr="00AD5390">
        <w:rPr>
          <w:rFonts w:cs="David" w:hint="cs"/>
          <w:sz w:val="24"/>
          <w:szCs w:val="24"/>
          <w:rtl/>
        </w:rPr>
        <w:t>להמשך</w:t>
      </w:r>
      <w:r w:rsidRPr="00AD5390">
        <w:rPr>
          <w:rFonts w:cs="David"/>
          <w:sz w:val="24"/>
          <w:szCs w:val="24"/>
          <w:rtl/>
        </w:rPr>
        <w:t xml:space="preserve"> </w:t>
      </w:r>
      <w:r w:rsidRPr="00AD5390">
        <w:rPr>
          <w:rFonts w:cs="David" w:hint="cs"/>
          <w:sz w:val="24"/>
          <w:szCs w:val="24"/>
          <w:rtl/>
        </w:rPr>
        <w:t>משפטו</w:t>
      </w:r>
      <w:r w:rsidRPr="00AD5390">
        <w:rPr>
          <w:rFonts w:cs="David"/>
          <w:sz w:val="24"/>
          <w:szCs w:val="24"/>
          <w:rtl/>
        </w:rPr>
        <w:t xml:space="preserve"> </w:t>
      </w:r>
      <w:r w:rsidRPr="00AD5390">
        <w:rPr>
          <w:rFonts w:cs="David" w:hint="cs"/>
          <w:sz w:val="24"/>
          <w:szCs w:val="24"/>
          <w:rtl/>
        </w:rPr>
        <w:t>התקופות</w:t>
      </w:r>
      <w:r w:rsidRPr="00AD5390">
        <w:rPr>
          <w:rFonts w:cs="David"/>
          <w:sz w:val="24"/>
          <w:szCs w:val="24"/>
          <w:rtl/>
        </w:rPr>
        <w:t xml:space="preserve"> </w:t>
      </w:r>
      <w:r w:rsidRPr="00AD5390">
        <w:rPr>
          <w:rFonts w:cs="David" w:hint="cs"/>
          <w:sz w:val="24"/>
          <w:szCs w:val="24"/>
          <w:rtl/>
        </w:rPr>
        <w:t>האמורות</w:t>
      </w:r>
      <w:r w:rsidRPr="00AD5390">
        <w:rPr>
          <w:rFonts w:cs="David"/>
          <w:sz w:val="24"/>
          <w:szCs w:val="24"/>
          <w:rtl/>
        </w:rPr>
        <w:t xml:space="preserve"> </w:t>
      </w:r>
      <w:r w:rsidRPr="00AD5390">
        <w:rPr>
          <w:rFonts w:cs="David" w:hint="cs"/>
          <w:sz w:val="24"/>
          <w:szCs w:val="24"/>
          <w:rtl/>
        </w:rPr>
        <w:t>בסעיף</w:t>
      </w:r>
      <w:r w:rsidRPr="00AD5390">
        <w:rPr>
          <w:rFonts w:cs="David"/>
          <w:sz w:val="24"/>
          <w:szCs w:val="24"/>
          <w:rtl/>
        </w:rPr>
        <w:t xml:space="preserve"> 9; </w:t>
      </w:r>
      <w:r w:rsidRPr="00AD5390">
        <w:rPr>
          <w:rFonts w:cs="David" w:hint="cs"/>
          <w:sz w:val="24"/>
          <w:szCs w:val="24"/>
          <w:rtl/>
        </w:rPr>
        <w:t>ובלבד</w:t>
      </w:r>
      <w:r w:rsidRPr="00AD5390">
        <w:rPr>
          <w:rFonts w:cs="David"/>
          <w:sz w:val="24"/>
          <w:szCs w:val="24"/>
          <w:rtl/>
        </w:rPr>
        <w:t xml:space="preserve"> </w:t>
      </w:r>
      <w:r w:rsidRPr="00AD5390">
        <w:rPr>
          <w:rFonts w:cs="David" w:hint="cs"/>
          <w:sz w:val="24"/>
          <w:szCs w:val="24"/>
          <w:rtl/>
        </w:rPr>
        <w:t>שההליכים</w:t>
      </w:r>
      <w:r w:rsidRPr="00AD5390">
        <w:rPr>
          <w:rFonts w:cs="David"/>
          <w:sz w:val="24"/>
          <w:szCs w:val="24"/>
          <w:rtl/>
        </w:rPr>
        <w:t xml:space="preserve"> </w:t>
      </w:r>
      <w:r w:rsidRPr="00AD5390">
        <w:rPr>
          <w:rFonts w:cs="David" w:hint="cs"/>
          <w:sz w:val="24"/>
          <w:szCs w:val="24"/>
          <w:rtl/>
        </w:rPr>
        <w:t>הותלו</w:t>
      </w:r>
      <w:r w:rsidRPr="00AD5390">
        <w:rPr>
          <w:rFonts w:cs="David"/>
          <w:sz w:val="24"/>
          <w:szCs w:val="24"/>
          <w:rtl/>
        </w:rPr>
        <w:t xml:space="preserve"> </w:t>
      </w:r>
      <w:r w:rsidRPr="00AD5390">
        <w:rPr>
          <w:rFonts w:cs="David" w:hint="cs"/>
          <w:b/>
          <w:bCs/>
          <w:sz w:val="24"/>
          <w:szCs w:val="24"/>
          <w:u w:val="single"/>
          <w:rtl/>
        </w:rPr>
        <w:t>מהטעם</w:t>
      </w:r>
      <w:r w:rsidRPr="00AD5390">
        <w:rPr>
          <w:rFonts w:cs="David"/>
          <w:b/>
          <w:bCs/>
          <w:sz w:val="24"/>
          <w:szCs w:val="24"/>
          <w:u w:val="single"/>
          <w:rtl/>
        </w:rPr>
        <w:t xml:space="preserve"> </w:t>
      </w:r>
      <w:r w:rsidRPr="00AD5390">
        <w:rPr>
          <w:rFonts w:cs="David" w:hint="cs"/>
          <w:b/>
          <w:bCs/>
          <w:sz w:val="24"/>
          <w:szCs w:val="24"/>
          <w:u w:val="single"/>
          <w:rtl/>
        </w:rPr>
        <w:t>שהנאשם</w:t>
      </w:r>
      <w:r w:rsidRPr="00AD5390">
        <w:rPr>
          <w:rFonts w:cs="David"/>
          <w:b/>
          <w:bCs/>
          <w:sz w:val="24"/>
          <w:szCs w:val="24"/>
          <w:u w:val="single"/>
          <w:rtl/>
        </w:rPr>
        <w:t xml:space="preserve"> </w:t>
      </w:r>
      <w:r w:rsidRPr="00AD5390">
        <w:rPr>
          <w:rFonts w:cs="David" w:hint="cs"/>
          <w:b/>
          <w:bCs/>
          <w:sz w:val="24"/>
          <w:szCs w:val="24"/>
          <w:u w:val="single"/>
          <w:rtl/>
        </w:rPr>
        <w:t>מתחמק</w:t>
      </w:r>
      <w:r w:rsidRPr="00AD5390">
        <w:rPr>
          <w:rFonts w:cs="David"/>
          <w:b/>
          <w:bCs/>
          <w:sz w:val="24"/>
          <w:szCs w:val="24"/>
          <w:u w:val="single"/>
          <w:rtl/>
        </w:rPr>
        <w:t xml:space="preserve"> </w:t>
      </w:r>
      <w:r w:rsidRPr="00AD5390">
        <w:rPr>
          <w:rFonts w:cs="David" w:hint="cs"/>
          <w:b/>
          <w:bCs/>
          <w:sz w:val="24"/>
          <w:szCs w:val="24"/>
          <w:u w:val="single"/>
          <w:rtl/>
        </w:rPr>
        <w:t>מן</w:t>
      </w:r>
      <w:r w:rsidRPr="00AD5390">
        <w:rPr>
          <w:rFonts w:cs="David"/>
          <w:b/>
          <w:bCs/>
          <w:sz w:val="24"/>
          <w:szCs w:val="24"/>
          <w:u w:val="single"/>
          <w:rtl/>
        </w:rPr>
        <w:t xml:space="preserve"> </w:t>
      </w:r>
      <w:r w:rsidRPr="00AD5390">
        <w:rPr>
          <w:rFonts w:cs="David" w:hint="cs"/>
          <w:b/>
          <w:bCs/>
          <w:sz w:val="24"/>
          <w:szCs w:val="24"/>
          <w:u w:val="single"/>
          <w:rtl/>
        </w:rPr>
        <w:t>הדין</w:t>
      </w:r>
      <w:r w:rsidRPr="00AD5390">
        <w:rPr>
          <w:rFonts w:cs="David"/>
          <w:sz w:val="24"/>
          <w:szCs w:val="24"/>
          <w:rtl/>
        </w:rPr>
        <w:t>.</w:t>
      </w:r>
      <w:r w:rsidRPr="00AD5390">
        <w:rPr>
          <w:rFonts w:cs="David" w:hint="cs"/>
          <w:sz w:val="24"/>
          <w:szCs w:val="24"/>
          <w:rtl/>
        </w:rPr>
        <w:t>")</w:t>
      </w:r>
    </w:p>
    <w:p w:rsidR="00431998" w:rsidRPr="00AD5390" w:rsidRDefault="00431998" w:rsidP="00B97E8E">
      <w:pPr>
        <w:pStyle w:val="p00"/>
        <w:bidi/>
        <w:spacing w:before="72" w:beforeAutospacing="0" w:after="0" w:afterAutospacing="0"/>
        <w:ind w:right="1134"/>
        <w:jc w:val="both"/>
        <w:rPr>
          <w:rFonts w:cs="David"/>
          <w:rtl/>
        </w:rPr>
      </w:pPr>
      <w:r w:rsidRPr="00AD5390">
        <w:rPr>
          <w:rFonts w:cs="David" w:hint="cs"/>
          <w:color w:val="000000"/>
          <w:rtl/>
        </w:rPr>
        <w:t>    </w:t>
      </w:r>
    </w:p>
    <w:p w:rsidR="00F87339" w:rsidRPr="00AD5390" w:rsidRDefault="00F87339" w:rsidP="00B56BC3">
      <w:pPr>
        <w:bidi/>
        <w:spacing w:line="360" w:lineRule="auto"/>
        <w:jc w:val="both"/>
        <w:rPr>
          <w:rFonts w:cs="David"/>
          <w:sz w:val="24"/>
          <w:szCs w:val="24"/>
          <w:rtl/>
        </w:rPr>
      </w:pPr>
      <w:r w:rsidRPr="00F47A2A">
        <w:rPr>
          <w:rFonts w:cs="David" w:hint="cs"/>
          <w:sz w:val="24"/>
          <w:szCs w:val="24"/>
          <w:u w:val="single"/>
          <w:rtl/>
        </w:rPr>
        <w:t>הסעיף המוצע בהצעת חוק המאבק בטרור פוגע בכללי ההתיישנות בשני מובנים: הראשון, הוא אינו מבחין בין עבירות קלות לעבירות חמורות בקביעת הס</w:t>
      </w:r>
      <w:r w:rsidR="00B97E8E" w:rsidRPr="00F47A2A">
        <w:rPr>
          <w:rFonts w:cs="David" w:hint="cs"/>
          <w:sz w:val="24"/>
          <w:szCs w:val="24"/>
          <w:u w:val="single"/>
          <w:rtl/>
        </w:rPr>
        <w:t>ט</w:t>
      </w:r>
      <w:r w:rsidR="002E301D">
        <w:rPr>
          <w:rFonts w:cs="David" w:hint="cs"/>
          <w:sz w:val="24"/>
          <w:szCs w:val="24"/>
          <w:u w:val="single"/>
          <w:rtl/>
        </w:rPr>
        <w:t>י</w:t>
      </w:r>
      <w:r w:rsidRPr="00F47A2A">
        <w:rPr>
          <w:rFonts w:cs="David" w:hint="cs"/>
          <w:sz w:val="24"/>
          <w:szCs w:val="24"/>
          <w:u w:val="single"/>
          <w:rtl/>
        </w:rPr>
        <w:t>יה מדיני הראיות, כמקובל בדיני ההתיישנות</w:t>
      </w:r>
      <w:r w:rsidR="00F47A2A" w:rsidRPr="00F47A2A">
        <w:rPr>
          <w:rFonts w:cs="David" w:hint="cs"/>
          <w:sz w:val="24"/>
          <w:szCs w:val="24"/>
          <w:u w:val="single"/>
          <w:rtl/>
        </w:rPr>
        <w:t>.</w:t>
      </w:r>
      <w:r w:rsidRPr="00AD5390">
        <w:rPr>
          <w:rFonts w:cs="David" w:hint="cs"/>
          <w:sz w:val="24"/>
          <w:szCs w:val="24"/>
          <w:rtl/>
        </w:rPr>
        <w:t xml:space="preserve"> </w:t>
      </w:r>
      <w:r w:rsidRPr="0028768E">
        <w:rPr>
          <w:rFonts w:cs="David" w:hint="cs"/>
          <w:sz w:val="24"/>
          <w:szCs w:val="24"/>
          <w:u w:val="single"/>
          <w:rtl/>
        </w:rPr>
        <w:t>ושנית, הוא מסיר את האחריות מרשויות התביעה לנהל את הטיפול בתיק בצורה יעילה</w:t>
      </w:r>
      <w:r w:rsidR="00B56BC3">
        <w:rPr>
          <w:rFonts w:cs="David" w:hint="cs"/>
          <w:sz w:val="24"/>
          <w:szCs w:val="24"/>
          <w:u w:val="single"/>
          <w:rtl/>
        </w:rPr>
        <w:t>, לנצח</w:t>
      </w:r>
      <w:r w:rsidRPr="0028768E">
        <w:rPr>
          <w:rFonts w:cs="David" w:hint="cs"/>
          <w:sz w:val="24"/>
          <w:szCs w:val="24"/>
          <w:u w:val="single"/>
          <w:rtl/>
        </w:rPr>
        <w:t>.</w:t>
      </w:r>
      <w:r w:rsidRPr="00AD5390">
        <w:rPr>
          <w:rFonts w:cs="David" w:hint="cs"/>
          <w:sz w:val="24"/>
          <w:szCs w:val="24"/>
          <w:rtl/>
        </w:rPr>
        <w:t xml:space="preserve"> הסעיף אינו קובע מה הן הפעולות שעל התביעה לעשות כדי לוודא שאכן אי אפשר להביא את הנאשם לישראל לחקירה או למשפט.</w:t>
      </w:r>
      <w:r w:rsidR="00431998" w:rsidRPr="00AD5390">
        <w:rPr>
          <w:rFonts w:cs="David" w:hint="cs"/>
          <w:sz w:val="24"/>
          <w:szCs w:val="24"/>
          <w:rtl/>
        </w:rPr>
        <w:t xml:space="preserve"> </w:t>
      </w:r>
      <w:r w:rsidRPr="00AD5390">
        <w:rPr>
          <w:rFonts w:cs="David" w:hint="cs"/>
          <w:sz w:val="24"/>
          <w:szCs w:val="24"/>
          <w:rtl/>
        </w:rPr>
        <w:t xml:space="preserve"> שוב, יש לזכור כי כל פעולה בחקירה קוטעת את </w:t>
      </w:r>
      <w:r w:rsidRPr="00AD5390">
        <w:rPr>
          <w:rFonts w:cs="David" w:hint="cs"/>
          <w:sz w:val="24"/>
          <w:szCs w:val="24"/>
          <w:rtl/>
        </w:rPr>
        <w:lastRenderedPageBreak/>
        <w:t xml:space="preserve">רצף ההתיישנות </w:t>
      </w:r>
      <w:r w:rsidRPr="00AD5390">
        <w:rPr>
          <w:rFonts w:cs="David"/>
          <w:sz w:val="24"/>
          <w:szCs w:val="24"/>
          <w:rtl/>
        </w:rPr>
        <w:t>–</w:t>
      </w:r>
      <w:r w:rsidR="00F47A2A">
        <w:rPr>
          <w:rFonts w:cs="David" w:hint="cs"/>
          <w:sz w:val="24"/>
          <w:szCs w:val="24"/>
          <w:rtl/>
        </w:rPr>
        <w:t xml:space="preserve"> </w:t>
      </w:r>
      <w:r w:rsidRPr="00AD5390">
        <w:rPr>
          <w:rFonts w:cs="David" w:hint="cs"/>
          <w:sz w:val="24"/>
          <w:szCs w:val="24"/>
          <w:rtl/>
        </w:rPr>
        <w:t>גם אם התביעה עושה פעול</w:t>
      </w:r>
      <w:r w:rsidR="00B97E8E" w:rsidRPr="00AD5390">
        <w:rPr>
          <w:rFonts w:cs="David" w:hint="cs"/>
          <w:sz w:val="24"/>
          <w:szCs w:val="24"/>
          <w:rtl/>
        </w:rPr>
        <w:t xml:space="preserve">ה פשוטה כל כמה שנים, (ככל הנראה, לרבות </w:t>
      </w:r>
      <w:r w:rsidRPr="00AD5390">
        <w:rPr>
          <w:rFonts w:cs="David" w:hint="cs"/>
          <w:sz w:val="24"/>
          <w:szCs w:val="24"/>
          <w:rtl/>
        </w:rPr>
        <w:t xml:space="preserve">בדיקה האם אפשר  להביא את האדם לחקירה או למשפט), תקופת ההתיישנות מתארכת. לכן הסעיף המוצע מאפשר לתביעה לא לעשות </w:t>
      </w:r>
      <w:r w:rsidR="00F47A2A">
        <w:rPr>
          <w:rFonts w:cs="David" w:hint="cs"/>
          <w:sz w:val="24"/>
          <w:szCs w:val="24"/>
          <w:rtl/>
        </w:rPr>
        <w:t>מאומה</w:t>
      </w:r>
      <w:r w:rsidRPr="00AD5390">
        <w:rPr>
          <w:rFonts w:cs="David" w:hint="cs"/>
          <w:sz w:val="24"/>
          <w:szCs w:val="24"/>
          <w:rtl/>
        </w:rPr>
        <w:t xml:space="preserve">, ורק בדיעבד, אם תופסים את האדם במקרה, להעמידו לדין על עבירות ישנות. </w:t>
      </w:r>
      <w:r w:rsidR="00431998" w:rsidRPr="00AD5390">
        <w:rPr>
          <w:rFonts w:cs="David" w:hint="cs"/>
          <w:sz w:val="24"/>
          <w:szCs w:val="24"/>
          <w:rtl/>
        </w:rPr>
        <w:t>הסעיף גם אינו מצדיק את הס</w:t>
      </w:r>
      <w:r w:rsidR="00B97E8E" w:rsidRPr="00AD5390">
        <w:rPr>
          <w:rFonts w:cs="David" w:hint="cs"/>
          <w:sz w:val="24"/>
          <w:szCs w:val="24"/>
          <w:rtl/>
        </w:rPr>
        <w:t>ט</w:t>
      </w:r>
      <w:r w:rsidR="002E301D">
        <w:rPr>
          <w:rFonts w:cs="David" w:hint="cs"/>
          <w:sz w:val="24"/>
          <w:szCs w:val="24"/>
          <w:rtl/>
        </w:rPr>
        <w:t>י</w:t>
      </w:r>
      <w:r w:rsidR="00B97E8E" w:rsidRPr="00AD5390">
        <w:rPr>
          <w:rFonts w:cs="David" w:hint="cs"/>
          <w:sz w:val="24"/>
          <w:szCs w:val="24"/>
          <w:rtl/>
        </w:rPr>
        <w:t>י</w:t>
      </w:r>
      <w:r w:rsidR="00431998" w:rsidRPr="00AD5390">
        <w:rPr>
          <w:rFonts w:cs="David" w:hint="cs"/>
          <w:sz w:val="24"/>
          <w:szCs w:val="24"/>
          <w:rtl/>
        </w:rPr>
        <w:t xml:space="preserve">ה במעשה לא לגיטימי שעשה החשוד: הסעיף לא מציע לקטוע את ההתיישנות אם הנאשם "התחמק מן הדין", אלא גם </w:t>
      </w:r>
      <w:r w:rsidR="00B67731">
        <w:rPr>
          <w:rFonts w:cs="David" w:hint="cs"/>
          <w:sz w:val="24"/>
          <w:szCs w:val="24"/>
          <w:rtl/>
        </w:rPr>
        <w:t xml:space="preserve">חל לגבי </w:t>
      </w:r>
      <w:r w:rsidR="00431998" w:rsidRPr="00AD5390">
        <w:rPr>
          <w:rFonts w:cs="David" w:hint="cs"/>
          <w:sz w:val="24"/>
          <w:szCs w:val="24"/>
          <w:rtl/>
        </w:rPr>
        <w:t>מי שנמצא מחוץ לישראל ואין עליו חובה להגיע לארץ.</w:t>
      </w:r>
    </w:p>
    <w:p w:rsidR="00FC757B" w:rsidRPr="00AD5390" w:rsidRDefault="00F47A2A" w:rsidP="00F47A2A">
      <w:pPr>
        <w:bidi/>
        <w:spacing w:line="360" w:lineRule="auto"/>
        <w:rPr>
          <w:rFonts w:cs="David"/>
          <w:sz w:val="24"/>
          <w:szCs w:val="24"/>
          <w:rtl/>
        </w:rPr>
      </w:pPr>
      <w:r>
        <w:rPr>
          <w:rFonts w:cs="David" w:hint="cs"/>
          <w:sz w:val="24"/>
          <w:szCs w:val="24"/>
          <w:rtl/>
        </w:rPr>
        <w:t xml:space="preserve">לסיכום, גם כאן אנו מציעות לא לקבל את התיקון. </w:t>
      </w:r>
    </w:p>
    <w:p w:rsidR="00F87339" w:rsidRPr="00AD5390" w:rsidRDefault="00F87339" w:rsidP="00F87339">
      <w:pPr>
        <w:bidi/>
        <w:rPr>
          <w:rFonts w:cs="David"/>
          <w:sz w:val="24"/>
          <w:szCs w:val="24"/>
          <w:rtl/>
        </w:rPr>
      </w:pPr>
    </w:p>
    <w:p w:rsidR="00E77593" w:rsidRPr="00AD5390" w:rsidRDefault="00E77593" w:rsidP="00E77593">
      <w:pPr>
        <w:pStyle w:val="p00"/>
        <w:bidi/>
        <w:spacing w:before="72" w:beforeAutospacing="0" w:after="0" w:afterAutospacing="0"/>
        <w:ind w:right="1134"/>
        <w:jc w:val="both"/>
        <w:rPr>
          <w:rFonts w:cs="David"/>
          <w:color w:val="000000"/>
          <w:rtl/>
        </w:rPr>
      </w:pPr>
    </w:p>
    <w:sectPr w:rsidR="00E77593" w:rsidRPr="00AD5390" w:rsidSect="00986A2A">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65E" w:rsidRDefault="005F565E" w:rsidP="004579C2">
      <w:pPr>
        <w:spacing w:after="0" w:line="240" w:lineRule="auto"/>
      </w:pPr>
      <w:r>
        <w:separator/>
      </w:r>
    </w:p>
  </w:endnote>
  <w:endnote w:type="continuationSeparator" w:id="0">
    <w:p w:rsidR="005F565E" w:rsidRDefault="005F565E" w:rsidP="00457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Time New Roma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Garamond" w:hAnsi="Garamond"/>
      </w:rPr>
      <w:id w:val="424079868"/>
      <w:docPartObj>
        <w:docPartGallery w:val="Page Numbers (Bottom of Page)"/>
        <w:docPartUnique/>
      </w:docPartObj>
    </w:sdtPr>
    <w:sdtEndPr/>
    <w:sdtContent>
      <w:p w:rsidR="00AD5390" w:rsidRPr="00AD5390" w:rsidRDefault="00AD5390">
        <w:pPr>
          <w:pStyle w:val="a9"/>
          <w:jc w:val="center"/>
          <w:rPr>
            <w:rFonts w:ascii="Garamond" w:hAnsi="Garamond"/>
          </w:rPr>
        </w:pPr>
        <w:r w:rsidRPr="00AD5390">
          <w:rPr>
            <w:rFonts w:ascii="Garamond" w:hAnsi="Garamond"/>
          </w:rPr>
          <w:fldChar w:fldCharType="begin"/>
        </w:r>
        <w:r w:rsidRPr="00AD5390">
          <w:rPr>
            <w:rFonts w:ascii="Garamond" w:hAnsi="Garamond"/>
          </w:rPr>
          <w:instrText xml:space="preserve"> PAGE   \* MERGEFORMAT </w:instrText>
        </w:r>
        <w:r w:rsidRPr="00AD5390">
          <w:rPr>
            <w:rFonts w:ascii="Garamond" w:hAnsi="Garamond"/>
          </w:rPr>
          <w:fldChar w:fldCharType="separate"/>
        </w:r>
        <w:r w:rsidR="00A940DF">
          <w:rPr>
            <w:rFonts w:ascii="Garamond" w:hAnsi="Garamond"/>
            <w:noProof/>
          </w:rPr>
          <w:t>1</w:t>
        </w:r>
        <w:r w:rsidRPr="00AD5390">
          <w:rPr>
            <w:rFonts w:ascii="Garamond" w:hAnsi="Garamond"/>
            <w:noProof/>
          </w:rPr>
          <w:fldChar w:fldCharType="end"/>
        </w:r>
      </w:p>
    </w:sdtContent>
  </w:sdt>
  <w:p w:rsidR="00AD5390" w:rsidRDefault="00AD539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65E" w:rsidRDefault="005F565E" w:rsidP="004579C2">
      <w:pPr>
        <w:spacing w:after="0" w:line="240" w:lineRule="auto"/>
      </w:pPr>
      <w:r>
        <w:separator/>
      </w:r>
    </w:p>
  </w:footnote>
  <w:footnote w:type="continuationSeparator" w:id="0">
    <w:p w:rsidR="005F565E" w:rsidRDefault="005F565E" w:rsidP="004579C2">
      <w:pPr>
        <w:spacing w:after="0" w:line="240" w:lineRule="auto"/>
      </w:pPr>
      <w:r>
        <w:continuationSeparator/>
      </w:r>
    </w:p>
  </w:footnote>
  <w:footnote w:id="1">
    <w:p w:rsidR="00150C28" w:rsidRPr="00AD5390" w:rsidRDefault="00150C28" w:rsidP="00150C28">
      <w:pPr>
        <w:pStyle w:val="p00"/>
        <w:bidi/>
        <w:spacing w:before="0" w:beforeAutospacing="0" w:after="0" w:afterAutospacing="0"/>
        <w:ind w:right="142"/>
        <w:rPr>
          <w:rFonts w:cs="David"/>
          <w:sz w:val="20"/>
          <w:szCs w:val="20"/>
        </w:rPr>
      </w:pPr>
      <w:r w:rsidRPr="00AD5390">
        <w:rPr>
          <w:rStyle w:val="a5"/>
          <w:rFonts w:cs="David"/>
          <w:sz w:val="20"/>
          <w:szCs w:val="20"/>
        </w:rPr>
        <w:footnoteRef/>
      </w:r>
      <w:r w:rsidRPr="00AD5390">
        <w:rPr>
          <w:rFonts w:cs="David"/>
          <w:sz w:val="20"/>
          <w:szCs w:val="20"/>
          <w:rtl/>
        </w:rPr>
        <w:t xml:space="preserve"> </w:t>
      </w:r>
      <w:r w:rsidRPr="00AD5390">
        <w:rPr>
          <w:rFonts w:cs="David" w:hint="cs"/>
          <w:sz w:val="20"/>
          <w:szCs w:val="20"/>
          <w:rtl/>
        </w:rPr>
        <w:t xml:space="preserve"> </w:t>
      </w:r>
      <w:r w:rsidRPr="00AD5390">
        <w:rPr>
          <w:rStyle w:val="big-number"/>
          <w:rFonts w:ascii="Time New Roman" w:hAnsi="Time New Roman" w:cs="David"/>
          <w:b/>
          <w:bCs/>
          <w:sz w:val="20"/>
          <w:szCs w:val="20"/>
          <w:rtl/>
        </w:rPr>
        <w:t>אמרת עד בעת ביצוע עבירה</w:t>
      </w:r>
    </w:p>
    <w:p w:rsidR="00150C28" w:rsidRPr="00AD5390" w:rsidRDefault="00150C28" w:rsidP="00150C28">
      <w:pPr>
        <w:pStyle w:val="p00"/>
        <w:bidi/>
        <w:spacing w:before="0" w:beforeAutospacing="0" w:after="0" w:afterAutospacing="0"/>
        <w:ind w:right="142"/>
        <w:jc w:val="both"/>
        <w:rPr>
          <w:rFonts w:cs="David"/>
          <w:sz w:val="20"/>
          <w:szCs w:val="20"/>
          <w:rtl/>
        </w:rPr>
      </w:pPr>
      <w:r w:rsidRPr="00AD5390">
        <w:rPr>
          <w:rStyle w:val="big-number"/>
          <w:rFonts w:cs="David" w:hint="cs"/>
          <w:sz w:val="20"/>
          <w:szCs w:val="20"/>
          <w:rtl/>
        </w:rPr>
        <w:t>9.   </w:t>
      </w:r>
      <w:r w:rsidRPr="00AD5390">
        <w:rPr>
          <w:rStyle w:val="apple-converted-space"/>
          <w:rFonts w:cs="David" w:hint="cs"/>
          <w:sz w:val="20"/>
          <w:szCs w:val="20"/>
          <w:rtl/>
        </w:rPr>
        <w:t> </w:t>
      </w:r>
      <w:r w:rsidRPr="00AD5390">
        <w:rPr>
          <w:rStyle w:val="default"/>
          <w:rFonts w:cs="David" w:hint="cs"/>
          <w:sz w:val="20"/>
          <w:szCs w:val="20"/>
          <w:rtl/>
        </w:rPr>
        <w:t>עדות על אמרה שנאמרה בשעה שנעשה, לפי הטענה, מעשה עבירה, או בסמוך לפניו או לאחריו, והאמרה נוגעת במישרין לעובדה השייכת לענין, תהא קבילה אם אמר אותה אדם שהוא עצמו עד במשפט.</w:t>
      </w:r>
    </w:p>
    <w:p w:rsidR="00150C28" w:rsidRPr="00AD5390" w:rsidRDefault="00150C28" w:rsidP="00150C28">
      <w:pPr>
        <w:pStyle w:val="p00"/>
        <w:bidi/>
        <w:spacing w:before="0" w:beforeAutospacing="0" w:after="0" w:afterAutospacing="0"/>
        <w:ind w:right="142"/>
        <w:rPr>
          <w:rFonts w:cs="David"/>
          <w:sz w:val="20"/>
          <w:szCs w:val="20"/>
          <w:rtl/>
        </w:rPr>
      </w:pPr>
      <w:bookmarkStart w:id="1" w:name="Seif89"/>
      <w:bookmarkEnd w:id="1"/>
      <w:r w:rsidRPr="00AD5390">
        <w:rPr>
          <w:rStyle w:val="big-number"/>
          <w:rFonts w:ascii="Time New Roman" w:hAnsi="Time New Roman" w:cs="David"/>
          <w:b/>
          <w:bCs/>
          <w:sz w:val="20"/>
          <w:szCs w:val="20"/>
          <w:rtl/>
        </w:rPr>
        <w:t>אמרה של קרבן אלימות</w:t>
      </w:r>
    </w:p>
    <w:p w:rsidR="00150C28" w:rsidRPr="00AD5390" w:rsidRDefault="00150C28" w:rsidP="00150C28">
      <w:pPr>
        <w:pStyle w:val="p00"/>
        <w:bidi/>
        <w:spacing w:before="0" w:beforeAutospacing="0" w:after="0" w:afterAutospacing="0"/>
        <w:ind w:right="142"/>
        <w:jc w:val="both"/>
        <w:rPr>
          <w:rFonts w:cs="David"/>
          <w:sz w:val="20"/>
          <w:szCs w:val="20"/>
          <w:rtl/>
        </w:rPr>
      </w:pPr>
      <w:r w:rsidRPr="00AD5390">
        <w:rPr>
          <w:rStyle w:val="big-number"/>
          <w:rFonts w:cs="David" w:hint="cs"/>
          <w:sz w:val="20"/>
          <w:szCs w:val="20"/>
          <w:rtl/>
        </w:rPr>
        <w:t>10.  </w:t>
      </w:r>
      <w:r w:rsidRPr="00AD5390">
        <w:rPr>
          <w:rStyle w:val="apple-converted-space"/>
          <w:rFonts w:cs="David" w:hint="cs"/>
          <w:sz w:val="20"/>
          <w:szCs w:val="20"/>
          <w:rtl/>
        </w:rPr>
        <w:t> </w:t>
      </w:r>
      <w:r w:rsidRPr="00AD5390">
        <w:rPr>
          <w:rStyle w:val="default"/>
          <w:rFonts w:cs="David" w:hint="cs"/>
          <w:sz w:val="20"/>
          <w:szCs w:val="20"/>
          <w:rtl/>
        </w:rPr>
        <w:t>עדות על אמרה שאמר אדם שנעשה בו, לפי הטענה, מעשה אלימות, והאמרה נוגעת לאותו מעשה או לנסיבות-לואי שלו, תהא קבילה אף אם האדם שאמר אותה אינו נוכח כעד ואף אין להביאו למשפט משום שהוא נפטר או תשוש או חולה או נעדר מן הארץ, ובלבד שנתקיימה באותה אמרה אחת מאלה:</w:t>
      </w:r>
    </w:p>
    <w:p w:rsidR="00150C28" w:rsidRPr="00AD5390" w:rsidRDefault="00150C28" w:rsidP="00150C28">
      <w:pPr>
        <w:pStyle w:val="p22"/>
        <w:bidi/>
        <w:spacing w:before="0" w:beforeAutospacing="0" w:after="0" w:afterAutospacing="0"/>
        <w:ind w:left="1021" w:right="142"/>
        <w:jc w:val="both"/>
        <w:rPr>
          <w:rFonts w:cs="David"/>
          <w:sz w:val="20"/>
          <w:szCs w:val="20"/>
          <w:rtl/>
        </w:rPr>
      </w:pPr>
      <w:r w:rsidRPr="00AD5390">
        <w:rPr>
          <w:rStyle w:val="default"/>
          <w:rFonts w:cs="David" w:hint="cs"/>
          <w:sz w:val="20"/>
          <w:szCs w:val="20"/>
          <w:rtl/>
        </w:rPr>
        <w:t>(1)  </w:t>
      </w:r>
      <w:r w:rsidRPr="00AD5390">
        <w:rPr>
          <w:rStyle w:val="apple-converted-space"/>
          <w:rFonts w:cs="David" w:hint="cs"/>
          <w:sz w:val="20"/>
          <w:szCs w:val="20"/>
          <w:rtl/>
        </w:rPr>
        <w:t> </w:t>
      </w:r>
      <w:r w:rsidRPr="00AD5390">
        <w:rPr>
          <w:rStyle w:val="default"/>
          <w:rFonts w:cs="David" w:hint="cs"/>
          <w:sz w:val="20"/>
          <w:szCs w:val="20"/>
          <w:rtl/>
        </w:rPr>
        <w:t>היא נאמרה בשעת מעשה האלימות, או בסמוך לאחריו, או לאחר שהיתה לו ההזדמנות הראשונה להתאונן עליו;</w:t>
      </w:r>
    </w:p>
    <w:p w:rsidR="00150C28" w:rsidRPr="00AD5390" w:rsidRDefault="00150C28" w:rsidP="00150C28">
      <w:pPr>
        <w:pStyle w:val="p22"/>
        <w:bidi/>
        <w:spacing w:before="0" w:beforeAutospacing="0" w:after="0" w:afterAutospacing="0"/>
        <w:ind w:left="1021" w:right="142"/>
        <w:jc w:val="both"/>
        <w:rPr>
          <w:rFonts w:cs="David"/>
          <w:sz w:val="20"/>
          <w:szCs w:val="20"/>
          <w:rtl/>
        </w:rPr>
      </w:pPr>
      <w:r w:rsidRPr="00AD5390">
        <w:rPr>
          <w:rStyle w:val="default"/>
          <w:rFonts w:cs="David" w:hint="cs"/>
          <w:sz w:val="20"/>
          <w:szCs w:val="20"/>
          <w:rtl/>
        </w:rPr>
        <w:t>(2)  </w:t>
      </w:r>
      <w:r w:rsidRPr="00AD5390">
        <w:rPr>
          <w:rStyle w:val="apple-converted-space"/>
          <w:rFonts w:cs="David" w:hint="cs"/>
          <w:sz w:val="20"/>
          <w:szCs w:val="20"/>
          <w:rtl/>
        </w:rPr>
        <w:t> </w:t>
      </w:r>
      <w:r w:rsidRPr="00AD5390">
        <w:rPr>
          <w:rStyle w:val="default"/>
          <w:rFonts w:cs="David" w:hint="cs"/>
          <w:sz w:val="20"/>
          <w:szCs w:val="20"/>
          <w:rtl/>
        </w:rPr>
        <w:t>היא נוגעת למעשה האלימות לפי סדר האירועים עד כדי היותה חוליה בשלשלת הנסיבות הקשורות במישרין לביצוע העבירה;</w:t>
      </w:r>
    </w:p>
    <w:p w:rsidR="00150C28" w:rsidRPr="00AD5390" w:rsidRDefault="00150C28" w:rsidP="00150C28">
      <w:pPr>
        <w:pStyle w:val="p22"/>
        <w:bidi/>
        <w:spacing w:before="0" w:beforeAutospacing="0" w:after="0" w:afterAutospacing="0"/>
        <w:ind w:left="1021" w:right="142"/>
        <w:jc w:val="both"/>
        <w:rPr>
          <w:rFonts w:cs="David"/>
          <w:sz w:val="20"/>
          <w:szCs w:val="20"/>
        </w:rPr>
      </w:pPr>
      <w:r w:rsidRPr="00AD5390">
        <w:rPr>
          <w:rStyle w:val="default"/>
          <w:rFonts w:cs="David" w:hint="cs"/>
          <w:sz w:val="20"/>
          <w:szCs w:val="20"/>
          <w:rtl/>
        </w:rPr>
        <w:t>(3)  </w:t>
      </w:r>
      <w:r w:rsidRPr="00AD5390">
        <w:rPr>
          <w:rStyle w:val="apple-converted-space"/>
          <w:rFonts w:cs="David" w:hint="cs"/>
          <w:sz w:val="20"/>
          <w:szCs w:val="20"/>
          <w:rtl/>
        </w:rPr>
        <w:t> </w:t>
      </w:r>
      <w:r w:rsidRPr="00AD5390">
        <w:rPr>
          <w:rStyle w:val="default"/>
          <w:rFonts w:cs="David" w:hint="cs"/>
          <w:sz w:val="20"/>
          <w:szCs w:val="20"/>
          <w:rtl/>
        </w:rPr>
        <w:t>היא נאמרה בשעה שהוא היה גוסס, או האמין שהוא גוסס, בעקבו של מעשה האלימות.</w:t>
      </w:r>
    </w:p>
  </w:footnote>
  <w:footnote w:id="2">
    <w:p w:rsidR="00A132D9" w:rsidRPr="00A132D9" w:rsidRDefault="00A132D9" w:rsidP="00A132D9">
      <w:pPr>
        <w:pStyle w:val="p00"/>
        <w:bidi/>
        <w:spacing w:before="72" w:beforeAutospacing="0" w:after="0" w:afterAutospacing="0"/>
        <w:ind w:right="1134"/>
        <w:rPr>
          <w:rFonts w:cs="David"/>
          <w:sz w:val="20"/>
          <w:szCs w:val="20"/>
        </w:rPr>
      </w:pPr>
      <w:r>
        <w:rPr>
          <w:rStyle w:val="a5"/>
        </w:rPr>
        <w:footnoteRef/>
      </w:r>
      <w:r>
        <w:rPr>
          <w:rtl/>
        </w:rPr>
        <w:t xml:space="preserve"> </w:t>
      </w:r>
      <w:r w:rsidRPr="00A132D9">
        <w:rPr>
          <w:rStyle w:val="big-number"/>
          <w:rFonts w:ascii="Time New Roman" w:hAnsi="Time New Roman" w:cs="David"/>
          <w:b/>
          <w:bCs/>
          <w:sz w:val="20"/>
          <w:szCs w:val="20"/>
          <w:rtl/>
        </w:rPr>
        <w:t xml:space="preserve">גביה מוקדמת של עדות </w:t>
      </w:r>
    </w:p>
    <w:p w:rsidR="00A132D9" w:rsidRPr="00A132D9" w:rsidRDefault="00A132D9" w:rsidP="000622C7">
      <w:pPr>
        <w:pStyle w:val="p00"/>
        <w:bidi/>
        <w:spacing w:before="72" w:beforeAutospacing="0" w:after="0" w:afterAutospacing="0"/>
        <w:ind w:right="142"/>
        <w:jc w:val="both"/>
        <w:rPr>
          <w:rFonts w:cs="David"/>
          <w:sz w:val="20"/>
          <w:szCs w:val="20"/>
          <w:rtl/>
        </w:rPr>
      </w:pPr>
      <w:r w:rsidRPr="00A132D9">
        <w:rPr>
          <w:rStyle w:val="big-number"/>
          <w:rFonts w:cs="David" w:hint="cs"/>
          <w:sz w:val="20"/>
          <w:szCs w:val="20"/>
          <w:rtl/>
        </w:rPr>
        <w:t>117</w:t>
      </w:r>
      <w:r w:rsidRPr="00A132D9">
        <w:rPr>
          <w:rStyle w:val="default"/>
          <w:rFonts w:cs="David" w:hint="cs"/>
          <w:sz w:val="20"/>
          <w:szCs w:val="20"/>
          <w:rtl/>
        </w:rPr>
        <w:t>. </w:t>
      </w:r>
      <w:r w:rsidRPr="00A132D9">
        <w:rPr>
          <w:rStyle w:val="apple-converted-space"/>
          <w:rFonts w:cs="David" w:hint="cs"/>
          <w:sz w:val="20"/>
          <w:szCs w:val="20"/>
          <w:rtl/>
        </w:rPr>
        <w:t> </w:t>
      </w:r>
      <w:r w:rsidRPr="00A132D9">
        <w:rPr>
          <w:rStyle w:val="default"/>
          <w:rFonts w:cs="David" w:hint="cs"/>
          <w:sz w:val="20"/>
          <w:szCs w:val="20"/>
          <w:rtl/>
        </w:rPr>
        <w:t>(א) </w:t>
      </w:r>
      <w:r w:rsidRPr="00A132D9">
        <w:rPr>
          <w:rStyle w:val="apple-converted-space"/>
          <w:rFonts w:cs="David" w:hint="cs"/>
          <w:sz w:val="20"/>
          <w:szCs w:val="20"/>
          <w:rtl/>
        </w:rPr>
        <w:t> </w:t>
      </w:r>
      <w:r w:rsidRPr="00A132D9">
        <w:rPr>
          <w:rStyle w:val="default"/>
          <w:rFonts w:cs="David" w:hint="cs"/>
          <w:sz w:val="20"/>
          <w:szCs w:val="20"/>
          <w:rtl/>
        </w:rPr>
        <w:t>הוגש כתב אישום לבית משפט, רשאי בית המשפט, לבקשת בעל דין, לגבות עדותו של אדם לאלתר, אם ראה שהעדות חשובה לבירור האשמה וכי יש יסוד סביר להניח שאי אפשר יהיה לגבותה במהלך המשפט או אם מצא שיש חשש שאמצעי לחץ, איום, הפחדה, כוח או הבטחת טובת הנאה יניאו את העד מלמסור עדות אמת במהלך המשפט; נפתחה חקירה בעבירה ועדיין לא הוגש עליה כתב אישום, רשאי לעשות כן בית משפט השלום או בית משפט מחוזי לבקשת תובע או לבקשת אדם העשוי להיות נאשם בעבירה.</w:t>
      </w:r>
    </w:p>
    <w:p w:rsidR="00A132D9" w:rsidRPr="00A132D9" w:rsidRDefault="00A132D9" w:rsidP="000622C7">
      <w:pPr>
        <w:pStyle w:val="p00"/>
        <w:bidi/>
        <w:spacing w:before="72" w:beforeAutospacing="0" w:after="0" w:afterAutospacing="0"/>
        <w:ind w:right="142"/>
        <w:jc w:val="both"/>
        <w:rPr>
          <w:rFonts w:cs="David"/>
          <w:sz w:val="20"/>
          <w:szCs w:val="20"/>
          <w:rtl/>
        </w:rPr>
      </w:pPr>
      <w:r w:rsidRPr="00A132D9">
        <w:rPr>
          <w:rStyle w:val="default"/>
          <w:rFonts w:cs="David" w:hint="cs"/>
          <w:sz w:val="20"/>
          <w:szCs w:val="20"/>
          <w:rtl/>
        </w:rPr>
        <w:t>         </w:t>
      </w:r>
      <w:r w:rsidRPr="00A132D9">
        <w:rPr>
          <w:rStyle w:val="apple-converted-space"/>
          <w:rFonts w:cs="David" w:hint="cs"/>
          <w:sz w:val="20"/>
          <w:szCs w:val="20"/>
          <w:rtl/>
        </w:rPr>
        <w:t> </w:t>
      </w:r>
      <w:r w:rsidRPr="00A132D9">
        <w:rPr>
          <w:rStyle w:val="default"/>
          <w:rFonts w:cs="David" w:hint="cs"/>
          <w:sz w:val="20"/>
          <w:szCs w:val="20"/>
          <w:rtl/>
        </w:rPr>
        <w:t>(ב) </w:t>
      </w:r>
      <w:r w:rsidRPr="00A132D9">
        <w:rPr>
          <w:rStyle w:val="apple-converted-space"/>
          <w:rFonts w:cs="David" w:hint="cs"/>
          <w:sz w:val="20"/>
          <w:szCs w:val="20"/>
          <w:rtl/>
        </w:rPr>
        <w:t> </w:t>
      </w:r>
      <w:r w:rsidRPr="00A132D9">
        <w:rPr>
          <w:rStyle w:val="default"/>
          <w:rFonts w:cs="David" w:hint="cs"/>
          <w:sz w:val="20"/>
          <w:szCs w:val="20"/>
          <w:rtl/>
        </w:rPr>
        <w:t>הוגשה בקשה לגביית עדות מוקדמת, כאמור בסעיף קטן (א), בעבירה לפי סעיף 377א לחוק העונשין, התשל"ז-1977, יחליט בית המשפט בבקשה לא יאוחר משבועיים מיום הגשתה; העדות תיגבה בתוך חודשיים מיום ההחלטה, אלא אם כן האריך בית המשפט את התקופה מטעמים מיוחדים שיירשמו.</w:t>
      </w:r>
    </w:p>
    <w:p w:rsidR="00A132D9" w:rsidRDefault="00A132D9">
      <w:pPr>
        <w:pStyle w:val="a3"/>
      </w:pPr>
    </w:p>
  </w:footnote>
  <w:footnote w:id="3">
    <w:p w:rsidR="003D2A81" w:rsidRDefault="003D2A81" w:rsidP="003D2A81">
      <w:pPr>
        <w:bidi/>
        <w:spacing w:after="0" w:line="240" w:lineRule="auto"/>
        <w:jc w:val="both"/>
      </w:pPr>
      <w:r w:rsidRPr="003D2A81">
        <w:rPr>
          <w:rStyle w:val="a5"/>
          <w:rFonts w:cs="David"/>
          <w:sz w:val="20"/>
          <w:szCs w:val="20"/>
        </w:rPr>
        <w:footnoteRef/>
      </w:r>
      <w:r w:rsidRPr="003D2A81">
        <w:rPr>
          <w:rFonts w:cs="David"/>
          <w:sz w:val="20"/>
          <w:szCs w:val="20"/>
          <w:rtl/>
        </w:rPr>
        <w:t xml:space="preserve"> במקרים מסוימים, כאשר קיימת בעיה מסוימת בסוג הראיה שמובאת על ידי התביעה, החוק והפסיקה מחייבים שתהייה "תוספת ראייתית" כדי להרשיע בעבירה. בקווים גסים, אפשר לומר כי שתי התוספות "הנמוכות" יותר – "דבר מה נוסף" ו"חיזוק" – הן ראיות שמצביעות על אמיתות הראיה העיקרית (כגון אי-שיתוף פעולה של הנאשם בהליכי חקירה), כאשר התוספת מסוג "סיוע" היא ראיה ממקור עצמאי ש"מסבכת" את הנאשם בעבירה, ללא קשר לראיה העיקרית (לדוגמא, שקרים של הנאשם, הימנעותו להעיד בחלק מהמקרים בהם נדרש סיוע, ועוד). </w:t>
      </w:r>
      <w:r w:rsidRPr="003D2A81">
        <w:rPr>
          <w:rFonts w:ascii="Arial" w:hAnsi="Arial" w:cs="David"/>
          <w:sz w:val="20"/>
          <w:szCs w:val="20"/>
          <w:rtl/>
        </w:rPr>
        <w:t xml:space="preserve">תוספת ראייתית של </w:t>
      </w:r>
      <w:r w:rsidRPr="003D2A81">
        <w:rPr>
          <w:rFonts w:ascii="Arial" w:hAnsi="Arial" w:cs="David" w:hint="cs"/>
          <w:sz w:val="20"/>
          <w:szCs w:val="20"/>
          <w:rtl/>
        </w:rPr>
        <w:t>"</w:t>
      </w:r>
      <w:r w:rsidRPr="003D2A81">
        <w:rPr>
          <w:rFonts w:ascii="Arial" w:hAnsi="Arial" w:cs="David"/>
          <w:sz w:val="20"/>
          <w:szCs w:val="20"/>
          <w:u w:val="single"/>
          <w:rtl/>
        </w:rPr>
        <w:t>דבר מה נוסף</w:t>
      </w:r>
      <w:r w:rsidRPr="003D2A81">
        <w:rPr>
          <w:rFonts w:ascii="Arial" w:hAnsi="Arial" w:cs="David" w:hint="cs"/>
          <w:sz w:val="20"/>
          <w:szCs w:val="20"/>
          <w:rtl/>
        </w:rPr>
        <w:t>"</w:t>
      </w:r>
      <w:r w:rsidRPr="003D2A81">
        <w:rPr>
          <w:rFonts w:ascii="Arial" w:hAnsi="Arial" w:cs="David"/>
          <w:sz w:val="20"/>
          <w:szCs w:val="20"/>
          <w:rtl/>
        </w:rPr>
        <w:t xml:space="preserve"> </w:t>
      </w:r>
      <w:r w:rsidRPr="003D2A81">
        <w:rPr>
          <w:rFonts w:ascii="Arial" w:hAnsi="Arial" w:cs="David" w:hint="cs"/>
          <w:sz w:val="20"/>
          <w:szCs w:val="20"/>
          <w:rtl/>
        </w:rPr>
        <w:t xml:space="preserve">נדרשת </w:t>
      </w:r>
      <w:r w:rsidRPr="003D2A81">
        <w:rPr>
          <w:rFonts w:ascii="Arial" w:hAnsi="Arial" w:cs="David"/>
          <w:sz w:val="20"/>
          <w:szCs w:val="20"/>
          <w:rtl/>
        </w:rPr>
        <w:t>(מכוח הפסיקה)</w:t>
      </w:r>
      <w:r w:rsidRPr="003D2A81">
        <w:rPr>
          <w:rFonts w:ascii="Arial" w:hAnsi="Arial" w:cs="David" w:hint="cs"/>
          <w:sz w:val="20"/>
          <w:szCs w:val="20"/>
          <w:rtl/>
        </w:rPr>
        <w:t xml:space="preserve"> </w:t>
      </w:r>
      <w:r w:rsidRPr="003D2A81">
        <w:rPr>
          <w:rFonts w:ascii="Arial" w:hAnsi="Arial" w:cs="David"/>
          <w:sz w:val="20"/>
          <w:szCs w:val="20"/>
          <w:rtl/>
        </w:rPr>
        <w:t>כאשר ההרשעה מתבססת על הודאת חוץ של הנאשם</w:t>
      </w:r>
      <w:r w:rsidRPr="003D2A81">
        <w:rPr>
          <w:rFonts w:ascii="Arial" w:hAnsi="Arial" w:cs="David" w:hint="cs"/>
          <w:sz w:val="20"/>
          <w:szCs w:val="20"/>
          <w:rtl/>
        </w:rPr>
        <w:t>;</w:t>
      </w:r>
      <w:r w:rsidRPr="003D2A81">
        <w:rPr>
          <w:rStyle w:val="a5"/>
          <w:rFonts w:ascii="Arial" w:hAnsi="Arial" w:cs="David"/>
          <w:sz w:val="20"/>
          <w:szCs w:val="20"/>
          <w:rtl/>
        </w:rPr>
        <w:footnoteRef/>
      </w:r>
      <w:r w:rsidRPr="003D2A81">
        <w:rPr>
          <w:rFonts w:ascii="Arial" w:hAnsi="Arial" w:cs="David" w:hint="cs"/>
          <w:sz w:val="20"/>
          <w:szCs w:val="20"/>
          <w:rtl/>
        </w:rPr>
        <w:t xml:space="preserve"> </w:t>
      </w:r>
      <w:r w:rsidRPr="003D2A81">
        <w:rPr>
          <w:rFonts w:ascii="Arial" w:hAnsi="Arial" w:cs="David"/>
          <w:sz w:val="20"/>
          <w:szCs w:val="20"/>
          <w:rtl/>
        </w:rPr>
        <w:t xml:space="preserve">תוספת ראייתית מסוג </w:t>
      </w:r>
      <w:r w:rsidRPr="003D2A81">
        <w:rPr>
          <w:rFonts w:ascii="Arial" w:hAnsi="Arial" w:cs="David" w:hint="cs"/>
          <w:sz w:val="20"/>
          <w:szCs w:val="20"/>
          <w:rtl/>
        </w:rPr>
        <w:t>"</w:t>
      </w:r>
      <w:r w:rsidRPr="003D2A81">
        <w:rPr>
          <w:rFonts w:ascii="Arial" w:hAnsi="Arial" w:cs="David"/>
          <w:sz w:val="20"/>
          <w:szCs w:val="20"/>
          <w:u w:val="single"/>
          <w:rtl/>
        </w:rPr>
        <w:t>חיזוק</w:t>
      </w:r>
      <w:r w:rsidRPr="003D2A81">
        <w:rPr>
          <w:rFonts w:ascii="Arial" w:hAnsi="Arial" w:cs="David" w:hint="cs"/>
          <w:sz w:val="20"/>
          <w:szCs w:val="20"/>
          <w:rtl/>
        </w:rPr>
        <w:t>" נדרשת</w:t>
      </w:r>
      <w:r w:rsidRPr="003D2A81">
        <w:rPr>
          <w:rFonts w:ascii="Arial" w:hAnsi="Arial" w:cs="David"/>
          <w:sz w:val="20"/>
          <w:szCs w:val="20"/>
          <w:rtl/>
        </w:rPr>
        <w:t>, אם ההרשעה מבוססת על סמך עדות יחידה, כאשר העדות היא אמרת חוץ של לפי סעיף 10א לפקודת הראיות;</w:t>
      </w:r>
      <w:r w:rsidRPr="003D2A81">
        <w:rPr>
          <w:rFonts w:cs="David" w:hint="cs"/>
          <w:sz w:val="20"/>
          <w:szCs w:val="20"/>
          <w:rtl/>
        </w:rPr>
        <w:t xml:space="preserve"> </w:t>
      </w:r>
      <w:r w:rsidRPr="003D2A81">
        <w:rPr>
          <w:rFonts w:ascii="Arial" w:hAnsi="Arial" w:cs="David"/>
          <w:sz w:val="20"/>
          <w:szCs w:val="20"/>
          <w:rtl/>
        </w:rPr>
        <w:t>העדות היא של קטין מתחת לגיל האחריות הפלילית;</w:t>
      </w:r>
      <w:r w:rsidRPr="003D2A81">
        <w:rPr>
          <w:rFonts w:ascii="Arial" w:hAnsi="Arial" w:cs="David" w:hint="cs"/>
          <w:sz w:val="20"/>
          <w:szCs w:val="20"/>
          <w:rtl/>
        </w:rPr>
        <w:t xml:space="preserve"> </w:t>
      </w:r>
      <w:r w:rsidRPr="003D2A81">
        <w:rPr>
          <w:rFonts w:ascii="Arial" w:hAnsi="Arial" w:cs="David"/>
          <w:sz w:val="20"/>
          <w:szCs w:val="20"/>
          <w:rtl/>
        </w:rPr>
        <w:t>העדות היא של אדם עם מוגבלות שכלית בעבירות חמורות המנויות בחוק הליכי חקירה והעדה (התאמה לאנשים עם מוגבלות שכלית או נפשית), תשס"ו;</w:t>
      </w:r>
      <w:r w:rsidRPr="003D2A81">
        <w:rPr>
          <w:rFonts w:ascii="Arial" w:hAnsi="Arial" w:cs="David" w:hint="cs"/>
          <w:sz w:val="20"/>
          <w:szCs w:val="20"/>
          <w:rtl/>
        </w:rPr>
        <w:t xml:space="preserve"> </w:t>
      </w:r>
      <w:r w:rsidRPr="003D2A81">
        <w:rPr>
          <w:rFonts w:ascii="Arial" w:hAnsi="Arial" w:cs="David"/>
          <w:sz w:val="20"/>
          <w:szCs w:val="20"/>
          <w:rtl/>
        </w:rPr>
        <w:t>העדות היא של מי שנפגע מעבירת מין בהיותו קטין במקרים המנויים בחוק העונשין (ס' 354);</w:t>
      </w:r>
      <w:r w:rsidRPr="003D2A81">
        <w:rPr>
          <w:rFonts w:cs="David" w:hint="cs"/>
          <w:sz w:val="20"/>
          <w:szCs w:val="20"/>
          <w:rtl/>
        </w:rPr>
        <w:t xml:space="preserve"> </w:t>
      </w:r>
      <w:r w:rsidRPr="003D2A81">
        <w:rPr>
          <w:rFonts w:ascii="Arial" w:hAnsi="Arial" w:cs="David"/>
          <w:sz w:val="20"/>
          <w:szCs w:val="20"/>
          <w:rtl/>
        </w:rPr>
        <w:t>העדות היא של עד מדינה</w:t>
      </w:r>
      <w:r w:rsidRPr="003D2A81">
        <w:rPr>
          <w:rFonts w:ascii="Arial" w:hAnsi="Arial" w:cs="David" w:hint="cs"/>
          <w:sz w:val="20"/>
          <w:szCs w:val="20"/>
          <w:rtl/>
        </w:rPr>
        <w:t>;</w:t>
      </w:r>
      <w:r w:rsidRPr="003D2A81">
        <w:rPr>
          <w:rFonts w:ascii="Arial" w:hAnsi="Arial" w:cs="David" w:hint="cs"/>
          <w:sz w:val="20"/>
          <w:szCs w:val="20"/>
        </w:rPr>
        <w:t xml:space="preserve"> </w:t>
      </w:r>
      <w:r w:rsidRPr="003D2A81">
        <w:rPr>
          <w:rFonts w:ascii="Arial" w:hAnsi="Arial" w:cs="David" w:hint="cs"/>
          <w:sz w:val="20"/>
          <w:szCs w:val="20"/>
          <w:rtl/>
        </w:rPr>
        <w:t xml:space="preserve"> או </w:t>
      </w:r>
      <w:r w:rsidRPr="003D2A81">
        <w:rPr>
          <w:rFonts w:ascii="Arial" w:hAnsi="Arial" w:cs="David"/>
          <w:sz w:val="20"/>
          <w:szCs w:val="20"/>
          <w:rtl/>
        </w:rPr>
        <w:t xml:space="preserve">העדות היא של שותף שדינו טרם נגזר נגד השני. תוספת ראייתית מסוג </w:t>
      </w:r>
      <w:r w:rsidRPr="003D2A81">
        <w:rPr>
          <w:rFonts w:ascii="Arial" w:hAnsi="Arial" w:cs="David" w:hint="cs"/>
          <w:sz w:val="20"/>
          <w:szCs w:val="20"/>
          <w:rtl/>
        </w:rPr>
        <w:t>"</w:t>
      </w:r>
      <w:r w:rsidRPr="003D2A81">
        <w:rPr>
          <w:rFonts w:ascii="Arial" w:hAnsi="Arial" w:cs="David" w:hint="cs"/>
          <w:sz w:val="20"/>
          <w:szCs w:val="20"/>
          <w:u w:val="single"/>
          <w:rtl/>
        </w:rPr>
        <w:t>סיוע</w:t>
      </w:r>
      <w:r w:rsidRPr="003D2A81">
        <w:rPr>
          <w:rFonts w:ascii="Arial" w:hAnsi="Arial" w:cs="David" w:hint="cs"/>
          <w:sz w:val="20"/>
          <w:szCs w:val="20"/>
          <w:rtl/>
        </w:rPr>
        <w:t>" נדרשת</w:t>
      </w:r>
      <w:r w:rsidRPr="003D2A81">
        <w:rPr>
          <w:rFonts w:ascii="Arial" w:hAnsi="Arial" w:cs="David"/>
          <w:sz w:val="20"/>
          <w:szCs w:val="20"/>
          <w:rtl/>
        </w:rPr>
        <w:t>, אם ההרשעה מבוססת על סמך עדות יחידה,</w:t>
      </w:r>
      <w:r w:rsidRPr="003D2A81">
        <w:rPr>
          <w:rFonts w:cs="David" w:hint="cs"/>
          <w:sz w:val="20"/>
          <w:szCs w:val="20"/>
          <w:rtl/>
        </w:rPr>
        <w:t xml:space="preserve"> כאשר </w:t>
      </w:r>
      <w:r w:rsidRPr="003D2A81">
        <w:rPr>
          <w:rFonts w:ascii="Arial" w:hAnsi="Arial" w:cs="David"/>
          <w:sz w:val="20"/>
          <w:szCs w:val="20"/>
          <w:rtl/>
        </w:rPr>
        <w:t>העדות היא של עדות שותף שהוא עד מדינה (למעט בעבירות מסוימות);</w:t>
      </w:r>
      <w:r w:rsidRPr="003D2A81">
        <w:rPr>
          <w:rFonts w:ascii="Arial" w:hAnsi="Arial" w:cs="David" w:hint="cs"/>
          <w:sz w:val="20"/>
          <w:szCs w:val="20"/>
          <w:rtl/>
        </w:rPr>
        <w:t xml:space="preserve"> </w:t>
      </w:r>
      <w:r w:rsidRPr="003D2A81">
        <w:rPr>
          <w:rFonts w:ascii="Arial" w:hAnsi="Arial" w:cs="David"/>
          <w:sz w:val="20"/>
          <w:szCs w:val="20"/>
          <w:rtl/>
        </w:rPr>
        <w:t>לצורך הרשעה בעבירה של עדות שקר או המרדה;</w:t>
      </w:r>
      <w:r w:rsidRPr="003D2A81">
        <w:rPr>
          <w:rFonts w:ascii="Arial" w:hAnsi="Arial" w:cs="David" w:hint="cs"/>
          <w:sz w:val="20"/>
          <w:szCs w:val="20"/>
          <w:rtl/>
        </w:rPr>
        <w:t xml:space="preserve"> או כאשר </w:t>
      </w:r>
      <w:r w:rsidRPr="003D2A81">
        <w:rPr>
          <w:rFonts w:ascii="Arial" w:hAnsi="Arial" w:cs="David"/>
          <w:sz w:val="20"/>
          <w:szCs w:val="20"/>
          <w:rtl/>
        </w:rPr>
        <w:t xml:space="preserve">העדות היא של אדם עם מוגבלות שכלית/נפשית שניתנה בפני חוקר מיוחד, או של ילד מתחת לגיל 14 לפי חוק לתיקון דיני הראיות (הגנת ילדים), תשט"ו-1955, שניתנה בפני חוקר ילדים. </w:t>
      </w:r>
    </w:p>
  </w:footnote>
  <w:footnote w:id="4">
    <w:p w:rsidR="00B97E8E" w:rsidRPr="00AD5390" w:rsidRDefault="00B97E8E">
      <w:pPr>
        <w:pStyle w:val="a3"/>
        <w:rPr>
          <w:sz w:val="20"/>
          <w:rtl/>
        </w:rPr>
      </w:pPr>
      <w:r w:rsidRPr="00AD5390">
        <w:rPr>
          <w:rStyle w:val="a5"/>
          <w:sz w:val="20"/>
        </w:rPr>
        <w:footnoteRef/>
      </w:r>
      <w:r w:rsidRPr="00AD5390">
        <w:rPr>
          <w:sz w:val="20"/>
          <w:rtl/>
        </w:rPr>
        <w:t xml:space="preserve"> </w:t>
      </w:r>
      <w:r w:rsidRPr="00AD5390">
        <w:rPr>
          <w:rFonts w:hint="cs"/>
          <w:sz w:val="20"/>
          <w:rtl/>
        </w:rPr>
        <w:t>סעיף 354 לחוק העונשין קובע הסדר מיוחד להתיישנות בעבירות מין בקטין, כאשר תקופת ההתיישנות המיוחדת מתחילה מהיום שנמלאו לנפגע 18 שנים.</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880986"/>
    <w:multiLevelType w:val="hybridMultilevel"/>
    <w:tmpl w:val="13BA2FFC"/>
    <w:lvl w:ilvl="0" w:tplc="AC96AB88">
      <w:start w:val="48"/>
      <w:numFmt w:val="bullet"/>
      <w:lvlText w:val="-"/>
      <w:lvlJc w:val="left"/>
      <w:pPr>
        <w:ind w:left="360" w:hanging="360"/>
      </w:pPr>
      <w:rPr>
        <w:rFonts w:ascii="Calibri" w:eastAsia="MS Mincho" w:hAnsi="Calibri" w:cs="David"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9A7795F"/>
    <w:multiLevelType w:val="hybridMultilevel"/>
    <w:tmpl w:val="A1BC1C84"/>
    <w:lvl w:ilvl="0" w:tplc="4AE0F7DE">
      <w:start w:val="48"/>
      <w:numFmt w:val="bullet"/>
      <w:lvlText w:val="-"/>
      <w:lvlJc w:val="left"/>
      <w:pPr>
        <w:ind w:left="720" w:hanging="360"/>
      </w:pPr>
      <w:rPr>
        <w:rFonts w:ascii="Calibri" w:eastAsia="MS Mincho" w:hAnsi="Calibr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E21"/>
    <w:rsid w:val="00015CD3"/>
    <w:rsid w:val="000622C7"/>
    <w:rsid w:val="000A687B"/>
    <w:rsid w:val="000B4EF9"/>
    <w:rsid w:val="00150C28"/>
    <w:rsid w:val="00210898"/>
    <w:rsid w:val="00285AF3"/>
    <w:rsid w:val="0028768E"/>
    <w:rsid w:val="002E301D"/>
    <w:rsid w:val="002E3944"/>
    <w:rsid w:val="00350AA9"/>
    <w:rsid w:val="003B2EB7"/>
    <w:rsid w:val="003B490A"/>
    <w:rsid w:val="003D18B1"/>
    <w:rsid w:val="003D2A81"/>
    <w:rsid w:val="00417041"/>
    <w:rsid w:val="00431998"/>
    <w:rsid w:val="004579C2"/>
    <w:rsid w:val="004E18A2"/>
    <w:rsid w:val="005F5015"/>
    <w:rsid w:val="005F565E"/>
    <w:rsid w:val="00827889"/>
    <w:rsid w:val="008B4CE7"/>
    <w:rsid w:val="00986A2A"/>
    <w:rsid w:val="009B36A8"/>
    <w:rsid w:val="00A132D9"/>
    <w:rsid w:val="00A421CE"/>
    <w:rsid w:val="00A61D15"/>
    <w:rsid w:val="00A90C32"/>
    <w:rsid w:val="00A940DF"/>
    <w:rsid w:val="00AD5390"/>
    <w:rsid w:val="00B25502"/>
    <w:rsid w:val="00B56BC3"/>
    <w:rsid w:val="00B67731"/>
    <w:rsid w:val="00B77B89"/>
    <w:rsid w:val="00B97E8E"/>
    <w:rsid w:val="00BE7367"/>
    <w:rsid w:val="00C37234"/>
    <w:rsid w:val="00D542AB"/>
    <w:rsid w:val="00D82E21"/>
    <w:rsid w:val="00D86485"/>
    <w:rsid w:val="00E35196"/>
    <w:rsid w:val="00E77593"/>
    <w:rsid w:val="00EB585F"/>
    <w:rsid w:val="00EC6D5C"/>
    <w:rsid w:val="00EF739D"/>
    <w:rsid w:val="00F20F47"/>
    <w:rsid w:val="00F47A2A"/>
    <w:rsid w:val="00F507DD"/>
    <w:rsid w:val="00F87339"/>
    <w:rsid w:val="00FC757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AD925F-B307-4C27-855E-172D042C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2E21"/>
    <w:pPr>
      <w:spacing w:after="200" w:line="276" w:lineRule="auto"/>
    </w:pPr>
    <w:rPr>
      <w:rFonts w:ascii="Calibri" w:eastAsia="MS Mincho"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4579C2"/>
    <w:pPr>
      <w:keepLines/>
      <w:widowControl w:val="0"/>
      <w:tabs>
        <w:tab w:val="left" w:pos="624"/>
        <w:tab w:val="left" w:pos="1247"/>
      </w:tabs>
      <w:autoSpaceDE w:val="0"/>
      <w:autoSpaceDN w:val="0"/>
      <w:bidi/>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4579C2"/>
    <w:pPr>
      <w:ind w:right="0"/>
      <w:jc w:val="both"/>
    </w:pPr>
  </w:style>
  <w:style w:type="paragraph" w:customStyle="1" w:styleId="TableSideHeading">
    <w:name w:val="Table SideHeading"/>
    <w:basedOn w:val="TableText"/>
    <w:rsid w:val="004579C2"/>
  </w:style>
  <w:style w:type="paragraph" w:styleId="a3">
    <w:name w:val="footnote text"/>
    <w:basedOn w:val="a"/>
    <w:link w:val="a4"/>
    <w:autoRedefine/>
    <w:uiPriority w:val="99"/>
    <w:semiHidden/>
    <w:rsid w:val="004579C2"/>
    <w:pPr>
      <w:widowControl w:val="0"/>
      <w:autoSpaceDE w:val="0"/>
      <w:autoSpaceDN w:val="0"/>
      <w:bidi/>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4">
    <w:name w:val="טקסט הערת שוליים תו"/>
    <w:basedOn w:val="a0"/>
    <w:link w:val="a3"/>
    <w:uiPriority w:val="99"/>
    <w:semiHidden/>
    <w:rsid w:val="004579C2"/>
    <w:rPr>
      <w:rFonts w:ascii="Arial" w:eastAsia="Arial Unicode MS" w:hAnsi="Arial" w:cs="David"/>
      <w:snapToGrid w:val="0"/>
      <w:color w:val="000000"/>
      <w:sz w:val="14"/>
      <w:szCs w:val="20"/>
      <w:lang w:eastAsia="ja-JP"/>
    </w:rPr>
  </w:style>
  <w:style w:type="character" w:styleId="a5">
    <w:name w:val="footnote reference"/>
    <w:basedOn w:val="a0"/>
    <w:uiPriority w:val="99"/>
    <w:semiHidden/>
    <w:rsid w:val="004579C2"/>
    <w:rPr>
      <w:vertAlign w:val="superscript"/>
    </w:rPr>
  </w:style>
  <w:style w:type="paragraph" w:customStyle="1" w:styleId="p00">
    <w:name w:val="p00"/>
    <w:basedOn w:val="a"/>
    <w:rsid w:val="000A68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0A687B"/>
  </w:style>
  <w:style w:type="character" w:customStyle="1" w:styleId="default">
    <w:name w:val="default"/>
    <w:basedOn w:val="a0"/>
    <w:rsid w:val="000A687B"/>
  </w:style>
  <w:style w:type="character" w:customStyle="1" w:styleId="apple-converted-space">
    <w:name w:val="apple-converted-space"/>
    <w:basedOn w:val="a0"/>
    <w:rsid w:val="000A687B"/>
  </w:style>
  <w:style w:type="paragraph" w:customStyle="1" w:styleId="p22">
    <w:name w:val="p22"/>
    <w:basedOn w:val="a"/>
    <w:rsid w:val="000A687B"/>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5F5015"/>
    <w:pPr>
      <w:ind w:left="720"/>
      <w:contextualSpacing/>
    </w:pPr>
  </w:style>
  <w:style w:type="paragraph" w:customStyle="1" w:styleId="p33">
    <w:name w:val="p33"/>
    <w:basedOn w:val="a"/>
    <w:rsid w:val="00E77593"/>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header"/>
    <w:basedOn w:val="a"/>
    <w:link w:val="a8"/>
    <w:uiPriority w:val="99"/>
    <w:unhideWhenUsed/>
    <w:rsid w:val="00AD5390"/>
    <w:pPr>
      <w:tabs>
        <w:tab w:val="center" w:pos="4153"/>
        <w:tab w:val="right" w:pos="8306"/>
      </w:tabs>
      <w:spacing w:after="0" w:line="240" w:lineRule="auto"/>
    </w:pPr>
  </w:style>
  <w:style w:type="character" w:customStyle="1" w:styleId="a8">
    <w:name w:val="כותרת עליונה תו"/>
    <w:basedOn w:val="a0"/>
    <w:link w:val="a7"/>
    <w:uiPriority w:val="99"/>
    <w:rsid w:val="00AD5390"/>
    <w:rPr>
      <w:rFonts w:ascii="Calibri" w:eastAsia="MS Mincho" w:hAnsi="Calibri" w:cs="Arial"/>
    </w:rPr>
  </w:style>
  <w:style w:type="paragraph" w:styleId="a9">
    <w:name w:val="footer"/>
    <w:basedOn w:val="a"/>
    <w:link w:val="aa"/>
    <w:uiPriority w:val="99"/>
    <w:unhideWhenUsed/>
    <w:rsid w:val="00AD5390"/>
    <w:pPr>
      <w:tabs>
        <w:tab w:val="center" w:pos="4153"/>
        <w:tab w:val="right" w:pos="8306"/>
      </w:tabs>
      <w:spacing w:after="0" w:line="240" w:lineRule="auto"/>
    </w:pPr>
  </w:style>
  <w:style w:type="character" w:customStyle="1" w:styleId="aa">
    <w:name w:val="כותרת תחתונה תו"/>
    <w:basedOn w:val="a0"/>
    <w:link w:val="a9"/>
    <w:uiPriority w:val="99"/>
    <w:rsid w:val="00AD5390"/>
    <w:rPr>
      <w:rFonts w:ascii="Calibri" w:eastAsia="MS Mincho" w:hAnsi="Calibri" w:cs="Arial"/>
    </w:rPr>
  </w:style>
  <w:style w:type="paragraph" w:styleId="ab">
    <w:name w:val="Balloon Text"/>
    <w:basedOn w:val="a"/>
    <w:link w:val="ac"/>
    <w:uiPriority w:val="99"/>
    <w:semiHidden/>
    <w:unhideWhenUsed/>
    <w:rsid w:val="00A132D9"/>
    <w:pPr>
      <w:spacing w:after="0" w:line="240" w:lineRule="auto"/>
    </w:pPr>
    <w:rPr>
      <w:rFonts w:ascii="Segoe UI" w:hAnsi="Segoe UI" w:cs="Segoe UI"/>
      <w:sz w:val="18"/>
      <w:szCs w:val="18"/>
    </w:rPr>
  </w:style>
  <w:style w:type="character" w:customStyle="1" w:styleId="ac">
    <w:name w:val="טקסט בלונים תו"/>
    <w:basedOn w:val="a0"/>
    <w:link w:val="ab"/>
    <w:uiPriority w:val="99"/>
    <w:semiHidden/>
    <w:rsid w:val="00A132D9"/>
    <w:rPr>
      <w:rFonts w:ascii="Segoe UI" w:eastAsia="MS Mincho"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595914">
      <w:bodyDiv w:val="1"/>
      <w:marLeft w:val="0"/>
      <w:marRight w:val="0"/>
      <w:marTop w:val="0"/>
      <w:marBottom w:val="0"/>
      <w:divBdr>
        <w:top w:val="none" w:sz="0" w:space="0" w:color="auto"/>
        <w:left w:val="none" w:sz="0" w:space="0" w:color="auto"/>
        <w:bottom w:val="none" w:sz="0" w:space="0" w:color="auto"/>
        <w:right w:val="none" w:sz="0" w:space="0" w:color="auto"/>
      </w:divBdr>
    </w:div>
    <w:div w:id="218051640">
      <w:bodyDiv w:val="1"/>
      <w:marLeft w:val="0"/>
      <w:marRight w:val="0"/>
      <w:marTop w:val="0"/>
      <w:marBottom w:val="0"/>
      <w:divBdr>
        <w:top w:val="none" w:sz="0" w:space="0" w:color="auto"/>
        <w:left w:val="none" w:sz="0" w:space="0" w:color="auto"/>
        <w:bottom w:val="none" w:sz="0" w:space="0" w:color="auto"/>
        <w:right w:val="none" w:sz="0" w:space="0" w:color="auto"/>
      </w:divBdr>
    </w:div>
    <w:div w:id="910654581">
      <w:bodyDiv w:val="1"/>
      <w:marLeft w:val="0"/>
      <w:marRight w:val="0"/>
      <w:marTop w:val="0"/>
      <w:marBottom w:val="0"/>
      <w:divBdr>
        <w:top w:val="none" w:sz="0" w:space="0" w:color="auto"/>
        <w:left w:val="none" w:sz="0" w:space="0" w:color="auto"/>
        <w:bottom w:val="none" w:sz="0" w:space="0" w:color="auto"/>
        <w:right w:val="none" w:sz="0" w:space="0" w:color="auto"/>
      </w:divBdr>
    </w:div>
    <w:div w:id="1036152114">
      <w:bodyDiv w:val="1"/>
      <w:marLeft w:val="0"/>
      <w:marRight w:val="0"/>
      <w:marTop w:val="0"/>
      <w:marBottom w:val="0"/>
      <w:divBdr>
        <w:top w:val="none" w:sz="0" w:space="0" w:color="auto"/>
        <w:left w:val="none" w:sz="0" w:space="0" w:color="auto"/>
        <w:bottom w:val="none" w:sz="0" w:space="0" w:color="auto"/>
        <w:right w:val="none" w:sz="0" w:space="0" w:color="auto"/>
      </w:divBdr>
    </w:div>
    <w:div w:id="1041244007">
      <w:bodyDiv w:val="1"/>
      <w:marLeft w:val="0"/>
      <w:marRight w:val="0"/>
      <w:marTop w:val="0"/>
      <w:marBottom w:val="0"/>
      <w:divBdr>
        <w:top w:val="none" w:sz="0" w:space="0" w:color="auto"/>
        <w:left w:val="none" w:sz="0" w:space="0" w:color="auto"/>
        <w:bottom w:val="none" w:sz="0" w:space="0" w:color="auto"/>
        <w:right w:val="none" w:sz="0" w:space="0" w:color="auto"/>
      </w:divBdr>
    </w:div>
    <w:div w:id="1174765039">
      <w:bodyDiv w:val="1"/>
      <w:marLeft w:val="0"/>
      <w:marRight w:val="0"/>
      <w:marTop w:val="0"/>
      <w:marBottom w:val="0"/>
      <w:divBdr>
        <w:top w:val="none" w:sz="0" w:space="0" w:color="auto"/>
        <w:left w:val="none" w:sz="0" w:space="0" w:color="auto"/>
        <w:bottom w:val="none" w:sz="0" w:space="0" w:color="auto"/>
        <w:right w:val="none" w:sz="0" w:space="0" w:color="auto"/>
      </w:divBdr>
    </w:div>
    <w:div w:id="1252276909">
      <w:bodyDiv w:val="1"/>
      <w:marLeft w:val="0"/>
      <w:marRight w:val="0"/>
      <w:marTop w:val="0"/>
      <w:marBottom w:val="0"/>
      <w:divBdr>
        <w:top w:val="none" w:sz="0" w:space="0" w:color="auto"/>
        <w:left w:val="none" w:sz="0" w:space="0" w:color="auto"/>
        <w:bottom w:val="none" w:sz="0" w:space="0" w:color="auto"/>
        <w:right w:val="none" w:sz="0" w:space="0" w:color="auto"/>
      </w:divBdr>
    </w:div>
    <w:div w:id="1475565173">
      <w:bodyDiv w:val="1"/>
      <w:marLeft w:val="0"/>
      <w:marRight w:val="0"/>
      <w:marTop w:val="0"/>
      <w:marBottom w:val="0"/>
      <w:divBdr>
        <w:top w:val="none" w:sz="0" w:space="0" w:color="auto"/>
        <w:left w:val="none" w:sz="0" w:space="0" w:color="auto"/>
        <w:bottom w:val="none" w:sz="0" w:space="0" w:color="auto"/>
        <w:right w:val="none" w:sz="0" w:space="0" w:color="auto"/>
      </w:divBdr>
    </w:div>
    <w:div w:id="206602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C65F65-EC85-4070-8EB2-4C777D681FF5}"/>
</file>

<file path=customXml/itemProps2.xml><?xml version="1.0" encoding="utf-8"?>
<ds:datastoreItem xmlns:ds="http://schemas.openxmlformats.org/officeDocument/2006/customXml" ds:itemID="{C8F164CE-E61D-4843-9EDA-9051B98CF31E}"/>
</file>

<file path=customXml/itemProps3.xml><?xml version="1.0" encoding="utf-8"?>
<ds:datastoreItem xmlns:ds="http://schemas.openxmlformats.org/officeDocument/2006/customXml" ds:itemID="{8E03AAEF-4862-450C-B911-0DE8089EF601}"/>
</file>

<file path=docProps/app.xml><?xml version="1.0" encoding="utf-8"?>
<Properties xmlns="http://schemas.openxmlformats.org/officeDocument/2006/extended-properties" xmlns:vt="http://schemas.openxmlformats.org/officeDocument/2006/docPropsVTypes">
  <Template>Normal</Template>
  <TotalTime>1</TotalTime>
  <Pages>1</Pages>
  <Words>1905</Words>
  <Characters>9526</Characters>
  <Application>Microsoft Office Word</Application>
  <DocSecurity>0</DocSecurity>
  <Lines>79</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11409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חקאק</dc:creator>
  <cp:keywords/>
  <dc:description/>
  <cp:lastModifiedBy>נטלי שלף</cp:lastModifiedBy>
  <cp:revision>3</cp:revision>
  <cp:lastPrinted>2015-12-27T10:21:00Z</cp:lastPrinted>
  <dcterms:created xsi:type="dcterms:W3CDTF">2015-12-27T11:16:00Z</dcterms:created>
  <dcterms:modified xsi:type="dcterms:W3CDTF">2015-12-27T11:16:00Z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