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795" w:rsidRDefault="003737CF" w:rsidP="00EF499E">
      <w:pPr>
        <w:jc w:val="right"/>
      </w:pPr>
      <w:bookmarkStart w:id="0" w:name="_GoBack"/>
      <w:bookmarkEnd w:id="0"/>
      <w:r w:rsidRPr="003737CF">
        <w:rPr>
          <w:sz w:val="24"/>
          <w:rtl/>
        </w:rPr>
        <w:t>‏</w:t>
      </w:r>
      <w:r w:rsidR="00260A2D">
        <w:rPr>
          <w:rFonts w:hint="eastAsia"/>
          <w:sz w:val="24"/>
          <w:rtl/>
        </w:rPr>
        <w:t>‏</w:t>
      </w:r>
    </w:p>
    <w:p w:rsidR="005E1795" w:rsidRPr="005E1795" w:rsidRDefault="00294D98" w:rsidP="00294D98">
      <w:pPr>
        <w:tabs>
          <w:tab w:val="left" w:pos="1572"/>
        </w:tabs>
      </w:pPr>
      <w:r>
        <w:rPr>
          <w:rtl/>
        </w:rPr>
        <w:tab/>
      </w:r>
    </w:p>
    <w:p w:rsidR="005E1795" w:rsidRPr="005E1795" w:rsidRDefault="005E1795" w:rsidP="005E1795"/>
    <w:p w:rsidR="005E1795" w:rsidRPr="005E1795" w:rsidRDefault="005E1795" w:rsidP="005E1795"/>
    <w:p w:rsidR="005E1795" w:rsidRPr="00804C1C" w:rsidRDefault="00804C1C" w:rsidP="00804C1C">
      <w:pPr>
        <w:jc w:val="center"/>
        <w:rPr>
          <w:b w:val="0"/>
          <w:bCs/>
          <w:sz w:val="32"/>
          <w:szCs w:val="32"/>
        </w:rPr>
      </w:pPr>
      <w:r w:rsidRPr="00804C1C">
        <w:rPr>
          <w:rFonts w:hint="cs"/>
          <w:b w:val="0"/>
          <w:bCs/>
          <w:sz w:val="32"/>
          <w:szCs w:val="32"/>
          <w:rtl/>
        </w:rPr>
        <w:t>תקציר</w:t>
      </w:r>
      <w:r>
        <w:rPr>
          <w:rFonts w:hint="cs"/>
          <w:b w:val="0"/>
          <w:bCs/>
          <w:sz w:val="32"/>
          <w:szCs w:val="32"/>
          <w:rtl/>
        </w:rPr>
        <w:t xml:space="preserve"> </w:t>
      </w:r>
      <w:r w:rsidRPr="00804C1C">
        <w:rPr>
          <w:rFonts w:hint="cs"/>
          <w:b w:val="0"/>
          <w:bCs/>
          <w:sz w:val="32"/>
          <w:szCs w:val="32"/>
          <w:rtl/>
        </w:rPr>
        <w:t>דוח 10 נציבות קבילות לחוק ביטוח בריאות ממלכתי</w:t>
      </w:r>
    </w:p>
    <w:p w:rsidR="005E1795" w:rsidRPr="005E1795" w:rsidRDefault="005E1795" w:rsidP="005E1795"/>
    <w:p w:rsidR="00804C1C" w:rsidRDefault="00804C1C" w:rsidP="00FA5D4F">
      <w:pPr>
        <w:jc w:val="both"/>
        <w:rPr>
          <w:rFonts w:ascii="Arial" w:hAnsi="Arial"/>
          <w:b w:val="0"/>
          <w:sz w:val="24"/>
          <w:rtl/>
        </w:rPr>
      </w:pPr>
      <w:r>
        <w:rPr>
          <w:rFonts w:ascii="Arial" w:hAnsi="Arial" w:hint="cs"/>
          <w:b w:val="0"/>
          <w:sz w:val="24"/>
          <w:rtl/>
        </w:rPr>
        <w:t>ה</w:t>
      </w:r>
      <w:r w:rsidRPr="00662D4D">
        <w:rPr>
          <w:rFonts w:ascii="Arial" w:hAnsi="Arial" w:hint="cs"/>
          <w:b w:val="0"/>
          <w:sz w:val="24"/>
          <w:rtl/>
        </w:rPr>
        <w:t xml:space="preserve">דוח סוקר את פעילות נציבות הקבילות לחוק ביטוח בריאות ממלכתי בתקופה שבין ה-1.1.2013 ועד ה-31.12.2014. </w:t>
      </w:r>
      <w:r w:rsidR="006B30C5" w:rsidRPr="00D64248">
        <w:rPr>
          <w:rFonts w:ascii="Arial" w:hAnsi="Arial" w:hint="cs"/>
          <w:b w:val="0"/>
          <w:sz w:val="24"/>
          <w:rtl/>
        </w:rPr>
        <w:t xml:space="preserve">הדו"ח מצביע על ליקויים </w:t>
      </w:r>
      <w:r w:rsidR="00FA5D4F">
        <w:rPr>
          <w:rFonts w:ascii="Arial" w:hAnsi="Arial" w:hint="cs"/>
          <w:b w:val="0"/>
          <w:sz w:val="24"/>
          <w:rtl/>
        </w:rPr>
        <w:t xml:space="preserve">ועולה ממנו </w:t>
      </w:r>
      <w:r w:rsidR="006B30C5" w:rsidRPr="00D64248">
        <w:rPr>
          <w:rFonts w:ascii="Arial" w:hAnsi="Arial" w:hint="cs"/>
          <w:b w:val="0"/>
          <w:sz w:val="24"/>
          <w:rtl/>
        </w:rPr>
        <w:t xml:space="preserve">ביקורת </w:t>
      </w:r>
      <w:r w:rsidR="00FA5D4F">
        <w:rPr>
          <w:rFonts w:ascii="Arial" w:hAnsi="Arial" w:hint="cs"/>
          <w:b w:val="0"/>
          <w:sz w:val="24"/>
          <w:rtl/>
        </w:rPr>
        <w:t>לצד</w:t>
      </w:r>
      <w:r w:rsidR="006B30C5" w:rsidRPr="00D64248">
        <w:rPr>
          <w:rFonts w:ascii="Arial" w:hAnsi="Arial" w:hint="cs"/>
          <w:b w:val="0"/>
          <w:sz w:val="24"/>
          <w:rtl/>
        </w:rPr>
        <w:t xml:space="preserve"> כבוד והערכה לעבודת המבוקרים.</w:t>
      </w:r>
      <w:r w:rsidR="00011A8A" w:rsidRPr="00D64248">
        <w:rPr>
          <w:rFonts w:ascii="Arial" w:hAnsi="Arial" w:hint="cs"/>
          <w:b w:val="0"/>
          <w:sz w:val="24"/>
          <w:rtl/>
        </w:rPr>
        <w:t xml:space="preserve"> הנציבה מקווה ומאמינה שהצפת הליקויים תביא לידי תחקור והטמעת הלקחים הנובעים מהם.</w:t>
      </w:r>
    </w:p>
    <w:p w:rsidR="00804C1C" w:rsidRPr="00662D4D" w:rsidRDefault="00804C1C" w:rsidP="00804C1C">
      <w:pPr>
        <w:jc w:val="both"/>
        <w:rPr>
          <w:rFonts w:ascii="Arial" w:hAnsi="Arial"/>
          <w:b w:val="0"/>
          <w:sz w:val="24"/>
          <w:rtl/>
        </w:rPr>
      </w:pPr>
    </w:p>
    <w:p w:rsidR="006B30C5" w:rsidRDefault="00804C1C" w:rsidP="00780B3D">
      <w:pPr>
        <w:jc w:val="both"/>
        <w:rPr>
          <w:rFonts w:ascii="Arial" w:hAnsi="Arial"/>
          <w:b w:val="0"/>
          <w:sz w:val="24"/>
          <w:rtl/>
        </w:rPr>
      </w:pPr>
      <w:r w:rsidRPr="00662D4D">
        <w:rPr>
          <w:rFonts w:ascii="Arial" w:hAnsi="Arial" w:hint="cs"/>
          <w:b w:val="0"/>
          <w:sz w:val="24"/>
          <w:rtl/>
        </w:rPr>
        <w:t xml:space="preserve">בתקופת הדוח התקבלו למעלה מעשרים אלף פניות לנציבות הקבילות וניתן לראות כי נמשכת עליית מספר הקבילות משנה לשנה. </w:t>
      </w:r>
    </w:p>
    <w:p w:rsidR="002E7C4E" w:rsidRPr="00780B3D" w:rsidRDefault="002E7C4E" w:rsidP="00780B3D">
      <w:pPr>
        <w:jc w:val="both"/>
        <w:rPr>
          <w:rFonts w:ascii="Arial" w:hAnsi="Arial"/>
          <w:b w:val="0"/>
          <w:sz w:val="24"/>
          <w:rtl/>
        </w:rPr>
      </w:pPr>
    </w:p>
    <w:tbl>
      <w:tblPr>
        <w:bidiVisual/>
        <w:tblW w:w="8220" w:type="dxa"/>
        <w:tblInd w:w="98" w:type="dxa"/>
        <w:tblCellMar>
          <w:left w:w="0" w:type="dxa"/>
          <w:right w:w="0" w:type="dxa"/>
        </w:tblCellMar>
        <w:tblLook w:val="0420" w:firstRow="1" w:lastRow="0" w:firstColumn="0" w:lastColumn="0" w:noHBand="0" w:noVBand="1"/>
      </w:tblPr>
      <w:tblGrid>
        <w:gridCol w:w="1644"/>
        <w:gridCol w:w="1644"/>
        <w:gridCol w:w="1644"/>
        <w:gridCol w:w="1644"/>
        <w:gridCol w:w="1644"/>
      </w:tblGrid>
      <w:tr w:rsidR="00780B3D" w:rsidRPr="00780B3D" w:rsidTr="00780B3D">
        <w:trPr>
          <w:trHeight w:val="340"/>
        </w:trPr>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780B3D" w:rsidRPr="00780B3D" w:rsidRDefault="00780B3D" w:rsidP="00780B3D">
            <w:pPr>
              <w:jc w:val="center"/>
              <w:rPr>
                <w:rFonts w:ascii="Arial" w:hAnsi="Arial"/>
                <w:b w:val="0"/>
                <w:sz w:val="24"/>
              </w:rPr>
            </w:pP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2011</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2012</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2013</w:t>
            </w:r>
          </w:p>
        </w:tc>
        <w:tc>
          <w:tcPr>
            <w:tcW w:w="1644" w:type="dxa"/>
            <w:tcBorders>
              <w:top w:val="single" w:sz="8" w:space="0" w:color="FFFFFF"/>
              <w:left w:val="single" w:sz="8" w:space="0" w:color="FFFFFF"/>
              <w:bottom w:val="single" w:sz="24" w:space="0" w:color="FFFFFF"/>
              <w:right w:val="single" w:sz="8" w:space="0" w:color="FFFFFF"/>
            </w:tcBorders>
            <w:shd w:val="clear" w:color="auto" w:fill="548DD4" w:themeFill="text2" w:themeFillTint="99"/>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2014</w:t>
            </w:r>
          </w:p>
        </w:tc>
      </w:tr>
      <w:tr w:rsidR="00780B3D" w:rsidRPr="00780B3D" w:rsidTr="00780B3D">
        <w:trPr>
          <w:trHeight w:val="340"/>
        </w:trPr>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קבילות</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5,542</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6,382</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5,988</w:t>
            </w:r>
          </w:p>
        </w:tc>
        <w:tc>
          <w:tcPr>
            <w:tcW w:w="164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7,481</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בקשות למידע</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509</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461</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252</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206</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בקשות לוועדה</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156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193</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222</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195</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השגות</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3,199</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3,914</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3,944</w:t>
            </w:r>
          </w:p>
        </w:tc>
        <w:tc>
          <w:tcPr>
            <w:tcW w:w="164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 w:val="0"/>
                <w:sz w:val="24"/>
                <w:rtl/>
              </w:rPr>
              <w:t>4,191</w:t>
            </w:r>
          </w:p>
        </w:tc>
      </w:tr>
      <w:tr w:rsidR="00780B3D" w:rsidRPr="00780B3D" w:rsidTr="00780B3D">
        <w:trPr>
          <w:trHeight w:val="340"/>
        </w:trPr>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סה"כ</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9,406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10,950</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10,406</w:t>
            </w:r>
          </w:p>
        </w:tc>
        <w:tc>
          <w:tcPr>
            <w:tcW w:w="164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vAlign w:val="center"/>
            <w:hideMark/>
          </w:tcPr>
          <w:p w:rsidR="00E131D6" w:rsidRPr="00780B3D" w:rsidRDefault="00780B3D" w:rsidP="00780B3D">
            <w:pPr>
              <w:jc w:val="center"/>
              <w:rPr>
                <w:rFonts w:ascii="Arial" w:hAnsi="Arial"/>
                <w:b w:val="0"/>
                <w:sz w:val="24"/>
              </w:rPr>
            </w:pPr>
            <w:r w:rsidRPr="00780B3D">
              <w:rPr>
                <w:rFonts w:ascii="Arial" w:hAnsi="Arial"/>
                <w:bCs/>
                <w:sz w:val="24"/>
                <w:rtl/>
              </w:rPr>
              <w:t>12,073</w:t>
            </w:r>
          </w:p>
        </w:tc>
      </w:tr>
    </w:tbl>
    <w:p w:rsidR="00780B3D" w:rsidRPr="00780B3D" w:rsidRDefault="00780B3D" w:rsidP="00804C1C">
      <w:pPr>
        <w:jc w:val="both"/>
        <w:rPr>
          <w:rFonts w:ascii="Arial" w:hAnsi="Arial"/>
          <w:b w:val="0"/>
          <w:sz w:val="24"/>
          <w:rtl/>
        </w:rPr>
      </w:pPr>
    </w:p>
    <w:p w:rsidR="00804C1C" w:rsidRPr="00662D4D" w:rsidRDefault="00804C1C" w:rsidP="00804C1C">
      <w:pPr>
        <w:jc w:val="both"/>
        <w:rPr>
          <w:rFonts w:ascii="Arial" w:hAnsi="Arial"/>
          <w:b w:val="0"/>
          <w:sz w:val="24"/>
          <w:rtl/>
        </w:rPr>
      </w:pPr>
    </w:p>
    <w:p w:rsidR="00804C1C" w:rsidRPr="00662D4D" w:rsidRDefault="00804C1C" w:rsidP="003372E2">
      <w:pPr>
        <w:jc w:val="both"/>
        <w:rPr>
          <w:rFonts w:ascii="Arial" w:hAnsi="Arial"/>
          <w:b w:val="0"/>
          <w:sz w:val="24"/>
          <w:rtl/>
        </w:rPr>
      </w:pPr>
      <w:r w:rsidRPr="00662D4D">
        <w:rPr>
          <w:rFonts w:ascii="Arial" w:hAnsi="Arial" w:hint="cs"/>
          <w:b w:val="0"/>
          <w:sz w:val="24"/>
          <w:rtl/>
        </w:rPr>
        <w:t xml:space="preserve">מתוך סך הקבילות נגד קופות החולים בהן הסתיים הטיפול בנציבות </w:t>
      </w:r>
      <w:r w:rsidR="003372E2">
        <w:rPr>
          <w:rFonts w:ascii="Arial" w:hAnsi="Arial" w:hint="cs"/>
          <w:b w:val="0"/>
          <w:sz w:val="24"/>
          <w:rtl/>
        </w:rPr>
        <w:t>בתקופת הדוח</w:t>
      </w:r>
      <w:r w:rsidRPr="00662D4D">
        <w:rPr>
          <w:rFonts w:ascii="Arial" w:hAnsi="Arial" w:hint="cs"/>
          <w:b w:val="0"/>
          <w:sz w:val="24"/>
          <w:rtl/>
        </w:rPr>
        <w:t>, 27.2% מהקבילות</w:t>
      </w:r>
      <w:r w:rsidR="003372E2">
        <w:rPr>
          <w:rFonts w:ascii="Arial" w:hAnsi="Arial" w:hint="cs"/>
          <w:b w:val="0"/>
          <w:sz w:val="24"/>
          <w:rtl/>
        </w:rPr>
        <w:t xml:space="preserve"> בשנת 2013</w:t>
      </w:r>
      <w:r w:rsidRPr="00662D4D">
        <w:rPr>
          <w:rFonts w:ascii="Arial" w:hAnsi="Arial" w:hint="cs"/>
          <w:b w:val="0"/>
          <w:sz w:val="24"/>
          <w:rtl/>
        </w:rPr>
        <w:t xml:space="preserve"> נמצאו מוצדקות</w:t>
      </w:r>
      <w:r w:rsidR="003372E2">
        <w:rPr>
          <w:rFonts w:ascii="Arial" w:hAnsi="Arial" w:hint="cs"/>
          <w:b w:val="0"/>
          <w:sz w:val="24"/>
          <w:rtl/>
        </w:rPr>
        <w:t xml:space="preserve"> ו</w:t>
      </w:r>
      <w:r w:rsidRPr="00662D4D">
        <w:rPr>
          <w:rFonts w:ascii="Arial" w:hAnsi="Arial" w:hint="cs"/>
          <w:b w:val="0"/>
          <w:sz w:val="24"/>
          <w:rtl/>
        </w:rPr>
        <w:t xml:space="preserve"> </w:t>
      </w:r>
      <w:r w:rsidR="003372E2">
        <w:rPr>
          <w:rFonts w:ascii="Arial" w:hAnsi="Arial"/>
          <w:b w:val="0"/>
          <w:sz w:val="24"/>
          <w:rtl/>
        </w:rPr>
        <w:t>–</w:t>
      </w:r>
      <w:r w:rsidR="003372E2">
        <w:rPr>
          <w:rFonts w:ascii="Arial" w:hAnsi="Arial" w:hint="cs"/>
          <w:b w:val="0"/>
          <w:sz w:val="24"/>
          <w:rtl/>
        </w:rPr>
        <w:t xml:space="preserve"> 25.3% בשנת 2014 . </w:t>
      </w:r>
      <w:r w:rsidRPr="00662D4D">
        <w:rPr>
          <w:rFonts w:ascii="Arial" w:hAnsi="Arial" w:hint="cs"/>
          <w:b w:val="0"/>
          <w:sz w:val="24"/>
          <w:rtl/>
        </w:rPr>
        <w:t>בנוסף, ב</w:t>
      </w:r>
      <w:r w:rsidR="003372E2">
        <w:rPr>
          <w:rFonts w:ascii="Arial" w:hAnsi="Arial" w:hint="cs"/>
          <w:b w:val="0"/>
          <w:sz w:val="24"/>
          <w:rtl/>
        </w:rPr>
        <w:t xml:space="preserve"> - 1</w:t>
      </w:r>
      <w:r w:rsidRPr="00662D4D">
        <w:rPr>
          <w:rFonts w:ascii="Arial" w:hAnsi="Arial" w:hint="cs"/>
          <w:b w:val="0"/>
          <w:sz w:val="24"/>
          <w:rtl/>
        </w:rPr>
        <w:t>2.1%</w:t>
      </w:r>
      <w:r w:rsidR="003372E2">
        <w:rPr>
          <w:rFonts w:ascii="Arial" w:hAnsi="Arial" w:hint="cs"/>
          <w:b w:val="0"/>
          <w:sz w:val="24"/>
          <w:rtl/>
        </w:rPr>
        <w:t xml:space="preserve">  מ</w:t>
      </w:r>
      <w:r w:rsidRPr="00662D4D">
        <w:rPr>
          <w:rFonts w:ascii="Arial" w:hAnsi="Arial" w:hint="cs"/>
          <w:b w:val="0"/>
          <w:sz w:val="24"/>
          <w:rtl/>
        </w:rPr>
        <w:t xml:space="preserve">הקבילות </w:t>
      </w:r>
      <w:r w:rsidR="003372E2">
        <w:rPr>
          <w:rFonts w:ascii="Arial" w:hAnsi="Arial" w:hint="cs"/>
          <w:b w:val="0"/>
          <w:sz w:val="24"/>
          <w:rtl/>
        </w:rPr>
        <w:t xml:space="preserve"> בשנת 2013 וב- 13.1% מהקבילות בשנת 2014, </w:t>
      </w:r>
      <w:r w:rsidRPr="00662D4D">
        <w:rPr>
          <w:rFonts w:ascii="Arial" w:hAnsi="Arial" w:hint="cs"/>
          <w:b w:val="0"/>
          <w:sz w:val="24"/>
          <w:rtl/>
        </w:rPr>
        <w:t>הבעיה באה על פתרונה לאחר התערבות הנציבות</w:t>
      </w:r>
      <w:r w:rsidR="003372E2">
        <w:rPr>
          <w:rFonts w:ascii="Arial" w:hAnsi="Arial" w:hint="cs"/>
          <w:b w:val="0"/>
          <w:sz w:val="24"/>
          <w:rtl/>
        </w:rPr>
        <w:t>.</w:t>
      </w:r>
      <w:r w:rsidRPr="00662D4D">
        <w:rPr>
          <w:rFonts w:ascii="Arial" w:hAnsi="Arial" w:hint="cs"/>
          <w:b w:val="0"/>
          <w:sz w:val="24"/>
          <w:rtl/>
        </w:rPr>
        <w:t xml:space="preserve"> ב-8.5% מהקבילות</w:t>
      </w:r>
      <w:r w:rsidR="003372E2">
        <w:rPr>
          <w:rFonts w:ascii="Arial" w:hAnsi="Arial" w:hint="cs"/>
          <w:b w:val="0"/>
          <w:sz w:val="24"/>
          <w:rtl/>
        </w:rPr>
        <w:t xml:space="preserve"> בשנת 2013 וב - 10.5% בשנת 2014</w:t>
      </w:r>
      <w:r w:rsidRPr="00662D4D">
        <w:rPr>
          <w:rFonts w:ascii="Arial" w:hAnsi="Arial" w:hint="cs"/>
          <w:b w:val="0"/>
          <w:sz w:val="24"/>
          <w:rtl/>
        </w:rPr>
        <w:t xml:space="preserve"> ניתן מידע והכוונה לסיוע.</w:t>
      </w:r>
    </w:p>
    <w:p w:rsidR="00804C1C" w:rsidRPr="00662D4D" w:rsidRDefault="00804C1C" w:rsidP="00804C1C">
      <w:pPr>
        <w:jc w:val="both"/>
        <w:rPr>
          <w:rFonts w:ascii="Arial" w:hAnsi="Arial"/>
          <w:b w:val="0"/>
          <w:sz w:val="24"/>
          <w:rtl/>
        </w:rPr>
      </w:pPr>
    </w:p>
    <w:p w:rsidR="00D500AF" w:rsidRDefault="00D500AF" w:rsidP="00804C1C">
      <w:pPr>
        <w:jc w:val="both"/>
        <w:rPr>
          <w:rFonts w:ascii="Arial" w:hAnsi="Arial"/>
          <w:b w:val="0"/>
          <w:sz w:val="24"/>
          <w:rtl/>
        </w:rPr>
      </w:pPr>
    </w:p>
    <w:p w:rsidR="00D64248" w:rsidRDefault="00804C1C" w:rsidP="003372E2">
      <w:pPr>
        <w:jc w:val="both"/>
        <w:rPr>
          <w:rFonts w:ascii="Arial" w:hAnsi="Arial"/>
          <w:b w:val="0"/>
          <w:sz w:val="24"/>
          <w:rtl/>
        </w:rPr>
      </w:pPr>
      <w:r w:rsidRPr="00662D4D">
        <w:rPr>
          <w:rFonts w:ascii="Arial" w:hAnsi="Arial" w:hint="cs"/>
          <w:b w:val="0"/>
          <w:sz w:val="24"/>
          <w:rtl/>
        </w:rPr>
        <w:t xml:space="preserve">בקבילות נגד </w:t>
      </w:r>
      <w:r w:rsidRPr="003372E2">
        <w:rPr>
          <w:rFonts w:ascii="Arial" w:hAnsi="Arial" w:hint="cs"/>
          <w:bCs/>
          <w:sz w:val="24"/>
          <w:rtl/>
        </w:rPr>
        <w:t>שירותי בריאות כללית</w:t>
      </w:r>
      <w:r w:rsidRPr="00662D4D">
        <w:rPr>
          <w:rFonts w:ascii="Arial" w:hAnsi="Arial" w:hint="cs"/>
          <w:b w:val="0"/>
          <w:sz w:val="24"/>
          <w:rtl/>
        </w:rPr>
        <w:t xml:space="preserve"> ניכרה בשנים האחרונות ירידה כמעט רציפה בשיעור הקבילות לנפשות מתוקננות</w:t>
      </w:r>
      <w:r w:rsidR="003372E2">
        <w:rPr>
          <w:rFonts w:ascii="Arial" w:hAnsi="Arial" w:hint="cs"/>
          <w:b w:val="0"/>
          <w:sz w:val="24"/>
          <w:rtl/>
        </w:rPr>
        <w:t xml:space="preserve">. </w:t>
      </w:r>
      <w:r w:rsidRPr="00662D4D">
        <w:rPr>
          <w:rFonts w:ascii="Arial" w:hAnsi="Arial" w:hint="cs"/>
          <w:b w:val="0"/>
          <w:sz w:val="24"/>
          <w:rtl/>
        </w:rPr>
        <w:t>בתקופת הדוח הנוכחי, בחישוב לפי נפשות מתוקננות, נותרה "כללית" הקופה בעלת שיעור הקבילות הנמוך ביותר</w:t>
      </w:r>
      <w:r w:rsidR="00D64248">
        <w:rPr>
          <w:rFonts w:ascii="Arial" w:hAnsi="Arial" w:hint="cs"/>
          <w:b w:val="0"/>
          <w:sz w:val="24"/>
          <w:rtl/>
        </w:rPr>
        <w:t xml:space="preserve"> (5.6 ו- 6.3 ל- 10,000 נפשות מתוקננות בשנים 2013 ו- 2014 בהתאמה)</w:t>
      </w:r>
      <w:r w:rsidRPr="00662D4D">
        <w:rPr>
          <w:rFonts w:ascii="Arial" w:hAnsi="Arial" w:hint="cs"/>
          <w:b w:val="0"/>
          <w:sz w:val="24"/>
          <w:rtl/>
        </w:rPr>
        <w:t xml:space="preserve">. </w:t>
      </w:r>
    </w:p>
    <w:p w:rsidR="003372E2" w:rsidRDefault="003372E2" w:rsidP="003372E2">
      <w:pPr>
        <w:jc w:val="both"/>
        <w:rPr>
          <w:rFonts w:ascii="Arial" w:hAnsi="Arial"/>
          <w:b w:val="0"/>
          <w:sz w:val="24"/>
          <w:rtl/>
        </w:rPr>
      </w:pPr>
    </w:p>
    <w:p w:rsidR="00804C1C" w:rsidRDefault="00804C1C" w:rsidP="003372E2">
      <w:pPr>
        <w:jc w:val="both"/>
        <w:rPr>
          <w:rFonts w:ascii="Arial" w:hAnsi="Arial"/>
          <w:b w:val="0"/>
          <w:sz w:val="24"/>
          <w:rtl/>
        </w:rPr>
      </w:pPr>
      <w:r w:rsidRPr="003372E2">
        <w:rPr>
          <w:rFonts w:ascii="Arial" w:hAnsi="Arial" w:hint="cs"/>
          <w:bCs/>
          <w:sz w:val="24"/>
          <w:rtl/>
        </w:rPr>
        <w:t>מכבי שירותי בריאות</w:t>
      </w:r>
      <w:r w:rsidRPr="00662D4D">
        <w:rPr>
          <w:rFonts w:ascii="Arial" w:hAnsi="Arial" w:hint="cs"/>
          <w:b w:val="0"/>
          <w:sz w:val="24"/>
          <w:rtl/>
        </w:rPr>
        <w:t xml:space="preserve"> הייתה </w:t>
      </w:r>
      <w:r w:rsidR="00D64248">
        <w:rPr>
          <w:rFonts w:ascii="Arial" w:hAnsi="Arial" w:hint="cs"/>
          <w:b w:val="0"/>
          <w:sz w:val="24"/>
          <w:rtl/>
        </w:rPr>
        <w:t>ב</w:t>
      </w:r>
      <w:r w:rsidRPr="00662D4D">
        <w:rPr>
          <w:rFonts w:ascii="Arial" w:hAnsi="Arial" w:hint="cs"/>
          <w:b w:val="0"/>
          <w:sz w:val="24"/>
          <w:rtl/>
        </w:rPr>
        <w:t>משך שנים ארוכות הקופה בעלת שיעור הקבילות הנמוך ביותר וגם בעלת שיעור הקבילות המוצדקות הנמוך ביותר. החל משנת 2009 חל גידול בשיעור הקבילות שהוגשו נגד הקופה. בשנת 2013 נצפתה יציבות במספר הקבילות המתוקננות נגד הקופה ובשנת 2014 חלה עלייה מסוימת, אך מכל מקום, בשתי השנים הקופה היא השנייה לאחר "כללית" במדידת שיעור הקבילות הנמוך על בסיס נפשות מתוקננות</w:t>
      </w:r>
      <w:r w:rsidR="00D64248">
        <w:rPr>
          <w:rFonts w:ascii="Arial" w:hAnsi="Arial" w:hint="cs"/>
          <w:b w:val="0"/>
          <w:sz w:val="24"/>
          <w:rtl/>
        </w:rPr>
        <w:t xml:space="preserve"> (6.8 ו- 8.0 ל- 10,000 נפשות מתוקננות בשנים 2013 ו- 2014 בהתאמה)</w:t>
      </w:r>
      <w:r w:rsidRPr="00662D4D">
        <w:rPr>
          <w:rFonts w:ascii="Arial" w:hAnsi="Arial" w:hint="cs"/>
          <w:b w:val="0"/>
          <w:sz w:val="24"/>
          <w:rtl/>
        </w:rPr>
        <w:t xml:space="preserve">. </w:t>
      </w:r>
    </w:p>
    <w:p w:rsidR="00780B3D" w:rsidRDefault="00780B3D" w:rsidP="00804C1C">
      <w:pPr>
        <w:jc w:val="both"/>
        <w:rPr>
          <w:rFonts w:ascii="Arial" w:hAnsi="Arial"/>
          <w:b w:val="0"/>
          <w:sz w:val="24"/>
          <w:rtl/>
        </w:rPr>
      </w:pPr>
    </w:p>
    <w:p w:rsidR="00780B3D" w:rsidRDefault="00780B3D" w:rsidP="00804C1C">
      <w:pPr>
        <w:jc w:val="both"/>
        <w:rPr>
          <w:rFonts w:ascii="Arial" w:hAnsi="Arial"/>
          <w:b w:val="0"/>
          <w:sz w:val="24"/>
          <w:rtl/>
        </w:rPr>
      </w:pPr>
    </w:p>
    <w:p w:rsidR="00804C1C" w:rsidRPr="00662D4D" w:rsidRDefault="00804C1C" w:rsidP="005520F5">
      <w:pPr>
        <w:jc w:val="both"/>
        <w:rPr>
          <w:rFonts w:ascii="Arial" w:hAnsi="Arial"/>
          <w:b w:val="0"/>
          <w:sz w:val="24"/>
          <w:rtl/>
        </w:rPr>
      </w:pPr>
      <w:r w:rsidRPr="00662D4D">
        <w:rPr>
          <w:rFonts w:ascii="Arial" w:hAnsi="Arial" w:hint="cs"/>
          <w:b w:val="0"/>
          <w:sz w:val="24"/>
          <w:rtl/>
        </w:rPr>
        <w:t xml:space="preserve">בקבילות נגד </w:t>
      </w:r>
      <w:r w:rsidRPr="003372E2">
        <w:rPr>
          <w:rFonts w:ascii="Arial" w:hAnsi="Arial" w:hint="cs"/>
          <w:bCs/>
          <w:sz w:val="24"/>
          <w:rtl/>
        </w:rPr>
        <w:t>קופת חולים מאוחדת</w:t>
      </w:r>
      <w:r w:rsidRPr="00662D4D">
        <w:rPr>
          <w:rFonts w:ascii="Arial" w:hAnsi="Arial" w:hint="cs"/>
          <w:b w:val="0"/>
          <w:sz w:val="24"/>
          <w:rtl/>
        </w:rPr>
        <w:t xml:space="preserve"> חלה עלייה בתקופת הדוח, העלייה בולטת במיוחד בשנת 2014. בשנה זו קופת חולים מאוחדת היא הקופה בעלת שיעור הקבילות המתוקננות הגבוה ביותר (10.0 ל-10,000 נפשות מתוקננות) </w:t>
      </w:r>
    </w:p>
    <w:p w:rsidR="00804C1C" w:rsidRPr="00662D4D" w:rsidRDefault="00804C1C" w:rsidP="00804C1C">
      <w:pPr>
        <w:jc w:val="both"/>
        <w:rPr>
          <w:rFonts w:ascii="Arial" w:hAnsi="Arial"/>
          <w:b w:val="0"/>
          <w:sz w:val="24"/>
          <w:rtl/>
        </w:rPr>
      </w:pPr>
    </w:p>
    <w:p w:rsidR="00804C1C" w:rsidRPr="00662D4D" w:rsidRDefault="00804C1C" w:rsidP="00804C1C">
      <w:pPr>
        <w:jc w:val="both"/>
        <w:rPr>
          <w:rFonts w:ascii="Arial" w:hAnsi="Arial"/>
          <w:b w:val="0"/>
          <w:sz w:val="24"/>
          <w:rtl/>
        </w:rPr>
      </w:pPr>
      <w:r w:rsidRPr="00621F18">
        <w:rPr>
          <w:rFonts w:ascii="Arial" w:hAnsi="Arial" w:hint="cs"/>
          <w:b w:val="0"/>
          <w:sz w:val="24"/>
          <w:rtl/>
        </w:rPr>
        <w:t>העלייה בקבילות נגד קופת חולים מאוחדת בשנת 2014, בולטת מאוד גם בבחינת שיעור הקבילות</w:t>
      </w:r>
      <w:r w:rsidRPr="00662D4D">
        <w:rPr>
          <w:rFonts w:ascii="Arial" w:hAnsi="Arial" w:hint="cs"/>
          <w:b w:val="0"/>
          <w:sz w:val="24"/>
          <w:rtl/>
        </w:rPr>
        <w:t xml:space="preserve"> שנקבעו כמוצדקות, ל-10,000 נפשות מתוקננות ( 1.92 בשנת 2013 בהשוואה ל-2.65 בשנת 2014).</w:t>
      </w:r>
    </w:p>
    <w:p w:rsidR="00804C1C" w:rsidRPr="00662D4D" w:rsidRDefault="00804C1C"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5520F5" w:rsidRDefault="005520F5" w:rsidP="00804C1C">
      <w:pPr>
        <w:jc w:val="both"/>
        <w:rPr>
          <w:rFonts w:ascii="Arial" w:hAnsi="Arial"/>
          <w:b w:val="0"/>
          <w:sz w:val="24"/>
          <w:rtl/>
        </w:rPr>
      </w:pPr>
    </w:p>
    <w:p w:rsidR="004905A5" w:rsidRDefault="004905A5" w:rsidP="005520F5">
      <w:pPr>
        <w:jc w:val="both"/>
        <w:rPr>
          <w:rFonts w:ascii="Arial" w:hAnsi="Arial"/>
          <w:bCs/>
          <w:sz w:val="24"/>
          <w:rtl/>
        </w:rPr>
      </w:pPr>
    </w:p>
    <w:p w:rsidR="004905A5" w:rsidRDefault="004905A5" w:rsidP="005520F5">
      <w:pPr>
        <w:jc w:val="both"/>
        <w:rPr>
          <w:rFonts w:ascii="Arial" w:hAnsi="Arial"/>
          <w:bCs/>
          <w:sz w:val="24"/>
          <w:rtl/>
        </w:rPr>
      </w:pPr>
    </w:p>
    <w:p w:rsidR="005520F5" w:rsidRDefault="005520F5" w:rsidP="005520F5">
      <w:pPr>
        <w:jc w:val="both"/>
        <w:rPr>
          <w:rFonts w:ascii="Arial" w:hAnsi="Arial"/>
          <w:b w:val="0"/>
          <w:sz w:val="24"/>
          <w:rtl/>
        </w:rPr>
      </w:pPr>
      <w:r>
        <w:rPr>
          <w:rFonts w:ascii="Arial" w:hAnsi="Arial" w:hint="cs"/>
          <w:bCs/>
          <w:sz w:val="24"/>
          <w:rtl/>
        </w:rPr>
        <w:t>ב</w:t>
      </w:r>
      <w:r w:rsidR="00804C1C" w:rsidRPr="005520F5">
        <w:rPr>
          <w:rFonts w:ascii="Arial" w:hAnsi="Arial" w:hint="cs"/>
          <w:bCs/>
          <w:sz w:val="24"/>
          <w:rtl/>
        </w:rPr>
        <w:t>קופת חולים לאומית</w:t>
      </w:r>
      <w:r>
        <w:rPr>
          <w:rFonts w:ascii="Arial" w:hAnsi="Arial" w:hint="cs"/>
          <w:b w:val="0"/>
          <w:sz w:val="24"/>
          <w:rtl/>
        </w:rPr>
        <w:t xml:space="preserve"> בשנת  2013 נשמרה יציבות במספר הקבילות לנפשות המתוקננות ואולם היא נותרה</w:t>
      </w:r>
      <w:r w:rsidR="00804C1C" w:rsidRPr="00662D4D">
        <w:rPr>
          <w:rFonts w:ascii="Arial" w:hAnsi="Arial" w:hint="cs"/>
          <w:b w:val="0"/>
          <w:sz w:val="24"/>
          <w:rtl/>
        </w:rPr>
        <w:t xml:space="preserve"> הקופה בעלת שיעור הקבילות המתוקננות הגבוה ביותר (8.</w:t>
      </w:r>
      <w:r>
        <w:rPr>
          <w:rFonts w:ascii="Arial" w:hAnsi="Arial" w:hint="cs"/>
          <w:b w:val="0"/>
          <w:sz w:val="24"/>
          <w:rtl/>
        </w:rPr>
        <w:t>4</w:t>
      </w:r>
      <w:r w:rsidR="00804C1C" w:rsidRPr="00662D4D">
        <w:rPr>
          <w:rFonts w:ascii="Arial" w:hAnsi="Arial" w:hint="cs"/>
          <w:b w:val="0"/>
          <w:sz w:val="24"/>
          <w:rtl/>
        </w:rPr>
        <w:t xml:space="preserve"> ל-10,000 נפשות מתוקננות)</w:t>
      </w:r>
      <w:r>
        <w:rPr>
          <w:rFonts w:ascii="Arial" w:hAnsi="Arial" w:hint="cs"/>
          <w:b w:val="0"/>
          <w:sz w:val="24"/>
          <w:rtl/>
        </w:rPr>
        <w:t xml:space="preserve">. בשנת 2014 חלה עלייה בשיעור הקבילות גם לגבי קופת חולים לאומית (9.3  </w:t>
      </w:r>
      <w:r w:rsidRPr="00662D4D">
        <w:rPr>
          <w:rFonts w:ascii="Arial" w:hAnsi="Arial" w:hint="cs"/>
          <w:b w:val="0"/>
          <w:sz w:val="24"/>
          <w:rtl/>
        </w:rPr>
        <w:t>ל-10,000 נפשות</w:t>
      </w:r>
      <w:r>
        <w:rPr>
          <w:rFonts w:ascii="Arial" w:hAnsi="Arial" w:hint="cs"/>
          <w:b w:val="0"/>
          <w:sz w:val="24"/>
          <w:rtl/>
        </w:rPr>
        <w:t xml:space="preserve"> </w:t>
      </w:r>
      <w:r w:rsidRPr="00662D4D">
        <w:rPr>
          <w:rFonts w:ascii="Arial" w:hAnsi="Arial" w:hint="cs"/>
          <w:b w:val="0"/>
          <w:sz w:val="24"/>
          <w:rtl/>
        </w:rPr>
        <w:t>מתוקננות</w:t>
      </w:r>
      <w:r>
        <w:rPr>
          <w:rFonts w:ascii="Arial" w:hAnsi="Arial" w:hint="cs"/>
          <w:b w:val="0"/>
          <w:sz w:val="24"/>
          <w:rtl/>
        </w:rPr>
        <w:t>).  עם זאת, בשנה זו, כמצויין לעיל, קופת חולים מאוחדת היא בעלת שיעור הקבילות הגבוה ביותר לנפשות משוקללות.</w:t>
      </w:r>
    </w:p>
    <w:p w:rsidR="005520F5" w:rsidRDefault="005520F5" w:rsidP="005520F5">
      <w:pPr>
        <w:jc w:val="both"/>
        <w:rPr>
          <w:rFonts w:ascii="Arial" w:hAnsi="Arial"/>
          <w:b w:val="0"/>
          <w:sz w:val="24"/>
          <w:rtl/>
        </w:rPr>
      </w:pPr>
    </w:p>
    <w:p w:rsidR="00804C1C" w:rsidRPr="00662D4D" w:rsidRDefault="00804C1C" w:rsidP="00804C1C">
      <w:pPr>
        <w:jc w:val="both"/>
        <w:rPr>
          <w:rFonts w:ascii="Arial" w:hAnsi="Arial"/>
          <w:b w:val="0"/>
          <w:sz w:val="24"/>
          <w:rtl/>
        </w:rPr>
      </w:pPr>
    </w:p>
    <w:p w:rsidR="00621F18" w:rsidRDefault="00804C1C" w:rsidP="00621F18">
      <w:pPr>
        <w:jc w:val="both"/>
        <w:rPr>
          <w:rFonts w:ascii="Arial" w:hAnsi="Arial"/>
          <w:b w:val="0"/>
          <w:sz w:val="24"/>
          <w:rtl/>
        </w:rPr>
      </w:pPr>
      <w:r w:rsidRPr="00662D4D">
        <w:rPr>
          <w:rFonts w:ascii="Arial" w:hAnsi="Arial" w:hint="cs"/>
          <w:b w:val="0"/>
          <w:sz w:val="24"/>
          <w:rtl/>
        </w:rPr>
        <w:t>מגמה אחידה נצפתה בכל אחת מקופות החולים, כאשר מספר הקבילות ל-10,000 נפשות מתוקננות, גדל בשנת 2014 בהשוואה לשנת 2013. סה"כ מס' הקבילות המתוקננות נגד כלל קופות החולים, שעמד על 6.3 ל-10,000 נפשות מתוקננות בשנת 2013 , הגיע ל-7.4 ל-10,000 נפשות מתוקננות, בשנת 2014</w:t>
      </w:r>
      <w:r w:rsidRPr="00621F18">
        <w:rPr>
          <w:rFonts w:ascii="Arial" w:hAnsi="Arial" w:hint="cs"/>
          <w:b w:val="0"/>
          <w:sz w:val="24"/>
          <w:rtl/>
        </w:rPr>
        <w:t>.</w:t>
      </w:r>
      <w:r w:rsidR="00621F18" w:rsidRPr="00621F18">
        <w:rPr>
          <w:rFonts w:ascii="Arial" w:hAnsi="Arial" w:hint="cs"/>
          <w:b w:val="0"/>
          <w:sz w:val="24"/>
          <w:rtl/>
        </w:rPr>
        <w:t xml:space="preserve"> </w:t>
      </w:r>
    </w:p>
    <w:p w:rsidR="00621F18" w:rsidRDefault="00621F18" w:rsidP="00621F18">
      <w:pPr>
        <w:jc w:val="both"/>
        <w:rPr>
          <w:rFonts w:ascii="Arial" w:hAnsi="Arial"/>
          <w:b w:val="0"/>
          <w:sz w:val="24"/>
          <w:rtl/>
        </w:rPr>
      </w:pPr>
    </w:p>
    <w:p w:rsidR="00780B3D" w:rsidRDefault="00804C1C" w:rsidP="004905A5">
      <w:pPr>
        <w:jc w:val="both"/>
        <w:rPr>
          <w:rFonts w:ascii="Arial" w:hAnsi="Arial"/>
          <w:b w:val="0"/>
          <w:sz w:val="24"/>
          <w:rtl/>
        </w:rPr>
      </w:pPr>
      <w:r w:rsidRPr="00662D4D">
        <w:rPr>
          <w:rFonts w:ascii="Arial" w:hAnsi="Arial" w:hint="cs"/>
          <w:b w:val="0"/>
          <w:sz w:val="24"/>
          <w:rtl/>
        </w:rPr>
        <w:t>שיעור</w:t>
      </w:r>
      <w:r w:rsidR="00B819C9">
        <w:rPr>
          <w:rFonts w:ascii="Arial" w:hAnsi="Arial" w:hint="cs"/>
          <w:b w:val="0"/>
          <w:sz w:val="24"/>
          <w:rtl/>
        </w:rPr>
        <w:t>י</w:t>
      </w:r>
      <w:r w:rsidRPr="00662D4D">
        <w:rPr>
          <w:rFonts w:ascii="Arial" w:hAnsi="Arial" w:hint="cs"/>
          <w:b w:val="0"/>
          <w:sz w:val="24"/>
          <w:rtl/>
        </w:rPr>
        <w:t xml:space="preserve"> הקבילות שנקבעו כמוצדקות</w:t>
      </w:r>
      <w:r w:rsidR="00B819C9">
        <w:rPr>
          <w:rFonts w:ascii="Arial" w:hAnsi="Arial" w:hint="cs"/>
          <w:b w:val="0"/>
          <w:sz w:val="24"/>
          <w:rtl/>
        </w:rPr>
        <w:t xml:space="preserve"> על בסיס נפשות מתוקננות</w:t>
      </w:r>
      <w:r w:rsidRPr="00662D4D">
        <w:rPr>
          <w:rFonts w:ascii="Arial" w:hAnsi="Arial" w:hint="cs"/>
          <w:b w:val="0"/>
          <w:sz w:val="24"/>
          <w:rtl/>
        </w:rPr>
        <w:t xml:space="preserve">, </w:t>
      </w:r>
      <w:r w:rsidR="00B819C9">
        <w:rPr>
          <w:rFonts w:ascii="Arial" w:hAnsi="Arial" w:hint="cs"/>
          <w:b w:val="0"/>
          <w:sz w:val="24"/>
          <w:rtl/>
        </w:rPr>
        <w:t>מוצגים בגרף שלמטה. כמוצג בגרף</w:t>
      </w:r>
      <w:r w:rsidRPr="00662D4D">
        <w:rPr>
          <w:rFonts w:ascii="Arial" w:hAnsi="Arial" w:hint="cs"/>
          <w:b w:val="0"/>
          <w:sz w:val="24"/>
          <w:rtl/>
        </w:rPr>
        <w:t xml:space="preserve"> </w:t>
      </w:r>
      <w:r w:rsidR="00B819C9">
        <w:rPr>
          <w:rFonts w:ascii="Arial" w:hAnsi="Arial" w:hint="cs"/>
          <w:b w:val="0"/>
          <w:sz w:val="24"/>
          <w:rtl/>
        </w:rPr>
        <w:t xml:space="preserve">בשנים 2013 ו- 2014 </w:t>
      </w:r>
      <w:r w:rsidR="00B819C9" w:rsidRPr="00D64248">
        <w:rPr>
          <w:rFonts w:ascii="Arial" w:hAnsi="Arial" w:hint="cs"/>
          <w:b w:val="0"/>
          <w:sz w:val="24"/>
          <w:rtl/>
        </w:rPr>
        <w:t>שיעור הקבילות המוצדקות הנמוך ביותר היה ב"כללית" (1.</w:t>
      </w:r>
      <w:r w:rsidR="00B819C9">
        <w:rPr>
          <w:rFonts w:ascii="Arial" w:hAnsi="Arial" w:hint="cs"/>
          <w:b w:val="0"/>
          <w:sz w:val="24"/>
          <w:rtl/>
        </w:rPr>
        <w:t xml:space="preserve">55 ו-  1.60 בהתאמה </w:t>
      </w:r>
      <w:r w:rsidR="00B819C9" w:rsidRPr="00D64248">
        <w:rPr>
          <w:rFonts w:ascii="Arial" w:hAnsi="Arial" w:hint="cs"/>
          <w:b w:val="0"/>
          <w:sz w:val="24"/>
          <w:rtl/>
        </w:rPr>
        <w:t xml:space="preserve">) </w:t>
      </w:r>
      <w:r w:rsidR="00B819C9">
        <w:rPr>
          <w:rFonts w:ascii="Arial" w:hAnsi="Arial" w:hint="cs"/>
          <w:b w:val="0"/>
          <w:sz w:val="24"/>
          <w:rtl/>
        </w:rPr>
        <w:t xml:space="preserve">. שיעור הקבילות המוצדקות </w:t>
      </w:r>
      <w:r w:rsidR="00B819C9" w:rsidRPr="00D64248">
        <w:rPr>
          <w:rFonts w:ascii="Arial" w:hAnsi="Arial" w:hint="cs"/>
          <w:b w:val="0"/>
          <w:sz w:val="24"/>
          <w:rtl/>
        </w:rPr>
        <w:t>הגבוה ביותר</w:t>
      </w:r>
      <w:r w:rsidR="00B819C9">
        <w:rPr>
          <w:rFonts w:ascii="Arial" w:hAnsi="Arial" w:hint="cs"/>
          <w:b w:val="0"/>
          <w:sz w:val="24"/>
          <w:rtl/>
        </w:rPr>
        <w:t xml:space="preserve"> בשנת 2013 היה ב"לאומית" (2.1)</w:t>
      </w:r>
      <w:r w:rsidR="00B819C9" w:rsidRPr="00D64248">
        <w:rPr>
          <w:rFonts w:ascii="Arial" w:hAnsi="Arial" w:hint="cs"/>
          <w:b w:val="0"/>
          <w:sz w:val="24"/>
          <w:rtl/>
        </w:rPr>
        <w:t xml:space="preserve"> </w:t>
      </w:r>
      <w:r w:rsidR="00B819C9">
        <w:rPr>
          <w:rFonts w:ascii="Arial" w:hAnsi="Arial" w:hint="cs"/>
          <w:b w:val="0"/>
          <w:sz w:val="24"/>
          <w:rtl/>
        </w:rPr>
        <w:t xml:space="preserve">ובשנת 2014 </w:t>
      </w:r>
      <w:r w:rsidR="00B819C9" w:rsidRPr="00D64248">
        <w:rPr>
          <w:rFonts w:ascii="Arial" w:hAnsi="Arial" w:hint="cs"/>
          <w:b w:val="0"/>
          <w:sz w:val="24"/>
          <w:rtl/>
        </w:rPr>
        <w:t>ב"מאוחדת" (2.65).</w:t>
      </w:r>
    </w:p>
    <w:p w:rsidR="00D500AF" w:rsidRDefault="00D500AF" w:rsidP="00621F18">
      <w:pPr>
        <w:jc w:val="both"/>
        <w:rPr>
          <w:rFonts w:ascii="Arial" w:hAnsi="Arial"/>
          <w:b w:val="0"/>
          <w:sz w:val="24"/>
          <w:rtl/>
        </w:rPr>
      </w:pPr>
    </w:p>
    <w:p w:rsidR="00D500AF" w:rsidRDefault="003E3012" w:rsidP="00621F18">
      <w:pPr>
        <w:jc w:val="both"/>
        <w:rPr>
          <w:rFonts w:ascii="Arial" w:hAnsi="Arial"/>
          <w:b w:val="0"/>
          <w:sz w:val="24"/>
        </w:rPr>
      </w:pPr>
      <w:r>
        <w:rPr>
          <w:rFonts w:ascii="Arial" w:hAnsi="Arial"/>
          <w:b w:val="0"/>
          <w:noProof/>
          <w:sz w:val="24"/>
        </w:rPr>
        <w:drawing>
          <wp:inline distT="0" distB="0" distL="0" distR="0" wp14:anchorId="20E77134">
            <wp:extent cx="5243911" cy="3457575"/>
            <wp:effectExtent l="19050" t="19050" r="13970" b="952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1963" cy="3462884"/>
                    </a:xfrm>
                    <a:prstGeom prst="rect">
                      <a:avLst/>
                    </a:prstGeom>
                    <a:noFill/>
                    <a:ln>
                      <a:solidFill>
                        <a:schemeClr val="tx1"/>
                      </a:solidFill>
                    </a:ln>
                  </pic:spPr>
                </pic:pic>
              </a:graphicData>
            </a:graphic>
          </wp:inline>
        </w:drawing>
      </w:r>
    </w:p>
    <w:p w:rsidR="00557B30" w:rsidRDefault="00557B30" w:rsidP="00621F18">
      <w:pPr>
        <w:jc w:val="both"/>
        <w:rPr>
          <w:rFonts w:ascii="Arial" w:hAnsi="Arial"/>
          <w:b w:val="0"/>
          <w:sz w:val="24"/>
          <w:highlight w:val="yellow"/>
          <w:rtl/>
        </w:rPr>
      </w:pPr>
    </w:p>
    <w:p w:rsidR="00D500AF" w:rsidRPr="00557B30" w:rsidRDefault="00621F18" w:rsidP="00FA5D4F">
      <w:pPr>
        <w:jc w:val="both"/>
        <w:rPr>
          <w:rFonts w:ascii="Arial" w:hAnsi="Arial"/>
          <w:b w:val="0"/>
          <w:sz w:val="32"/>
          <w:szCs w:val="32"/>
          <w:rtl/>
        </w:rPr>
      </w:pPr>
      <w:r w:rsidRPr="00D64248">
        <w:rPr>
          <w:rFonts w:ascii="Arial" w:hAnsi="Arial" w:hint="cs"/>
          <w:b w:val="0"/>
          <w:sz w:val="24"/>
          <w:rtl/>
        </w:rPr>
        <w:t>בחינת התפלגות הקבילות לפי נושא הקבילה מעלה כי גם בתקופת דוח זה מרבית הקבילות (</w:t>
      </w:r>
      <w:r w:rsidR="00BD6786">
        <w:rPr>
          <w:rFonts w:ascii="Arial" w:hAnsi="Arial" w:hint="cs"/>
          <w:b w:val="0"/>
          <w:sz w:val="24"/>
          <w:rtl/>
        </w:rPr>
        <w:t>65% ו- 67%</w:t>
      </w:r>
      <w:r w:rsidRPr="00D64248">
        <w:rPr>
          <w:rFonts w:ascii="Arial" w:hAnsi="Arial" w:hint="cs"/>
          <w:b w:val="0"/>
          <w:sz w:val="24"/>
          <w:rtl/>
        </w:rPr>
        <w:t>) היו בנושא סל שירותי הבריאות</w:t>
      </w:r>
      <w:r w:rsidR="00B819C9">
        <w:rPr>
          <w:rFonts w:ascii="Arial" w:hAnsi="Arial" w:hint="cs"/>
          <w:b w:val="0"/>
          <w:sz w:val="24"/>
          <w:rtl/>
        </w:rPr>
        <w:t>.</w:t>
      </w:r>
      <w:r w:rsidRPr="00D64248">
        <w:rPr>
          <w:rFonts w:ascii="Arial" w:hAnsi="Arial" w:hint="cs"/>
          <w:b w:val="0"/>
          <w:sz w:val="24"/>
          <w:rtl/>
        </w:rPr>
        <w:t xml:space="preserve"> במשקלו של נושא בחירת נותן שירותים </w:t>
      </w:r>
      <w:r w:rsidR="00B819C9">
        <w:rPr>
          <w:rFonts w:ascii="Arial" w:hAnsi="Arial" w:hint="cs"/>
          <w:b w:val="0"/>
          <w:sz w:val="24"/>
          <w:rtl/>
        </w:rPr>
        <w:t xml:space="preserve">בשנים 2013 ו- 2014 </w:t>
      </w:r>
      <w:r w:rsidRPr="00D64248">
        <w:rPr>
          <w:rFonts w:ascii="Arial" w:hAnsi="Arial" w:hint="cs"/>
          <w:b w:val="0"/>
          <w:sz w:val="24"/>
          <w:rtl/>
        </w:rPr>
        <w:t>חלה עלייה מתקופת הדו"ח הקודם</w:t>
      </w:r>
      <w:r w:rsidR="00BD6786">
        <w:rPr>
          <w:rFonts w:ascii="Arial" w:hAnsi="Arial" w:hint="cs"/>
          <w:b w:val="0"/>
          <w:sz w:val="24"/>
          <w:rtl/>
        </w:rPr>
        <w:t xml:space="preserve"> והוא מהווה בדוח זה 7% ו- 9% (4% ו- 5% בדוח הקודם).</w:t>
      </w:r>
      <w:r w:rsidR="00B819C9">
        <w:rPr>
          <w:rFonts w:ascii="Arial" w:hAnsi="Arial" w:hint="cs"/>
          <w:b w:val="0"/>
          <w:sz w:val="24"/>
          <w:rtl/>
        </w:rPr>
        <w:t xml:space="preserve">  </w:t>
      </w:r>
      <w:r w:rsidR="00B819C9" w:rsidRPr="004905A5">
        <w:rPr>
          <w:rFonts w:ascii="Arial" w:hAnsi="Arial" w:hint="cs"/>
          <w:bCs/>
          <w:sz w:val="24"/>
          <w:rtl/>
        </w:rPr>
        <w:t>להתפלגות הקבילות בתחום טיפולים ובדיקות ראה בנספח לתקציר</w:t>
      </w:r>
      <w:r w:rsidR="00B819C9">
        <w:rPr>
          <w:rFonts w:ascii="Arial" w:hAnsi="Arial" w:hint="cs"/>
          <w:b w:val="0"/>
          <w:sz w:val="24"/>
          <w:rtl/>
        </w:rPr>
        <w:t>.</w:t>
      </w:r>
      <w:r w:rsidR="00557B30">
        <w:rPr>
          <w:rFonts w:ascii="Arial" w:hAnsi="Arial" w:hint="cs"/>
          <w:b w:val="0"/>
          <w:bCs/>
          <w:sz w:val="24"/>
          <w:rtl/>
        </w:rPr>
        <w:t xml:space="preserve">     </w:t>
      </w:r>
    </w:p>
    <w:p w:rsidR="004905A5" w:rsidRDefault="00557B30" w:rsidP="004905A5">
      <w:pPr>
        <w:jc w:val="both"/>
        <w:rPr>
          <w:rFonts w:ascii="Arial" w:hAnsi="Arial"/>
          <w:b w:val="0"/>
          <w:sz w:val="24"/>
          <w:rtl/>
        </w:rPr>
      </w:pPr>
      <w:r>
        <w:rPr>
          <w:rFonts w:ascii="Arial" w:hAnsi="Arial" w:hint="cs"/>
          <w:b w:val="0"/>
          <w:sz w:val="24"/>
          <w:rtl/>
        </w:rPr>
        <w:t xml:space="preserve"> </w:t>
      </w:r>
      <w:r>
        <w:rPr>
          <w:rFonts w:ascii="Arial" w:hAnsi="Arial" w:hint="cs"/>
          <w:bCs/>
          <w:sz w:val="24"/>
          <w:rtl/>
        </w:rPr>
        <w:t xml:space="preserve">       </w:t>
      </w:r>
    </w:p>
    <w:p w:rsidR="004905A5" w:rsidRDefault="004905A5" w:rsidP="004905A5">
      <w:pPr>
        <w:tabs>
          <w:tab w:val="left" w:pos="4750"/>
        </w:tabs>
        <w:jc w:val="both"/>
        <w:rPr>
          <w:rFonts w:ascii="Arial" w:hAnsi="Arial"/>
          <w:b w:val="0"/>
          <w:sz w:val="24"/>
          <w:rtl/>
        </w:rPr>
      </w:pPr>
      <w:r>
        <w:rPr>
          <w:rFonts w:ascii="Arial" w:hAnsi="Arial" w:hint="cs"/>
          <w:b w:val="0"/>
          <w:sz w:val="24"/>
          <w:rtl/>
        </w:rPr>
        <w:t xml:space="preserve">התחומים שהיוו בתקופת הדוח מוקדים בולטים לתלונות היו: שירותי חירום (פניות לחדר מיון והסעה באמבולנס) ובדיקות דימות (בעיקר </w:t>
      </w:r>
      <w:r w:rsidRPr="00060F96">
        <w:rPr>
          <w:rFonts w:ascii="Arial" w:hAnsi="Arial"/>
          <w:b w:val="0"/>
          <w:sz w:val="22"/>
          <w:szCs w:val="22"/>
        </w:rPr>
        <w:t>MRI</w:t>
      </w:r>
      <w:r>
        <w:rPr>
          <w:rFonts w:ascii="Arial" w:hAnsi="Arial"/>
          <w:b w:val="0"/>
          <w:sz w:val="24"/>
        </w:rPr>
        <w:t xml:space="preserve"> </w:t>
      </w:r>
      <w:r>
        <w:rPr>
          <w:rFonts w:ascii="Arial" w:hAnsi="Arial" w:hint="cs"/>
          <w:b w:val="0"/>
          <w:sz w:val="24"/>
          <w:rtl/>
        </w:rPr>
        <w:t xml:space="preserve"> ו- </w:t>
      </w:r>
      <w:r w:rsidRPr="00060F96">
        <w:rPr>
          <w:rFonts w:ascii="Arial" w:hAnsi="Arial"/>
          <w:b w:val="0"/>
          <w:sz w:val="22"/>
          <w:szCs w:val="22"/>
        </w:rPr>
        <w:t>PET CT</w:t>
      </w:r>
      <w:r>
        <w:rPr>
          <w:rFonts w:ascii="Arial" w:hAnsi="Arial" w:hint="cs"/>
          <w:b w:val="0"/>
          <w:sz w:val="24"/>
          <w:rtl/>
        </w:rPr>
        <w:t>).</w:t>
      </w:r>
    </w:p>
    <w:p w:rsidR="00B819C9" w:rsidRDefault="00B819C9" w:rsidP="00557B30">
      <w:pPr>
        <w:jc w:val="both"/>
        <w:rPr>
          <w:rFonts w:ascii="Arial" w:hAnsi="Arial"/>
          <w:bCs/>
          <w:sz w:val="24"/>
          <w:rtl/>
        </w:rPr>
      </w:pPr>
    </w:p>
    <w:p w:rsidR="00B819C9" w:rsidRDefault="004905A5" w:rsidP="004905A5">
      <w:pPr>
        <w:jc w:val="both"/>
        <w:rPr>
          <w:rFonts w:ascii="Arial" w:hAnsi="Arial"/>
          <w:bCs/>
          <w:sz w:val="24"/>
          <w:rtl/>
        </w:rPr>
      </w:pPr>
      <w:r w:rsidRPr="0077701A">
        <w:rPr>
          <w:rFonts w:ascii="Arial" w:hAnsi="Arial" w:hint="cs"/>
          <w:b w:val="0"/>
          <w:sz w:val="24"/>
          <w:rtl/>
        </w:rPr>
        <w:t xml:space="preserve">בנושא </w:t>
      </w:r>
      <w:r>
        <w:rPr>
          <w:rFonts w:ascii="Arial" w:hAnsi="Arial" w:hint="cs"/>
          <w:b w:val="0"/>
          <w:sz w:val="24"/>
          <w:rtl/>
        </w:rPr>
        <w:t>שירותי החירום הקובלים מלינים על הנטל הכבד של מאות שקלים המוטל עליהם באותם מקרים בהם פנו לחדר המיון ובדיעבד הסתבר להם שאינם זכאים למימונו. מבוטחים הלינו גם על ליקויים בשירות הטלפוני הניתן להם או כי לא ידעו על החלופות העומדות בפניהם</w:t>
      </w:r>
      <w:r>
        <w:rPr>
          <w:rFonts w:ascii="Arial" w:hAnsi="Arial" w:hint="cs"/>
          <w:bCs/>
          <w:sz w:val="24"/>
          <w:rtl/>
        </w:rPr>
        <w:t>.</w:t>
      </w:r>
    </w:p>
    <w:p w:rsidR="0077701A" w:rsidRDefault="0077701A" w:rsidP="00804C1C">
      <w:pPr>
        <w:tabs>
          <w:tab w:val="left" w:pos="4750"/>
        </w:tabs>
        <w:jc w:val="both"/>
        <w:rPr>
          <w:rFonts w:ascii="Arial" w:hAnsi="Arial"/>
          <w:b w:val="0"/>
          <w:bCs/>
          <w:sz w:val="28"/>
          <w:szCs w:val="28"/>
          <w:rtl/>
        </w:rPr>
      </w:pPr>
    </w:p>
    <w:p w:rsidR="00A67287" w:rsidRDefault="00A67287" w:rsidP="00804C1C">
      <w:pPr>
        <w:tabs>
          <w:tab w:val="left" w:pos="4750"/>
        </w:tabs>
        <w:jc w:val="both"/>
        <w:rPr>
          <w:rFonts w:ascii="Arial" w:hAnsi="Arial"/>
          <w:b w:val="0"/>
          <w:sz w:val="24"/>
          <w:rtl/>
        </w:rPr>
      </w:pPr>
    </w:p>
    <w:p w:rsidR="00A67287" w:rsidRDefault="00A67287" w:rsidP="00804C1C">
      <w:pPr>
        <w:tabs>
          <w:tab w:val="left" w:pos="4750"/>
        </w:tabs>
        <w:jc w:val="both"/>
        <w:rPr>
          <w:rFonts w:ascii="Arial" w:hAnsi="Arial"/>
          <w:b w:val="0"/>
          <w:sz w:val="24"/>
          <w:rtl/>
        </w:rPr>
      </w:pPr>
    </w:p>
    <w:p w:rsidR="00A67287" w:rsidRDefault="00A67287" w:rsidP="00804C1C">
      <w:pPr>
        <w:tabs>
          <w:tab w:val="left" w:pos="4750"/>
        </w:tabs>
        <w:jc w:val="both"/>
        <w:rPr>
          <w:rFonts w:ascii="Arial" w:hAnsi="Arial"/>
          <w:b w:val="0"/>
          <w:sz w:val="24"/>
          <w:rtl/>
        </w:rPr>
      </w:pPr>
    </w:p>
    <w:p w:rsidR="004905A5" w:rsidRDefault="0077701A" w:rsidP="00A67287">
      <w:pPr>
        <w:tabs>
          <w:tab w:val="left" w:pos="4750"/>
        </w:tabs>
        <w:jc w:val="both"/>
        <w:rPr>
          <w:rFonts w:ascii="Arial" w:hAnsi="Arial"/>
          <w:b w:val="0"/>
          <w:sz w:val="24"/>
          <w:rtl/>
        </w:rPr>
      </w:pPr>
      <w:r>
        <w:rPr>
          <w:rFonts w:ascii="Arial" w:hAnsi="Arial" w:hint="cs"/>
          <w:b w:val="0"/>
          <w:sz w:val="24"/>
          <w:rtl/>
        </w:rPr>
        <w:t>הרושם העולה מן הקבילות הוא של גישה הולכת ומחמירה מצד הקופות וצמצום האישורים הניתנים בדיעבד למי שפנה למיון ללא הפנייה.</w:t>
      </w:r>
    </w:p>
    <w:p w:rsidR="004905A5" w:rsidRDefault="004905A5" w:rsidP="00BD6786">
      <w:pPr>
        <w:tabs>
          <w:tab w:val="left" w:pos="4750"/>
        </w:tabs>
        <w:jc w:val="both"/>
        <w:rPr>
          <w:rFonts w:ascii="Arial" w:hAnsi="Arial"/>
          <w:b w:val="0"/>
          <w:sz w:val="24"/>
          <w:rtl/>
        </w:rPr>
      </w:pPr>
    </w:p>
    <w:p w:rsidR="0077701A" w:rsidRDefault="0077701A" w:rsidP="00BD6786">
      <w:pPr>
        <w:tabs>
          <w:tab w:val="left" w:pos="4750"/>
        </w:tabs>
        <w:jc w:val="both"/>
        <w:rPr>
          <w:rFonts w:ascii="Arial" w:hAnsi="Arial"/>
          <w:b w:val="0"/>
          <w:sz w:val="24"/>
          <w:rtl/>
        </w:rPr>
      </w:pPr>
      <w:r>
        <w:rPr>
          <w:rFonts w:ascii="Arial" w:hAnsi="Arial" w:hint="cs"/>
          <w:b w:val="0"/>
          <w:sz w:val="24"/>
          <w:rtl/>
        </w:rPr>
        <w:t>קיימת חשיבות להרחיב את היקף שירותי מוקדי החירום</w:t>
      </w:r>
      <w:r w:rsidR="00BD6786">
        <w:rPr>
          <w:rFonts w:ascii="Arial" w:hAnsi="Arial" w:hint="cs"/>
          <w:b w:val="0"/>
          <w:sz w:val="24"/>
          <w:rtl/>
        </w:rPr>
        <w:t>, נגישותם ושעות הפעילות במוקדים אלו</w:t>
      </w:r>
      <w:r>
        <w:rPr>
          <w:rFonts w:ascii="Arial" w:hAnsi="Arial" w:hint="cs"/>
          <w:b w:val="0"/>
          <w:sz w:val="24"/>
          <w:rtl/>
        </w:rPr>
        <w:t xml:space="preserve"> </w:t>
      </w:r>
    </w:p>
    <w:p w:rsidR="00A03B03" w:rsidRDefault="00BD6786" w:rsidP="00BD6786">
      <w:pPr>
        <w:tabs>
          <w:tab w:val="left" w:pos="4750"/>
        </w:tabs>
        <w:jc w:val="both"/>
        <w:rPr>
          <w:rFonts w:ascii="Arial" w:hAnsi="Arial"/>
          <w:b w:val="0"/>
          <w:sz w:val="24"/>
          <w:rtl/>
        </w:rPr>
      </w:pPr>
      <w:r>
        <w:rPr>
          <w:rFonts w:ascii="Arial" w:hAnsi="Arial" w:hint="cs"/>
          <w:b w:val="0"/>
          <w:sz w:val="24"/>
          <w:rtl/>
        </w:rPr>
        <w:t>ו</w:t>
      </w:r>
      <w:r w:rsidR="00A03B03">
        <w:rPr>
          <w:rFonts w:ascii="Arial" w:hAnsi="Arial" w:hint="cs"/>
          <w:b w:val="0"/>
          <w:sz w:val="24"/>
          <w:rtl/>
        </w:rPr>
        <w:t>כן יש להרחיב את הפרסום על המוקדים הטלפוניים ומוקדי החירום אליהם ניתן לפנות ולוודא פריסתם</w:t>
      </w:r>
      <w:r>
        <w:rPr>
          <w:rFonts w:ascii="Arial" w:hAnsi="Arial" w:hint="cs"/>
          <w:b w:val="0"/>
          <w:sz w:val="24"/>
          <w:rtl/>
        </w:rPr>
        <w:t xml:space="preserve"> ושעות פעילותם</w:t>
      </w:r>
      <w:r w:rsidR="00A03B03">
        <w:rPr>
          <w:rFonts w:ascii="Arial" w:hAnsi="Arial" w:hint="cs"/>
          <w:b w:val="0"/>
          <w:sz w:val="24"/>
          <w:rtl/>
        </w:rPr>
        <w:t>.</w:t>
      </w:r>
    </w:p>
    <w:p w:rsidR="00D02937" w:rsidRDefault="00D02937" w:rsidP="00A03B03">
      <w:pPr>
        <w:tabs>
          <w:tab w:val="left" w:pos="4750"/>
        </w:tabs>
        <w:jc w:val="both"/>
        <w:rPr>
          <w:rFonts w:ascii="Arial" w:hAnsi="Arial"/>
          <w:b w:val="0"/>
          <w:sz w:val="24"/>
          <w:rtl/>
        </w:rPr>
      </w:pPr>
    </w:p>
    <w:p w:rsidR="00A03B03" w:rsidRDefault="00A03B03" w:rsidP="00060F96">
      <w:pPr>
        <w:tabs>
          <w:tab w:val="left" w:pos="4750"/>
        </w:tabs>
        <w:jc w:val="both"/>
        <w:rPr>
          <w:rFonts w:ascii="Arial" w:hAnsi="Arial"/>
          <w:b w:val="0"/>
          <w:sz w:val="24"/>
          <w:rtl/>
        </w:rPr>
      </w:pPr>
      <w:r>
        <w:rPr>
          <w:rFonts w:ascii="Arial" w:hAnsi="Arial" w:hint="cs"/>
          <w:b w:val="0"/>
          <w:sz w:val="24"/>
          <w:rtl/>
        </w:rPr>
        <w:t xml:space="preserve">באשר לבדיקות </w:t>
      </w:r>
      <w:r w:rsidRPr="00060F96">
        <w:rPr>
          <w:rFonts w:ascii="Arial" w:hAnsi="Arial"/>
          <w:b w:val="0"/>
          <w:sz w:val="22"/>
          <w:szCs w:val="22"/>
        </w:rPr>
        <w:t>PET CT</w:t>
      </w:r>
      <w:r>
        <w:rPr>
          <w:rFonts w:ascii="Arial" w:hAnsi="Arial" w:hint="cs"/>
          <w:b w:val="0"/>
          <w:sz w:val="24"/>
          <w:rtl/>
        </w:rPr>
        <w:t xml:space="preserve"> שלושת המצבים השכיחים ביותר לגביהם הלינו הפונים היו גידולים בשלפוחית השתן, סרטן הלבלב וגידולים בכליה.</w:t>
      </w:r>
      <w:r w:rsidR="00BD6786">
        <w:rPr>
          <w:rFonts w:ascii="Arial" w:hAnsi="Arial" w:hint="cs"/>
          <w:b w:val="0"/>
          <w:sz w:val="24"/>
          <w:rtl/>
        </w:rPr>
        <w:t xml:space="preserve"> מרבית הפניות היו למעשה בקשות להרחבת הסל בתחום זה.</w:t>
      </w:r>
    </w:p>
    <w:p w:rsidR="00BD6786" w:rsidRDefault="00BD6786" w:rsidP="00BD6786">
      <w:pPr>
        <w:tabs>
          <w:tab w:val="left" w:pos="4750"/>
        </w:tabs>
        <w:jc w:val="both"/>
        <w:rPr>
          <w:rFonts w:ascii="Arial" w:hAnsi="Arial"/>
          <w:b w:val="0"/>
          <w:sz w:val="24"/>
          <w:rtl/>
        </w:rPr>
      </w:pPr>
    </w:p>
    <w:p w:rsidR="0077701A" w:rsidRDefault="00665BCF" w:rsidP="00060F96">
      <w:pPr>
        <w:tabs>
          <w:tab w:val="left" w:pos="4750"/>
        </w:tabs>
        <w:jc w:val="both"/>
        <w:rPr>
          <w:rFonts w:ascii="Arial" w:hAnsi="Arial"/>
          <w:b w:val="0"/>
          <w:sz w:val="24"/>
          <w:rtl/>
        </w:rPr>
      </w:pPr>
      <w:r w:rsidRPr="00665BCF">
        <w:rPr>
          <w:rFonts w:ascii="Arial" w:hAnsi="Arial" w:hint="cs"/>
          <w:b w:val="0"/>
          <w:sz w:val="24"/>
          <w:rtl/>
        </w:rPr>
        <w:t xml:space="preserve">באשר לבדיקות </w:t>
      </w:r>
      <w:r w:rsidRPr="00060F96">
        <w:rPr>
          <w:rFonts w:ascii="Arial" w:hAnsi="Arial"/>
          <w:b w:val="0"/>
          <w:sz w:val="22"/>
          <w:szCs w:val="22"/>
        </w:rPr>
        <w:t>MRI</w:t>
      </w:r>
      <w:r>
        <w:rPr>
          <w:rFonts w:ascii="Arial" w:hAnsi="Arial" w:hint="cs"/>
          <w:b w:val="0"/>
          <w:sz w:val="24"/>
          <w:rtl/>
        </w:rPr>
        <w:t xml:space="preserve"> </w:t>
      </w:r>
      <w:r>
        <w:rPr>
          <w:rFonts w:ascii="Arial" w:eastAsia="Calibri" w:hAnsi="Arial" w:hint="cs"/>
          <w:b w:val="0"/>
          <w:sz w:val="24"/>
          <w:rtl/>
        </w:rPr>
        <w:t xml:space="preserve">רבות מהקבילות בנושא נתקבלו ממבוטחים אשר האלטרנטיבה שהוצעה להם ע"י הקופה הייתה </w:t>
      </w:r>
      <w:r w:rsidRPr="00060F96">
        <w:rPr>
          <w:rFonts w:ascii="Arial" w:eastAsia="Calibri" w:hAnsi="Arial" w:hint="cs"/>
          <w:b w:val="0"/>
          <w:sz w:val="24"/>
          <w:rtl/>
        </w:rPr>
        <w:t>בדיקת</w:t>
      </w:r>
      <w:r w:rsidRPr="00060F96">
        <w:rPr>
          <w:rFonts w:ascii="Arial" w:hAnsi="Arial" w:hint="cs"/>
          <w:b w:val="0"/>
          <w:sz w:val="22"/>
          <w:szCs w:val="22"/>
          <w:rtl/>
        </w:rPr>
        <w:t xml:space="preserve"> </w:t>
      </w:r>
      <w:r w:rsidRPr="00060F96">
        <w:rPr>
          <w:rFonts w:ascii="Arial" w:hAnsi="Arial"/>
          <w:b w:val="0"/>
          <w:sz w:val="22"/>
          <w:szCs w:val="22"/>
        </w:rPr>
        <w:t>.CT</w:t>
      </w:r>
      <w:r>
        <w:rPr>
          <w:rFonts w:ascii="Arial" w:eastAsia="Calibri" w:hAnsi="Arial"/>
          <w:b w:val="0"/>
          <w:sz w:val="24"/>
          <w:rtl/>
        </w:rPr>
        <w:t xml:space="preserve"> </w:t>
      </w:r>
      <w:r>
        <w:rPr>
          <w:rFonts w:ascii="Arial" w:eastAsia="Calibri" w:hAnsi="Arial" w:hint="cs"/>
          <w:b w:val="0"/>
          <w:sz w:val="24"/>
          <w:rtl/>
        </w:rPr>
        <w:t xml:space="preserve">הקובלים הביעו חשש מהקרינה המייננת הכרוכה בבדיקה זו והלינו על סירוב הקופה לאשר ביצוע </w:t>
      </w:r>
      <w:r w:rsidRPr="00665BCF">
        <w:rPr>
          <w:rFonts w:ascii="Arial" w:hAnsi="Arial" w:hint="cs"/>
          <w:b w:val="0"/>
          <w:sz w:val="24"/>
          <w:rtl/>
        </w:rPr>
        <w:t>בדיקת</w:t>
      </w:r>
      <w:r w:rsidRPr="00060F96">
        <w:rPr>
          <w:rFonts w:ascii="Arial" w:hAnsi="Arial"/>
          <w:b w:val="0"/>
          <w:sz w:val="22"/>
          <w:szCs w:val="22"/>
        </w:rPr>
        <w:t>MRI</w:t>
      </w:r>
      <w:r w:rsidRPr="00665BCF">
        <w:rPr>
          <w:rFonts w:ascii="Arial" w:hAnsi="Arial"/>
          <w:b w:val="0"/>
          <w:sz w:val="24"/>
        </w:rPr>
        <w:t xml:space="preserve"> </w:t>
      </w:r>
      <w:r>
        <w:rPr>
          <w:rFonts w:eastAsia="Calibri" w:hint="cs"/>
          <w:b w:val="0"/>
          <w:sz w:val="24"/>
          <w:rtl/>
        </w:rPr>
        <w:t xml:space="preserve"> </w:t>
      </w:r>
      <w:r w:rsidRPr="00B96B40">
        <w:rPr>
          <w:rFonts w:eastAsia="Calibri"/>
          <w:b w:val="0"/>
          <w:sz w:val="24"/>
          <w:rtl/>
        </w:rPr>
        <w:t>שאיננה</w:t>
      </w:r>
      <w:r w:rsidRPr="000D551E">
        <w:rPr>
          <w:rFonts w:ascii="Arial" w:eastAsia="Calibri" w:hAnsi="Arial" w:hint="cs"/>
          <w:b w:val="0"/>
          <w:sz w:val="24"/>
          <w:rtl/>
        </w:rPr>
        <w:t xml:space="preserve"> </w:t>
      </w:r>
      <w:r>
        <w:rPr>
          <w:rFonts w:ascii="Arial" w:eastAsia="Calibri" w:hAnsi="Arial" w:hint="cs"/>
          <w:b w:val="0"/>
          <w:sz w:val="24"/>
          <w:rtl/>
        </w:rPr>
        <w:t>מצריכה שימוש בקרינה מייננת.</w:t>
      </w:r>
    </w:p>
    <w:p w:rsidR="00D02937" w:rsidRDefault="00D02937" w:rsidP="00BD6786">
      <w:pPr>
        <w:spacing w:after="200"/>
        <w:jc w:val="both"/>
        <w:rPr>
          <w:rFonts w:ascii="Arial" w:eastAsia="Calibri" w:hAnsi="Arial"/>
          <w:b w:val="0"/>
          <w:sz w:val="24"/>
          <w:rtl/>
        </w:rPr>
      </w:pPr>
      <w:r>
        <w:rPr>
          <w:rFonts w:ascii="Arial" w:eastAsia="Calibri" w:hAnsi="Arial" w:hint="cs"/>
          <w:b w:val="0"/>
          <w:sz w:val="24"/>
          <w:rtl/>
        </w:rPr>
        <w:t xml:space="preserve">נוכח היקף הפניות הרב בנושא פנתה הנציבות לגורמים המתאימים במשרד הבריאות בבקשה שתיבחן הסדרה </w:t>
      </w:r>
      <w:r w:rsidR="00BD6786">
        <w:rPr>
          <w:rFonts w:ascii="Arial" w:eastAsia="Calibri" w:hAnsi="Arial" w:hint="cs"/>
          <w:b w:val="0"/>
          <w:sz w:val="24"/>
          <w:rtl/>
        </w:rPr>
        <w:t xml:space="preserve">נוספת </w:t>
      </w:r>
      <w:r>
        <w:rPr>
          <w:rFonts w:ascii="Arial" w:eastAsia="Calibri" w:hAnsi="Arial" w:hint="cs"/>
          <w:b w:val="0"/>
          <w:sz w:val="24"/>
          <w:rtl/>
        </w:rPr>
        <w:t xml:space="preserve">אשר </w:t>
      </w:r>
      <w:r w:rsidR="00BD6786">
        <w:rPr>
          <w:rFonts w:ascii="Arial" w:eastAsia="Calibri" w:hAnsi="Arial" w:hint="cs"/>
          <w:b w:val="0"/>
          <w:sz w:val="24"/>
          <w:rtl/>
        </w:rPr>
        <w:t>תבהיר</w:t>
      </w:r>
      <w:r>
        <w:rPr>
          <w:rFonts w:ascii="Arial" w:eastAsia="Calibri" w:hAnsi="Arial" w:hint="cs"/>
          <w:b w:val="0"/>
          <w:sz w:val="24"/>
          <w:rtl/>
        </w:rPr>
        <w:t xml:space="preserve"> באלו מצבים אכן קיים סיכון</w:t>
      </w:r>
      <w:r w:rsidR="00BD6786">
        <w:rPr>
          <w:rFonts w:ascii="Arial" w:eastAsia="Calibri" w:hAnsi="Arial" w:hint="cs"/>
          <w:b w:val="0"/>
          <w:sz w:val="24"/>
          <w:rtl/>
        </w:rPr>
        <w:t>.</w:t>
      </w:r>
      <w:r>
        <w:rPr>
          <w:rFonts w:ascii="Arial" w:eastAsia="Calibri" w:hAnsi="Arial" w:hint="cs"/>
          <w:b w:val="0"/>
          <w:sz w:val="24"/>
          <w:rtl/>
        </w:rPr>
        <w:t xml:space="preserve"> </w:t>
      </w:r>
    </w:p>
    <w:p w:rsidR="00BD6786" w:rsidRDefault="00BD6786" w:rsidP="00BD6786">
      <w:pPr>
        <w:spacing w:after="200"/>
        <w:jc w:val="both"/>
        <w:rPr>
          <w:rFonts w:ascii="Arial" w:eastAsia="Calibri" w:hAnsi="Arial"/>
          <w:b w:val="0"/>
          <w:sz w:val="24"/>
          <w:rtl/>
        </w:rPr>
      </w:pPr>
      <w:r>
        <w:rPr>
          <w:rFonts w:ascii="Arial" w:eastAsia="Calibri" w:hAnsi="Arial" w:hint="cs"/>
          <w:b w:val="0"/>
          <w:sz w:val="24"/>
          <w:rtl/>
        </w:rPr>
        <w:t>בתחום הפרא-רפואי יש לציין</w:t>
      </w:r>
      <w:r w:rsidR="00060F96">
        <w:rPr>
          <w:rFonts w:ascii="Arial" w:eastAsia="Calibri" w:hAnsi="Arial" w:hint="cs"/>
          <w:b w:val="0"/>
          <w:sz w:val="24"/>
          <w:rtl/>
        </w:rPr>
        <w:t>,</w:t>
      </w:r>
      <w:r>
        <w:rPr>
          <w:rFonts w:ascii="Arial" w:eastAsia="Calibri" w:hAnsi="Arial" w:hint="cs"/>
          <w:b w:val="0"/>
          <w:sz w:val="24"/>
          <w:rtl/>
        </w:rPr>
        <w:t xml:space="preserve"> כי גם לגביו פניות רבות היוו בקשות להרחבת הסל, לרבות הידרותרפיה ופיזיותרפיה לחולים כרוניים. </w:t>
      </w:r>
    </w:p>
    <w:p w:rsidR="0077701A" w:rsidRDefault="00D04D6D" w:rsidP="004905A5">
      <w:pPr>
        <w:spacing w:after="200"/>
        <w:jc w:val="both"/>
        <w:rPr>
          <w:rFonts w:ascii="Arial" w:hAnsi="Arial"/>
          <w:b w:val="0"/>
          <w:bCs/>
          <w:sz w:val="28"/>
          <w:szCs w:val="28"/>
          <w:rtl/>
        </w:rPr>
      </w:pPr>
      <w:r>
        <w:rPr>
          <w:rFonts w:ascii="Arial" w:eastAsia="Calibri" w:hAnsi="Arial" w:hint="cs"/>
          <w:b w:val="0"/>
          <w:sz w:val="24"/>
          <w:rtl/>
        </w:rPr>
        <w:t xml:space="preserve">נושא חשוב נוסף, הנלווה לקבילות שעניינן סירוב מתן טיפולים/בדיקות הוא תלונות על התנהלות לקויה של הקופה המוסיפה סבל על סבלו של המטופל. יש לציין כי גם כאשר מאושרת בסופו של דבר בקשתו של המבוטח, אם עד לאישור המיוחל הוא נאלץ לעבור בדרך חתחתים, הדבר מותיר לאחריו תחושת אכזבה ופגיעה באמון, שנמשכים גם לאחר קבלת השירות. בקבילות כאלו חשוב להפיק את הלקחים המתאימים ולהביא לשינוי למניעת הישנות ליקויים מסוג זה גם ביחס למבוטחים אחרים. </w:t>
      </w:r>
    </w:p>
    <w:p w:rsidR="00804C1C" w:rsidRDefault="00804C1C" w:rsidP="00A67287">
      <w:pPr>
        <w:tabs>
          <w:tab w:val="left" w:pos="4750"/>
        </w:tabs>
        <w:jc w:val="both"/>
        <w:rPr>
          <w:rFonts w:ascii="Arial" w:hAnsi="Arial"/>
          <w:b w:val="0"/>
          <w:sz w:val="24"/>
          <w:rtl/>
        </w:rPr>
      </w:pPr>
      <w:r w:rsidRPr="00E03BDE">
        <w:rPr>
          <w:rFonts w:ascii="Arial" w:hAnsi="Arial" w:hint="cs"/>
          <w:b w:val="0"/>
          <w:bCs/>
          <w:sz w:val="28"/>
          <w:szCs w:val="28"/>
          <w:rtl/>
        </w:rPr>
        <w:t>שימוש בסמכות האכיפה הקבועה בחוק</w:t>
      </w:r>
    </w:p>
    <w:p w:rsidR="00804C1C" w:rsidRPr="00662D4D" w:rsidRDefault="00804C1C" w:rsidP="004905A5">
      <w:pPr>
        <w:jc w:val="both"/>
        <w:rPr>
          <w:rFonts w:ascii="Arial" w:hAnsi="Arial"/>
          <w:b w:val="0"/>
          <w:sz w:val="24"/>
          <w:rtl/>
        </w:rPr>
      </w:pPr>
      <w:r w:rsidRPr="00662D4D">
        <w:rPr>
          <w:rFonts w:ascii="Arial" w:hAnsi="Arial" w:hint="cs"/>
          <w:b w:val="0"/>
          <w:sz w:val="24"/>
          <w:rtl/>
        </w:rPr>
        <w:t xml:space="preserve">סעיף 46א לחוק העניק, במקרים בהם השירות הרפואי נשוא הקבילה טרם נרכש וקופת החולים עמדה בסירובה לספקו, סמכות למנכ"ל משרד הבריאות להביא לאכיפת החלטות של הנציבות בהן נמצאה קבילה מוצדקת. </w:t>
      </w:r>
    </w:p>
    <w:p w:rsidR="00804C1C" w:rsidRPr="00662D4D" w:rsidRDefault="00804C1C" w:rsidP="00804C1C">
      <w:pPr>
        <w:jc w:val="both"/>
        <w:rPr>
          <w:rFonts w:ascii="Arial" w:hAnsi="Arial"/>
          <w:b w:val="0"/>
          <w:sz w:val="24"/>
          <w:rtl/>
        </w:rPr>
      </w:pPr>
    </w:p>
    <w:p w:rsidR="00060F96" w:rsidRDefault="00804C1C" w:rsidP="004905A5">
      <w:pPr>
        <w:jc w:val="both"/>
        <w:rPr>
          <w:rFonts w:ascii="Arial" w:hAnsi="Arial"/>
          <w:b w:val="0"/>
          <w:sz w:val="24"/>
          <w:rtl/>
        </w:rPr>
      </w:pPr>
      <w:r w:rsidRPr="00662D4D">
        <w:rPr>
          <w:rFonts w:ascii="Arial" w:hAnsi="Arial" w:hint="cs"/>
          <w:b w:val="0"/>
          <w:sz w:val="24"/>
          <w:rtl/>
        </w:rPr>
        <w:t>בתקופת הדוח היה מקרה אחד בלבד בו נדרש הליך אכיפה</w:t>
      </w:r>
      <w:r w:rsidR="00D27E16">
        <w:rPr>
          <w:rFonts w:ascii="Arial" w:hAnsi="Arial" w:hint="cs"/>
          <w:b w:val="0"/>
          <w:sz w:val="24"/>
          <w:rtl/>
        </w:rPr>
        <w:t xml:space="preserve">. </w:t>
      </w:r>
      <w:r w:rsidRPr="00662D4D">
        <w:rPr>
          <w:rFonts w:ascii="Arial" w:hAnsi="Arial" w:hint="cs"/>
          <w:b w:val="0"/>
          <w:sz w:val="24"/>
          <w:rtl/>
        </w:rPr>
        <w:t>הנציבה מברכת על הנוהג של כל קופות החולים לכבד את הכרעות הנציבות ולא לאלץ את הקובלים לעשות שימוש בהליכי האכיפה שנקבעו בחוק.</w:t>
      </w:r>
    </w:p>
    <w:p w:rsidR="00060F96" w:rsidRDefault="00060F96" w:rsidP="006B5214">
      <w:pPr>
        <w:jc w:val="both"/>
        <w:rPr>
          <w:rFonts w:ascii="Arial" w:hAnsi="Arial"/>
          <w:b w:val="0"/>
          <w:sz w:val="24"/>
          <w:rtl/>
        </w:rPr>
      </w:pPr>
    </w:p>
    <w:p w:rsidR="00D04D6D" w:rsidRPr="00662D4D" w:rsidRDefault="00804C1C" w:rsidP="006B5214">
      <w:pPr>
        <w:jc w:val="both"/>
        <w:rPr>
          <w:rFonts w:ascii="Arial" w:hAnsi="Arial"/>
          <w:b w:val="0"/>
          <w:sz w:val="24"/>
          <w:rtl/>
        </w:rPr>
      </w:pPr>
      <w:r w:rsidRPr="00662D4D">
        <w:rPr>
          <w:rFonts w:ascii="Arial" w:hAnsi="Arial" w:hint="cs"/>
          <w:b w:val="0"/>
          <w:sz w:val="24"/>
          <w:rtl/>
        </w:rPr>
        <w:t xml:space="preserve">זה המקום לציין שמעבר לחובתן של הקופות לפעול בהתאם להכרעות הנציבות, הרי שעל פי חוזר </w:t>
      </w:r>
      <w:r w:rsidR="00D04D6D">
        <w:rPr>
          <w:rFonts w:ascii="Arial" w:hAnsi="Arial" w:hint="cs"/>
          <w:b w:val="0"/>
          <w:sz w:val="24"/>
          <w:rtl/>
        </w:rPr>
        <w:t xml:space="preserve">סמנכ"ל לפיקוח על קופות חולים ותוכניות </w:t>
      </w:r>
      <w:proofErr w:type="spellStart"/>
      <w:r w:rsidR="00D04D6D">
        <w:rPr>
          <w:rFonts w:ascii="Arial" w:hAnsi="Arial" w:hint="cs"/>
          <w:b w:val="0"/>
          <w:sz w:val="24"/>
          <w:rtl/>
        </w:rPr>
        <w:t>שב"ן</w:t>
      </w:r>
      <w:proofErr w:type="spellEnd"/>
      <w:r w:rsidR="00D04D6D">
        <w:rPr>
          <w:rFonts w:ascii="Arial" w:hAnsi="Arial" w:hint="cs"/>
          <w:b w:val="0"/>
          <w:sz w:val="24"/>
          <w:rtl/>
        </w:rPr>
        <w:t xml:space="preserve"> </w:t>
      </w:r>
      <w:r w:rsidRPr="00662D4D">
        <w:rPr>
          <w:rFonts w:ascii="Arial" w:hAnsi="Arial" w:hint="cs"/>
          <w:b w:val="0"/>
          <w:sz w:val="24"/>
          <w:rtl/>
        </w:rPr>
        <w:t>05/09 "הבאת עמדת משרד הבריאות לעניין זכאות לטיפול הנשלל ע"י קופת חולים לידיעת המבוטחים" וכן חוזר</w:t>
      </w:r>
      <w:r w:rsidR="00D04D6D">
        <w:rPr>
          <w:rFonts w:ascii="Arial" w:hAnsi="Arial" w:hint="cs"/>
          <w:b w:val="0"/>
          <w:sz w:val="24"/>
          <w:rtl/>
        </w:rPr>
        <w:t xml:space="preserve"> מנכ"ל משרד הבריאות</w:t>
      </w:r>
      <w:r w:rsidRPr="00662D4D">
        <w:rPr>
          <w:rFonts w:ascii="Arial" w:hAnsi="Arial" w:hint="cs"/>
          <w:b w:val="0"/>
          <w:sz w:val="24"/>
          <w:rtl/>
        </w:rPr>
        <w:t xml:space="preserve"> 11/06 "אכיפת החלטות נציב קבילות הציבור לפי חוק ביטוח בריאות</w:t>
      </w:r>
      <w:r w:rsidR="00D04D6D">
        <w:rPr>
          <w:rFonts w:ascii="Arial" w:hAnsi="Arial" w:hint="cs"/>
          <w:b w:val="0"/>
          <w:sz w:val="24"/>
          <w:rtl/>
        </w:rPr>
        <w:t xml:space="preserve"> </w:t>
      </w:r>
      <w:r w:rsidRPr="00662D4D">
        <w:rPr>
          <w:rFonts w:ascii="Arial" w:hAnsi="Arial" w:hint="cs"/>
          <w:b w:val="0"/>
          <w:sz w:val="24"/>
          <w:rtl/>
        </w:rPr>
        <w:t>ממלכתי ("נציב הקבילות")" עליהן להביא לידיעת המבוטחים את עמדתה של הנציבות בנושא הנדון. באופן זה ניתן יהיה להבטיח חשיפה מרבית של המבוטחים למידע הדרוש להם לשם מיצוי זכויותיהם והם יוכלו לפנות לנציבות לקבלת סעד.</w:t>
      </w:r>
      <w:r w:rsidR="006B5214">
        <w:rPr>
          <w:rFonts w:ascii="Arial" w:hAnsi="Arial" w:hint="cs"/>
          <w:b w:val="0"/>
          <w:sz w:val="24"/>
          <w:rtl/>
        </w:rPr>
        <w:t xml:space="preserve"> </w:t>
      </w:r>
    </w:p>
    <w:p w:rsidR="00D02937" w:rsidRDefault="00D02937" w:rsidP="00804C1C">
      <w:pPr>
        <w:jc w:val="both"/>
        <w:rPr>
          <w:rFonts w:ascii="Arial" w:hAnsi="Arial"/>
          <w:b w:val="0"/>
          <w:sz w:val="24"/>
          <w:rtl/>
        </w:rPr>
      </w:pPr>
    </w:p>
    <w:p w:rsidR="00D04D6D" w:rsidRDefault="006B5214" w:rsidP="006B5214">
      <w:pPr>
        <w:jc w:val="both"/>
        <w:rPr>
          <w:rFonts w:ascii="Arial" w:hAnsi="Arial"/>
          <w:b w:val="0"/>
          <w:sz w:val="24"/>
          <w:rtl/>
        </w:rPr>
      </w:pPr>
      <w:r>
        <w:rPr>
          <w:rFonts w:ascii="Arial" w:hAnsi="Arial" w:hint="cs"/>
          <w:b w:val="0"/>
          <w:sz w:val="24"/>
          <w:rtl/>
        </w:rPr>
        <w:t>ניירות העמדה של הנציבות מתפרסמים גם בדף הנציבות באתר האינטרנט של משרד הבריאות,</w:t>
      </w:r>
    </w:p>
    <w:p w:rsidR="00804C1C" w:rsidRPr="00662D4D" w:rsidRDefault="00804C1C" w:rsidP="006B5214">
      <w:pPr>
        <w:jc w:val="both"/>
        <w:rPr>
          <w:rFonts w:ascii="Arial" w:hAnsi="Arial"/>
          <w:b w:val="0"/>
          <w:sz w:val="24"/>
          <w:rtl/>
        </w:rPr>
      </w:pPr>
      <w:r w:rsidRPr="00662D4D">
        <w:rPr>
          <w:rFonts w:ascii="Arial" w:hAnsi="Arial" w:hint="cs"/>
          <w:b w:val="0"/>
          <w:sz w:val="24"/>
          <w:rtl/>
        </w:rPr>
        <w:t xml:space="preserve">וזאת בחלוקה לפי נושאים. עד היום כבר פורסמו באתר מעל </w:t>
      </w:r>
      <w:r w:rsidR="006B5214">
        <w:rPr>
          <w:rFonts w:ascii="Arial" w:hAnsi="Arial" w:hint="cs"/>
          <w:b w:val="0"/>
          <w:sz w:val="24"/>
          <w:rtl/>
        </w:rPr>
        <w:t>50</w:t>
      </w:r>
      <w:r w:rsidRPr="00662D4D">
        <w:rPr>
          <w:rFonts w:ascii="Arial" w:hAnsi="Arial" w:hint="cs"/>
          <w:b w:val="0"/>
          <w:sz w:val="24"/>
          <w:rtl/>
        </w:rPr>
        <w:t xml:space="preserve"> ניירות עמדה והנציבות תמשיך ותפרסם את ניירות העמדה שיינתנו על ידה גם לאורך השנה ולא בדוח בלבד.</w:t>
      </w:r>
    </w:p>
    <w:p w:rsidR="00AD1DB9" w:rsidRDefault="00AD1DB9" w:rsidP="00D27E16">
      <w:pPr>
        <w:jc w:val="both"/>
        <w:rPr>
          <w:rFonts w:ascii="Arial" w:hAnsi="Arial"/>
          <w:b w:val="0"/>
          <w:sz w:val="24"/>
          <w:rtl/>
        </w:rPr>
      </w:pPr>
    </w:p>
    <w:p w:rsidR="00060F96" w:rsidRDefault="008B36E9" w:rsidP="004905A5">
      <w:pPr>
        <w:jc w:val="both"/>
        <w:rPr>
          <w:rFonts w:ascii="Adobe Arabic" w:hAnsi="Adobe Arabic" w:cs="Adobe Arabic"/>
          <w:rtl/>
        </w:rPr>
      </w:pPr>
      <w:r w:rsidRPr="00662D4D">
        <w:rPr>
          <w:rFonts w:ascii="Arial" w:hAnsi="Arial" w:hint="cs"/>
          <w:b w:val="0"/>
          <w:sz w:val="24"/>
          <w:rtl/>
        </w:rPr>
        <w:t>הנציבה קוראת לכל ציבור המבוטחים לעיין במידע המפורסם באתר ולא להסס לעשות שימוש בזכות המסורה לכל מבוטח לפנות לנציבות בעת הצורך. זאת, למען מיצוי הזכויות של כל מבוטח ומבוטח ובמטרה להביא ליקויים על תיקונם לטובת כלל המבוטחים.</w:t>
      </w:r>
    </w:p>
    <w:p w:rsidR="00060F96" w:rsidRDefault="00060F96" w:rsidP="008B36E9">
      <w:pPr>
        <w:rPr>
          <w:rFonts w:ascii="Adobe Arabic" w:hAnsi="Adobe Arabic" w:cs="Adobe Arabic"/>
          <w:rtl/>
        </w:rPr>
      </w:pPr>
    </w:p>
    <w:p w:rsidR="008B36E9" w:rsidRPr="00011A8A" w:rsidRDefault="008B36E9" w:rsidP="008B36E9">
      <w:pPr>
        <w:jc w:val="center"/>
        <w:rPr>
          <w:rFonts w:ascii="Arial" w:hAnsi="Arial"/>
          <w:b w:val="0"/>
          <w:sz w:val="24"/>
          <w:rtl/>
        </w:rPr>
      </w:pPr>
      <w:r w:rsidRPr="00011A8A">
        <w:rPr>
          <w:rFonts w:ascii="Arial" w:hAnsi="Arial" w:hint="cs"/>
          <w:b w:val="0"/>
          <w:sz w:val="24"/>
          <w:rtl/>
        </w:rPr>
        <w:t xml:space="preserve">                                                                                ד"ר אסתר בן חיים, עו"ד</w:t>
      </w:r>
    </w:p>
    <w:p w:rsidR="008B36E9" w:rsidRPr="00011A8A" w:rsidRDefault="008B36E9" w:rsidP="008B36E9">
      <w:pPr>
        <w:jc w:val="right"/>
        <w:rPr>
          <w:rFonts w:ascii="Arial" w:hAnsi="Arial"/>
          <w:b w:val="0"/>
          <w:sz w:val="24"/>
        </w:rPr>
      </w:pPr>
      <w:r w:rsidRPr="00011A8A">
        <w:rPr>
          <w:rFonts w:ascii="Arial" w:hAnsi="Arial" w:hint="cs"/>
          <w:b w:val="0"/>
          <w:sz w:val="24"/>
          <w:rtl/>
        </w:rPr>
        <w:t>נציבת קבילות לחוק ביטוח בריאות ממלכתי</w:t>
      </w: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AD1DB9" w:rsidRDefault="00AD1DB9" w:rsidP="00D27E16">
      <w:pPr>
        <w:jc w:val="both"/>
        <w:rPr>
          <w:rFonts w:ascii="Arial" w:hAnsi="Arial"/>
          <w:b w:val="0"/>
          <w:sz w:val="24"/>
          <w:rtl/>
        </w:rPr>
      </w:pPr>
    </w:p>
    <w:p w:rsidR="00B819C9" w:rsidRPr="004905A5" w:rsidRDefault="00B819C9" w:rsidP="005E1795">
      <w:pPr>
        <w:tabs>
          <w:tab w:val="left" w:pos="6018"/>
        </w:tabs>
        <w:rPr>
          <w:b w:val="0"/>
          <w:bCs/>
          <w:sz w:val="32"/>
          <w:szCs w:val="32"/>
          <w:rtl/>
        </w:rPr>
      </w:pPr>
      <w:r w:rsidRPr="004905A5">
        <w:rPr>
          <w:rFonts w:hint="cs"/>
          <w:b w:val="0"/>
          <w:bCs/>
          <w:rtl/>
        </w:rPr>
        <w:t xml:space="preserve">                                               </w:t>
      </w:r>
      <w:r w:rsidR="004905A5">
        <w:rPr>
          <w:rFonts w:hint="cs"/>
          <w:b w:val="0"/>
          <w:bCs/>
          <w:rtl/>
        </w:rPr>
        <w:t xml:space="preserve">                          </w:t>
      </w:r>
      <w:r w:rsidRPr="004905A5">
        <w:rPr>
          <w:rFonts w:hint="cs"/>
          <w:b w:val="0"/>
          <w:bCs/>
          <w:sz w:val="32"/>
          <w:szCs w:val="32"/>
          <w:rtl/>
        </w:rPr>
        <w:t>נספח</w:t>
      </w:r>
    </w:p>
    <w:p w:rsidR="00B819C9" w:rsidRDefault="00B819C9" w:rsidP="005E1795">
      <w:pPr>
        <w:tabs>
          <w:tab w:val="left" w:pos="6018"/>
        </w:tabs>
        <w:rPr>
          <w:rtl/>
        </w:rPr>
      </w:pPr>
    </w:p>
    <w:p w:rsidR="00B819C9" w:rsidRDefault="00B819C9" w:rsidP="005E1795">
      <w:pPr>
        <w:tabs>
          <w:tab w:val="left" w:pos="6018"/>
        </w:tabs>
        <w:rPr>
          <w:rtl/>
        </w:rPr>
      </w:pPr>
    </w:p>
    <w:p w:rsidR="00B819C9" w:rsidRDefault="00B819C9" w:rsidP="005E1795">
      <w:pPr>
        <w:tabs>
          <w:tab w:val="left" w:pos="6018"/>
        </w:tabs>
        <w:rPr>
          <w:rtl/>
        </w:rPr>
      </w:pPr>
    </w:p>
    <w:p w:rsidR="00B819C9" w:rsidRPr="00557B30" w:rsidRDefault="00B819C9" w:rsidP="004905A5">
      <w:pPr>
        <w:jc w:val="center"/>
        <w:rPr>
          <w:rFonts w:ascii="Arial" w:hAnsi="Arial"/>
          <w:bCs/>
          <w:sz w:val="24"/>
        </w:rPr>
      </w:pPr>
      <w:r w:rsidRPr="00557B30">
        <w:rPr>
          <w:rFonts w:ascii="Arial" w:hAnsi="Arial" w:hint="cs"/>
          <w:bCs/>
          <w:sz w:val="24"/>
          <w:rtl/>
        </w:rPr>
        <w:t>התפלגות קבילות בתחום טיפולים ובדיקות ל- 10,000 נפש משוקללת</w:t>
      </w:r>
    </w:p>
    <w:p w:rsidR="00B819C9" w:rsidRPr="00557B30" w:rsidRDefault="00B819C9" w:rsidP="00B819C9">
      <w:pPr>
        <w:jc w:val="center"/>
        <w:rPr>
          <w:rFonts w:ascii="Arial" w:hAnsi="Arial"/>
          <w:bCs/>
          <w:sz w:val="24"/>
          <w:rtl/>
        </w:rPr>
      </w:pPr>
      <w:r w:rsidRPr="00557B30">
        <w:rPr>
          <w:rFonts w:ascii="Arial" w:hAnsi="Arial" w:hint="cs"/>
          <w:bCs/>
          <w:sz w:val="24"/>
          <w:rtl/>
        </w:rPr>
        <w:t>2013</w:t>
      </w:r>
    </w:p>
    <w:p w:rsidR="00B819C9" w:rsidRDefault="00B819C9" w:rsidP="00B819C9">
      <w:pPr>
        <w:jc w:val="both"/>
        <w:rPr>
          <w:rFonts w:ascii="Arial" w:hAnsi="Arial"/>
          <w:b w:val="0"/>
          <w:sz w:val="24"/>
          <w:rtl/>
        </w:rPr>
      </w:pPr>
    </w:p>
    <w:p w:rsidR="00B819C9" w:rsidRPr="00780B3D" w:rsidRDefault="00B819C9" w:rsidP="00B819C9">
      <w:pPr>
        <w:jc w:val="both"/>
        <w:rPr>
          <w:rFonts w:ascii="Arial" w:hAnsi="Arial"/>
          <w:b w:val="0"/>
          <w:bCs/>
          <w:sz w:val="28"/>
          <w:szCs w:val="28"/>
          <w:rtl/>
        </w:rPr>
      </w:pPr>
      <w:r>
        <w:rPr>
          <w:noProof/>
        </w:rPr>
        <w:drawing>
          <wp:inline distT="0" distB="0" distL="0" distR="0" wp14:anchorId="48E71A81" wp14:editId="64F090AA">
            <wp:extent cx="5276215" cy="2566048"/>
            <wp:effectExtent l="19050" t="19050" r="19685" b="24765"/>
            <wp:docPr id="2" name="תרשים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8" name="תרשים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215" cy="2566048"/>
                    </a:xfrm>
                    <a:prstGeom prst="rect">
                      <a:avLst/>
                    </a:prstGeom>
                    <a:noFill/>
                    <a:ln w="9525">
                      <a:solidFill>
                        <a:srgbClr val="000000"/>
                      </a:solidFill>
                      <a:miter lim="800000"/>
                      <a:headEnd/>
                      <a:tailEnd/>
                    </a:ln>
                    <a:extLst/>
                  </pic:spPr>
                </pic:pic>
              </a:graphicData>
            </a:graphic>
          </wp:inline>
        </w:drawing>
      </w:r>
    </w:p>
    <w:p w:rsidR="00B819C9" w:rsidRDefault="00B819C9" w:rsidP="00B819C9">
      <w:pPr>
        <w:tabs>
          <w:tab w:val="left" w:pos="4750"/>
        </w:tabs>
        <w:jc w:val="both"/>
        <w:rPr>
          <w:rFonts w:ascii="Arial" w:hAnsi="Arial"/>
          <w:b w:val="0"/>
          <w:bCs/>
          <w:sz w:val="28"/>
          <w:szCs w:val="28"/>
          <w:rtl/>
        </w:rPr>
      </w:pPr>
    </w:p>
    <w:p w:rsidR="00B819C9" w:rsidRDefault="00B819C9" w:rsidP="00B819C9">
      <w:pPr>
        <w:tabs>
          <w:tab w:val="left" w:pos="4750"/>
        </w:tabs>
        <w:jc w:val="both"/>
        <w:rPr>
          <w:rFonts w:ascii="Arial" w:hAnsi="Arial"/>
          <w:b w:val="0"/>
          <w:bCs/>
          <w:sz w:val="28"/>
          <w:szCs w:val="28"/>
          <w:rtl/>
        </w:rPr>
      </w:pPr>
    </w:p>
    <w:p w:rsidR="00B819C9" w:rsidRDefault="00B819C9" w:rsidP="00B819C9">
      <w:pPr>
        <w:jc w:val="both"/>
        <w:rPr>
          <w:rFonts w:ascii="Arial" w:hAnsi="Arial"/>
          <w:bCs/>
          <w:sz w:val="24"/>
          <w:rtl/>
        </w:rPr>
      </w:pPr>
      <w:r>
        <w:rPr>
          <w:rFonts w:ascii="Arial" w:hAnsi="Arial" w:hint="cs"/>
          <w:bCs/>
          <w:sz w:val="24"/>
          <w:rtl/>
        </w:rPr>
        <w:t xml:space="preserve">                     </w:t>
      </w:r>
      <w:r w:rsidRPr="00557B30">
        <w:rPr>
          <w:rFonts w:ascii="Arial" w:hAnsi="Arial" w:hint="cs"/>
          <w:bCs/>
          <w:sz w:val="24"/>
          <w:rtl/>
        </w:rPr>
        <w:t>התפלגות קבילות בתחום טיפולים ובדיקות ל- 10,000 נפש משוקללת</w:t>
      </w:r>
    </w:p>
    <w:p w:rsidR="00B819C9" w:rsidRPr="00557B30" w:rsidRDefault="00B819C9" w:rsidP="00B819C9">
      <w:pPr>
        <w:jc w:val="center"/>
        <w:rPr>
          <w:rFonts w:ascii="Arial" w:hAnsi="Arial"/>
          <w:bCs/>
          <w:sz w:val="24"/>
        </w:rPr>
      </w:pPr>
      <w:r>
        <w:rPr>
          <w:rFonts w:ascii="Arial" w:hAnsi="Arial" w:hint="cs"/>
          <w:bCs/>
          <w:sz w:val="24"/>
          <w:rtl/>
        </w:rPr>
        <w:t>2014</w:t>
      </w:r>
    </w:p>
    <w:p w:rsidR="00B819C9" w:rsidRPr="00557B30" w:rsidRDefault="00B819C9" w:rsidP="00B819C9">
      <w:pPr>
        <w:tabs>
          <w:tab w:val="left" w:pos="4750"/>
        </w:tabs>
        <w:jc w:val="both"/>
        <w:rPr>
          <w:rFonts w:ascii="Arial" w:hAnsi="Arial"/>
          <w:b w:val="0"/>
          <w:bCs/>
          <w:sz w:val="28"/>
          <w:szCs w:val="28"/>
          <w:rtl/>
        </w:rPr>
      </w:pPr>
    </w:p>
    <w:p w:rsidR="00B819C9" w:rsidRDefault="00B819C9" w:rsidP="00B819C9">
      <w:pPr>
        <w:tabs>
          <w:tab w:val="left" w:pos="4750"/>
        </w:tabs>
        <w:jc w:val="both"/>
        <w:rPr>
          <w:rFonts w:ascii="Arial" w:hAnsi="Arial"/>
          <w:b w:val="0"/>
          <w:bCs/>
          <w:sz w:val="28"/>
          <w:szCs w:val="28"/>
          <w:rtl/>
        </w:rPr>
      </w:pPr>
      <w:r w:rsidRPr="00557B30">
        <w:rPr>
          <w:rFonts w:ascii="Arial" w:hAnsi="Arial"/>
          <w:bCs/>
          <w:noProof/>
          <w:sz w:val="28"/>
          <w:szCs w:val="28"/>
        </w:rPr>
        <w:drawing>
          <wp:inline distT="0" distB="0" distL="0" distR="0" wp14:anchorId="7BEAC6BC" wp14:editId="78D71999">
            <wp:extent cx="5276215" cy="2566659"/>
            <wp:effectExtent l="19050" t="19050" r="19685" b="24765"/>
            <wp:docPr id="4" name="תרשים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819C9" w:rsidRDefault="00B819C9" w:rsidP="00B819C9">
      <w:pPr>
        <w:tabs>
          <w:tab w:val="left" w:pos="4750"/>
        </w:tabs>
        <w:jc w:val="both"/>
        <w:rPr>
          <w:rFonts w:ascii="Arial" w:hAnsi="Arial"/>
          <w:b w:val="0"/>
          <w:bCs/>
          <w:sz w:val="28"/>
          <w:szCs w:val="28"/>
          <w:rtl/>
        </w:rPr>
      </w:pPr>
    </w:p>
    <w:p w:rsidR="00B819C9" w:rsidRDefault="00B819C9" w:rsidP="005E1795">
      <w:pPr>
        <w:tabs>
          <w:tab w:val="left" w:pos="6018"/>
        </w:tabs>
        <w:rPr>
          <w:rtl/>
        </w:rPr>
      </w:pPr>
    </w:p>
    <w:sectPr w:rsidR="00B819C9" w:rsidSect="00467EBB">
      <w:headerReference w:type="default" r:id="rId14"/>
      <w:footerReference w:type="default" r:id="rId15"/>
      <w:pgSz w:w="11909" w:h="16834" w:code="9"/>
      <w:pgMar w:top="1440" w:right="1800" w:bottom="1440" w:left="1800" w:header="0" w:footer="0" w:gutter="0"/>
      <w:cols w:space="720"/>
      <w:bidi/>
      <w:rtlGutter/>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A80" w:rsidRDefault="00F35A80" w:rsidP="00DC7F48">
      <w:r>
        <w:separator/>
      </w:r>
    </w:p>
  </w:endnote>
  <w:endnote w:type="continuationSeparator" w:id="0">
    <w:p w:rsidR="00F35A80" w:rsidRDefault="00F35A80" w:rsidP="00DC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dobe Arabic">
    <w:altName w:val="Times New Roman"/>
    <w:panose1 w:val="00000000000000000000"/>
    <w:charset w:val="00"/>
    <w:family w:val="roman"/>
    <w:notTrueType/>
    <w:pitch w:val="variable"/>
    <w:sig w:usb0="00000000" w:usb1="8000A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915" w:type="dxa"/>
      <w:tblInd w:w="-1364" w:type="dxa"/>
      <w:tblLayout w:type="fixed"/>
      <w:tblLook w:val="04A0" w:firstRow="1" w:lastRow="0" w:firstColumn="1" w:lastColumn="0" w:noHBand="0" w:noVBand="1"/>
    </w:tblPr>
    <w:tblGrid>
      <w:gridCol w:w="3260"/>
      <w:gridCol w:w="3119"/>
      <w:gridCol w:w="4536"/>
    </w:tblGrid>
    <w:tr w:rsidR="00B72080" w:rsidRPr="00E71E50" w:rsidTr="004C4B08">
      <w:trPr>
        <w:trHeight w:val="610"/>
      </w:trPr>
      <w:tc>
        <w:tcPr>
          <w:tcW w:w="3260" w:type="dxa"/>
        </w:tcPr>
        <w:p w:rsidR="00B72080" w:rsidRPr="00E71E50" w:rsidRDefault="00DA0272" w:rsidP="00B72080">
          <w:pPr>
            <w:tabs>
              <w:tab w:val="center" w:pos="4153"/>
              <w:tab w:val="right" w:pos="10772"/>
            </w:tabs>
            <w:rPr>
              <w:rFonts w:ascii="Arial" w:hAnsi="Arial" w:cs="Arial"/>
              <w:bCs/>
              <w:color w:val="003266"/>
              <w:sz w:val="16"/>
              <w:szCs w:val="16"/>
              <w:rtl/>
            </w:rPr>
          </w:pPr>
          <w:r>
            <w:rPr>
              <w:rFonts w:ascii="Arial" w:hAnsi="Arial" w:cs="Arial" w:hint="cs"/>
              <w:bCs/>
              <w:color w:val="003266"/>
              <w:sz w:val="16"/>
              <w:szCs w:val="16"/>
              <w:rtl/>
            </w:rPr>
            <w:t>נציבות</w:t>
          </w:r>
          <w:r w:rsidR="00B72080" w:rsidRPr="00E71E50">
            <w:rPr>
              <w:rFonts w:ascii="Arial" w:hAnsi="Arial" w:cs="Arial"/>
              <w:bCs/>
              <w:color w:val="003266"/>
              <w:sz w:val="16"/>
              <w:szCs w:val="16"/>
              <w:rtl/>
            </w:rPr>
            <w:t xml:space="preserve"> קבילות לחוק ביטוח בריאות</w:t>
          </w:r>
          <w:r w:rsidR="00B72080" w:rsidRPr="00E71E50">
            <w:rPr>
              <w:rFonts w:ascii="Arial" w:hAnsi="Arial" w:cs="Arial" w:hint="cs"/>
              <w:bCs/>
              <w:color w:val="003266"/>
              <w:sz w:val="16"/>
              <w:szCs w:val="16"/>
              <w:rtl/>
            </w:rPr>
            <w:t xml:space="preserve"> </w:t>
          </w:r>
          <w:r w:rsidR="00B72080" w:rsidRPr="00E71E50">
            <w:rPr>
              <w:rFonts w:ascii="Arial" w:hAnsi="Arial" w:cs="Arial"/>
              <w:bCs/>
              <w:color w:val="003266"/>
              <w:sz w:val="16"/>
              <w:szCs w:val="16"/>
              <w:rtl/>
            </w:rPr>
            <w:t>ממלכתי</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משרד הבריאות</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ת.ד.</w:t>
          </w:r>
          <w:r w:rsidRPr="00E71E50">
            <w:rPr>
              <w:rFonts w:ascii="Arial" w:hAnsi="Arial" w:cs="Arial" w:hint="cs"/>
              <w:bCs/>
              <w:color w:val="003266"/>
              <w:sz w:val="16"/>
              <w:szCs w:val="16"/>
              <w:rtl/>
            </w:rPr>
            <w:t xml:space="preserve"> </w:t>
          </w:r>
          <w:r w:rsidRPr="00E71E50">
            <w:rPr>
              <w:rFonts w:ascii="Arial" w:hAnsi="Arial" w:cs="Arial"/>
              <w:bCs/>
              <w:color w:val="003266"/>
              <w:sz w:val="16"/>
              <w:szCs w:val="16"/>
              <w:rtl/>
            </w:rPr>
            <w:t>1176 ירושלים 91010</w:t>
          </w:r>
        </w:p>
        <w:p w:rsidR="00B72080" w:rsidRPr="00E71E50" w:rsidRDefault="00B72080" w:rsidP="00B72080">
          <w:pPr>
            <w:tabs>
              <w:tab w:val="center" w:pos="4153"/>
              <w:tab w:val="right" w:pos="10772"/>
            </w:tabs>
            <w:rPr>
              <w:rFonts w:ascii="Arial" w:hAnsi="Arial" w:cs="Arial"/>
              <w:bCs/>
              <w:color w:val="003266"/>
              <w:sz w:val="16"/>
              <w:szCs w:val="16"/>
              <w:u w:val="single"/>
            </w:rPr>
          </w:pPr>
          <w:r w:rsidRPr="00E71E50">
            <w:rPr>
              <w:rFonts w:ascii="Arial" w:hAnsi="Arial" w:cs="Arial"/>
              <w:bCs/>
              <w:color w:val="003266"/>
              <w:sz w:val="16"/>
              <w:szCs w:val="16"/>
              <w:u w:val="single"/>
            </w:rPr>
            <w:t>kvilot@moh.health.gov.il</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rPr>
            <w:t>ט</w:t>
          </w:r>
          <w:r w:rsidRPr="00E71E50">
            <w:rPr>
              <w:rFonts w:ascii="Arial" w:hAnsi="Arial" w:cs="Arial" w:hint="cs"/>
              <w:bCs/>
              <w:color w:val="003266"/>
              <w:sz w:val="16"/>
              <w:szCs w:val="16"/>
              <w:rtl/>
            </w:rPr>
            <w:t>ל'</w:t>
          </w:r>
          <w:r w:rsidRPr="00E71E50">
            <w:rPr>
              <w:rFonts w:ascii="Arial" w:hAnsi="Arial" w:cs="Arial"/>
              <w:bCs/>
              <w:color w:val="003266"/>
              <w:sz w:val="16"/>
              <w:szCs w:val="16"/>
              <w:rtl/>
            </w:rPr>
            <w:t xml:space="preserve">: 5400* פקס: </w:t>
          </w:r>
          <w:r w:rsidRPr="00E71E50">
            <w:rPr>
              <w:rFonts w:ascii="Arial" w:hAnsi="Arial" w:cs="Arial"/>
              <w:bCs/>
              <w:color w:val="003266"/>
              <w:sz w:val="16"/>
              <w:szCs w:val="16"/>
            </w:rPr>
            <w:t>02-5655981</w:t>
          </w:r>
        </w:p>
      </w:tc>
      <w:tc>
        <w:tcPr>
          <w:tcW w:w="3119" w:type="dxa"/>
        </w:tcPr>
        <w:p w:rsidR="00B72080" w:rsidRPr="00E71E50" w:rsidRDefault="00B72080" w:rsidP="00CE706B">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lang w:bidi="ar-SA"/>
            </w:rPr>
            <w:t xml:space="preserve">مفوض شكاوى الجمهور حسب قانون التأمين الصحي </w:t>
          </w:r>
          <w:proofErr w:type="gramStart"/>
          <w:r w:rsidRPr="00E71E50">
            <w:rPr>
              <w:rFonts w:ascii="Arial" w:hAnsi="Arial" w:cs="Arial"/>
              <w:bCs/>
              <w:color w:val="003266"/>
              <w:sz w:val="16"/>
              <w:szCs w:val="16"/>
              <w:rtl/>
              <w:lang w:bidi="ar-SA"/>
            </w:rPr>
            <w:t>الرسمي</w:t>
          </w:r>
          <w:r w:rsidR="00CE706B">
            <w:rPr>
              <w:rFonts w:ascii="Arial" w:hAnsi="Arial" w:cs="Arial" w:hint="cs"/>
              <w:bCs/>
              <w:color w:val="003266"/>
              <w:sz w:val="16"/>
              <w:szCs w:val="16"/>
              <w:rtl/>
            </w:rPr>
            <w:t xml:space="preserve"> ,</w:t>
          </w:r>
          <w:proofErr w:type="gramEnd"/>
          <w:r w:rsidR="00CE706B">
            <w:rPr>
              <w:rFonts w:ascii="Arial" w:hAnsi="Arial" w:cs="Arial" w:hint="cs"/>
              <w:bCs/>
              <w:color w:val="003266"/>
              <w:sz w:val="16"/>
              <w:szCs w:val="16"/>
              <w:rtl/>
            </w:rPr>
            <w:t xml:space="preserve">  </w:t>
          </w:r>
          <w:r w:rsidRPr="00E71E50">
            <w:rPr>
              <w:rFonts w:ascii="Arial" w:hAnsi="Arial" w:cs="Arial"/>
              <w:bCs/>
              <w:color w:val="003266"/>
              <w:sz w:val="16"/>
              <w:szCs w:val="16"/>
              <w:rtl/>
            </w:rPr>
            <w:t xml:space="preserve"> </w:t>
          </w:r>
          <w:r w:rsidRPr="00E71E50">
            <w:rPr>
              <w:rFonts w:ascii="Arial" w:hAnsi="Arial" w:cs="Arial"/>
              <w:bCs/>
              <w:color w:val="003266"/>
              <w:sz w:val="16"/>
              <w:szCs w:val="16"/>
              <w:rtl/>
              <w:lang w:bidi="ar-SA"/>
            </w:rPr>
            <w:t>وزارة الصحة</w:t>
          </w:r>
          <w:r w:rsidRPr="00E71E50">
            <w:rPr>
              <w:rFonts w:ascii="Arial" w:hAnsi="Arial" w:cs="Arial" w:hint="cs"/>
              <w:bCs/>
              <w:color w:val="003266"/>
              <w:sz w:val="16"/>
              <w:szCs w:val="16"/>
              <w:rtl/>
            </w:rPr>
            <w:t xml:space="preserve"> </w:t>
          </w:r>
        </w:p>
        <w:p w:rsidR="00B72080" w:rsidRPr="00E71E50" w:rsidRDefault="00B72080" w:rsidP="00CE706B">
          <w:pPr>
            <w:tabs>
              <w:tab w:val="center" w:pos="4153"/>
              <w:tab w:val="right" w:pos="10772"/>
            </w:tabs>
            <w:rPr>
              <w:rFonts w:ascii="Arial" w:hAnsi="Arial" w:cs="Arial"/>
              <w:bCs/>
              <w:color w:val="003266"/>
              <w:sz w:val="16"/>
              <w:szCs w:val="16"/>
              <w:rtl/>
              <w:lang w:bidi="ar-SA"/>
            </w:rPr>
          </w:pPr>
          <w:r w:rsidRPr="00E71E50">
            <w:rPr>
              <w:rFonts w:ascii="Arial" w:hAnsi="Arial" w:cs="Arial"/>
              <w:bCs/>
              <w:color w:val="003266"/>
              <w:sz w:val="16"/>
              <w:szCs w:val="16"/>
              <w:rtl/>
              <w:lang w:bidi="ar-SA"/>
            </w:rPr>
            <w:t xml:space="preserve">ص.ب. 1176، </w:t>
          </w:r>
          <w:proofErr w:type="gramStart"/>
          <w:r w:rsidRPr="00E71E50">
            <w:rPr>
              <w:rFonts w:ascii="Arial" w:hAnsi="Arial" w:cs="Arial"/>
              <w:bCs/>
              <w:color w:val="003266"/>
              <w:sz w:val="16"/>
              <w:szCs w:val="16"/>
              <w:rtl/>
              <w:lang w:bidi="ar-SA"/>
            </w:rPr>
            <w:t>أورشليم</w:t>
          </w:r>
          <w:proofErr w:type="gramEnd"/>
          <w:r w:rsidRPr="00E71E50">
            <w:rPr>
              <w:rFonts w:ascii="Arial" w:hAnsi="Arial" w:cs="Arial"/>
              <w:bCs/>
              <w:color w:val="003266"/>
              <w:sz w:val="16"/>
              <w:szCs w:val="16"/>
              <w:rtl/>
              <w:lang w:bidi="ar-SA"/>
            </w:rPr>
            <w:t xml:space="preserve"> القدس </w:t>
          </w:r>
          <w:r w:rsidRPr="00E71E50">
            <w:rPr>
              <w:rFonts w:ascii="Arial" w:hAnsi="Arial" w:cs="Arial"/>
              <w:bCs/>
              <w:color w:val="003266"/>
              <w:sz w:val="16"/>
              <w:szCs w:val="16"/>
            </w:rPr>
            <w:t>91010</w:t>
          </w:r>
          <w:r w:rsidRPr="00E71E50">
            <w:rPr>
              <w:rFonts w:ascii="Arial" w:hAnsi="Arial" w:cs="Arial"/>
              <w:bCs/>
              <w:color w:val="003266"/>
              <w:sz w:val="16"/>
              <w:szCs w:val="16"/>
              <w:rtl/>
            </w:rPr>
            <w:t xml:space="preserve">                                    </w:t>
          </w:r>
        </w:p>
        <w:p w:rsidR="00B72080" w:rsidRPr="00E71E50" w:rsidRDefault="00B72080" w:rsidP="00B72080">
          <w:pPr>
            <w:tabs>
              <w:tab w:val="center" w:pos="4153"/>
              <w:tab w:val="right" w:pos="10772"/>
            </w:tabs>
            <w:rPr>
              <w:rFonts w:ascii="Arial" w:hAnsi="Arial" w:cs="Arial"/>
              <w:bCs/>
              <w:color w:val="003266"/>
              <w:sz w:val="16"/>
              <w:szCs w:val="16"/>
              <w:rtl/>
            </w:rPr>
          </w:pPr>
          <w:proofErr w:type="gramStart"/>
          <w:r w:rsidRPr="00E71E50">
            <w:rPr>
              <w:rFonts w:ascii="Arial" w:hAnsi="Arial" w:cs="Arial"/>
              <w:bCs/>
              <w:color w:val="003266"/>
              <w:sz w:val="16"/>
              <w:szCs w:val="16"/>
              <w:rtl/>
              <w:lang w:bidi="ar-SA"/>
            </w:rPr>
            <w:t>بريد</w:t>
          </w:r>
          <w:proofErr w:type="gramEnd"/>
          <w:r w:rsidRPr="00E71E50">
            <w:rPr>
              <w:rFonts w:ascii="Arial" w:hAnsi="Arial" w:cs="Arial"/>
              <w:bCs/>
              <w:color w:val="003266"/>
              <w:sz w:val="16"/>
              <w:szCs w:val="16"/>
              <w:rtl/>
              <w:lang w:bidi="ar-SA"/>
            </w:rPr>
            <w:t xml:space="preserve"> إلكتروني: </w:t>
          </w:r>
          <w:r w:rsidRPr="00E71E50">
            <w:rPr>
              <w:rFonts w:ascii="Arial" w:hAnsi="Arial" w:cs="Arial" w:hint="cs"/>
              <w:bCs/>
              <w:color w:val="003266"/>
              <w:sz w:val="16"/>
              <w:szCs w:val="16"/>
              <w:rtl/>
              <w:lang w:bidi="ar-SA"/>
            </w:rPr>
            <w:t>​</w:t>
          </w:r>
          <w:hyperlink r:id="rId1" w:history="1">
            <w:r w:rsidRPr="00E71E50">
              <w:rPr>
                <w:rFonts w:ascii="Arial" w:hAnsi="Arial" w:cs="Arial"/>
                <w:bCs/>
                <w:color w:val="003266"/>
                <w:sz w:val="16"/>
                <w:szCs w:val="16"/>
              </w:rPr>
              <w:t>kvilot@moh.health.gov.il</w:t>
            </w:r>
          </w:hyperlink>
          <w:r w:rsidRPr="00E71E50">
            <w:rPr>
              <w:rFonts w:ascii="Arial" w:hAnsi="Arial" w:cs="Arial"/>
              <w:bCs/>
              <w:color w:val="003266"/>
              <w:sz w:val="16"/>
              <w:szCs w:val="16"/>
              <w:rtl/>
            </w:rPr>
            <w:t xml:space="preserve"> </w:t>
          </w:r>
        </w:p>
        <w:p w:rsidR="00B72080" w:rsidRPr="00E71E50" w:rsidRDefault="00B72080" w:rsidP="00B72080">
          <w:pPr>
            <w:tabs>
              <w:tab w:val="center" w:pos="4153"/>
              <w:tab w:val="right" w:pos="10772"/>
            </w:tabs>
            <w:rPr>
              <w:rFonts w:ascii="Arial" w:hAnsi="Arial" w:cs="Arial"/>
              <w:bCs/>
              <w:color w:val="003266"/>
              <w:sz w:val="16"/>
              <w:szCs w:val="16"/>
              <w:rtl/>
            </w:rPr>
          </w:pPr>
          <w:r w:rsidRPr="00E71E50">
            <w:rPr>
              <w:rFonts w:ascii="Arial" w:hAnsi="Arial" w:cs="Arial"/>
              <w:bCs/>
              <w:color w:val="003266"/>
              <w:sz w:val="16"/>
              <w:szCs w:val="16"/>
              <w:rtl/>
              <w:lang w:bidi="ar-SA"/>
            </w:rPr>
            <w:t>هاتف:</w:t>
          </w:r>
          <w:r w:rsidRPr="00E71E50">
            <w:rPr>
              <w:rFonts w:ascii="Arial" w:hAnsi="Arial" w:cs="Arial" w:hint="cs"/>
              <w:bCs/>
              <w:color w:val="003266"/>
              <w:sz w:val="16"/>
              <w:szCs w:val="16"/>
              <w:rtl/>
            </w:rPr>
            <w:t xml:space="preserve"> </w:t>
          </w:r>
          <w:proofErr w:type="gramStart"/>
          <w:r w:rsidRPr="00E71E50">
            <w:rPr>
              <w:rFonts w:ascii="Arial" w:hAnsi="Arial" w:cs="Arial"/>
              <w:bCs/>
              <w:color w:val="003266"/>
              <w:sz w:val="16"/>
              <w:szCs w:val="16"/>
              <w:rtl/>
            </w:rPr>
            <w:t>*5400 ,</w:t>
          </w:r>
          <w:proofErr w:type="gramEnd"/>
          <w:r w:rsidRPr="00E71E50">
            <w:rPr>
              <w:rFonts w:ascii="Arial" w:hAnsi="Arial" w:cs="Arial"/>
              <w:bCs/>
              <w:color w:val="003266"/>
              <w:sz w:val="16"/>
              <w:szCs w:val="16"/>
              <w:rtl/>
            </w:rPr>
            <w:t xml:space="preserve"> </w:t>
          </w:r>
          <w:r w:rsidRPr="00E71E50">
            <w:rPr>
              <w:rFonts w:ascii="Arial" w:hAnsi="Arial" w:cs="Arial"/>
              <w:bCs/>
              <w:color w:val="003266"/>
              <w:sz w:val="16"/>
              <w:szCs w:val="16"/>
              <w:rtl/>
              <w:lang w:bidi="ar-SA"/>
            </w:rPr>
            <w:t>فاكس:</w:t>
          </w:r>
          <w:r w:rsidRPr="00E71E50">
            <w:rPr>
              <w:rFonts w:ascii="Arial" w:hAnsi="Arial" w:cs="Arial"/>
              <w:bCs/>
              <w:color w:val="003266"/>
              <w:sz w:val="16"/>
              <w:szCs w:val="16"/>
              <w:rtl/>
            </w:rPr>
            <w:t xml:space="preserve"> 02-5655981</w:t>
          </w:r>
        </w:p>
        <w:p w:rsidR="00B72080" w:rsidRPr="00E71E50" w:rsidRDefault="00B72080" w:rsidP="00B72080">
          <w:pPr>
            <w:rPr>
              <w:rFonts w:ascii="Arial" w:hAnsi="Arial" w:cs="Arial"/>
              <w:sz w:val="16"/>
              <w:szCs w:val="16"/>
            </w:rPr>
          </w:pPr>
        </w:p>
      </w:tc>
      <w:tc>
        <w:tcPr>
          <w:tcW w:w="4536" w:type="dxa"/>
        </w:tcPr>
        <w:p w:rsidR="00B72080" w:rsidRPr="00E71E50" w:rsidRDefault="00B72080" w:rsidP="00B72080">
          <w:pPr>
            <w:jc w:val="right"/>
            <w:rPr>
              <w:rFonts w:ascii="Arial" w:hAnsi="Arial" w:cs="Arial"/>
              <w:bCs/>
              <w:color w:val="003266"/>
              <w:sz w:val="16"/>
              <w:szCs w:val="16"/>
              <w:rtl/>
            </w:rPr>
          </w:pPr>
          <w:r w:rsidRPr="00E71E50">
            <w:rPr>
              <w:rFonts w:ascii="Arial" w:hAnsi="Arial" w:cs="Arial"/>
              <w:bCs/>
              <w:color w:val="003266"/>
              <w:sz w:val="16"/>
              <w:szCs w:val="16"/>
            </w:rPr>
            <w:t>Ombudsman of the National Health Insurance Act</w:t>
          </w:r>
        </w:p>
        <w:p w:rsidR="00B72080" w:rsidRPr="00E71E50" w:rsidRDefault="00B72080" w:rsidP="00B72080">
          <w:pPr>
            <w:jc w:val="right"/>
            <w:rPr>
              <w:rFonts w:ascii="Arial" w:hAnsi="Arial" w:cs="Arial"/>
              <w:bCs/>
              <w:color w:val="003266"/>
              <w:sz w:val="16"/>
              <w:szCs w:val="16"/>
              <w:rtl/>
            </w:rPr>
          </w:pPr>
          <w:r w:rsidRPr="00E71E50">
            <w:rPr>
              <w:rFonts w:ascii="Arial" w:hAnsi="Arial" w:cs="Arial"/>
              <w:bCs/>
              <w:color w:val="003266"/>
              <w:sz w:val="16"/>
              <w:szCs w:val="16"/>
            </w:rPr>
            <w:t>Ministry of Health</w:t>
          </w:r>
        </w:p>
        <w:p w:rsidR="00B72080" w:rsidRPr="00E71E50" w:rsidRDefault="00B72080" w:rsidP="00B72080">
          <w:pPr>
            <w:ind w:hanging="13"/>
            <w:jc w:val="right"/>
            <w:rPr>
              <w:rFonts w:ascii="Arial" w:hAnsi="Arial" w:cs="Arial"/>
              <w:bCs/>
              <w:color w:val="003266"/>
              <w:sz w:val="16"/>
              <w:szCs w:val="16"/>
            </w:rPr>
          </w:pPr>
          <w:r w:rsidRPr="00E71E50">
            <w:rPr>
              <w:rFonts w:ascii="Arial" w:hAnsi="Arial" w:cs="Arial"/>
              <w:bCs/>
              <w:color w:val="003266"/>
              <w:sz w:val="16"/>
              <w:szCs w:val="16"/>
            </w:rPr>
            <w:t>P.O.B 1176 Jerusalem 91010</w:t>
          </w:r>
        </w:p>
        <w:p w:rsidR="00B72080" w:rsidRPr="00E71E50" w:rsidRDefault="00B72080" w:rsidP="00B72080">
          <w:pPr>
            <w:tabs>
              <w:tab w:val="center" w:pos="4153"/>
              <w:tab w:val="right" w:pos="10772"/>
            </w:tabs>
            <w:jc w:val="right"/>
            <w:rPr>
              <w:rFonts w:ascii="Arial" w:hAnsi="Arial" w:cs="Arial"/>
              <w:bCs/>
              <w:color w:val="003266"/>
              <w:sz w:val="16"/>
              <w:szCs w:val="16"/>
              <w:u w:val="single"/>
            </w:rPr>
          </w:pPr>
          <w:r w:rsidRPr="00E71E50">
            <w:rPr>
              <w:rFonts w:ascii="Arial" w:hAnsi="Arial" w:cs="Arial"/>
              <w:bCs/>
              <w:color w:val="003266"/>
              <w:sz w:val="16"/>
              <w:szCs w:val="16"/>
              <w:u w:val="single"/>
            </w:rPr>
            <w:t>kvilot@moh.health.gov.il</w:t>
          </w:r>
        </w:p>
        <w:p w:rsidR="00B72080" w:rsidRPr="00E71E50" w:rsidRDefault="00B72080" w:rsidP="00B72080">
          <w:pPr>
            <w:tabs>
              <w:tab w:val="left" w:pos="3975"/>
              <w:tab w:val="center" w:pos="4153"/>
              <w:tab w:val="right" w:pos="10772"/>
            </w:tabs>
            <w:jc w:val="right"/>
            <w:rPr>
              <w:rFonts w:ascii="Arial" w:hAnsi="Arial" w:cs="Arial"/>
              <w:bCs/>
              <w:color w:val="003266"/>
              <w:sz w:val="16"/>
              <w:szCs w:val="16"/>
            </w:rPr>
          </w:pPr>
          <w:r w:rsidRPr="00E71E50">
            <w:rPr>
              <w:rFonts w:ascii="Arial" w:hAnsi="Arial" w:cs="Arial"/>
              <w:bCs/>
              <w:color w:val="003266"/>
              <w:sz w:val="16"/>
              <w:szCs w:val="16"/>
            </w:rPr>
            <w:t>Tel: *5400 Fax: 02-5655981</w:t>
          </w:r>
        </w:p>
      </w:tc>
    </w:tr>
  </w:tbl>
  <w:p w:rsidR="00D32393" w:rsidRPr="00B72080" w:rsidRDefault="00F35A80" w:rsidP="00467EBB">
    <w:pPr>
      <w:pStyle w:val="a5"/>
      <w:rPr>
        <w:bCs/>
        <w:sz w:val="18"/>
        <w:szCs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A80" w:rsidRDefault="00F35A80" w:rsidP="00DC7F48">
      <w:r>
        <w:separator/>
      </w:r>
    </w:p>
  </w:footnote>
  <w:footnote w:type="continuationSeparator" w:id="0">
    <w:p w:rsidR="00F35A80" w:rsidRDefault="00F35A80" w:rsidP="00DC7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5AB" w:rsidRDefault="00294D98" w:rsidP="005C05AB">
    <w:pPr>
      <w:pStyle w:val="a3"/>
    </w:pPr>
    <w:r>
      <w:rPr>
        <w:noProof/>
      </w:rPr>
      <w:drawing>
        <wp:anchor distT="0" distB="0" distL="114300" distR="114300" simplePos="0" relativeHeight="251658240" behindDoc="0" locked="0" layoutInCell="1" allowOverlap="1" wp14:anchorId="581FF191" wp14:editId="5C832B08">
          <wp:simplePos x="0" y="0"/>
          <wp:positionH relativeFrom="column">
            <wp:posOffset>-853440</wp:posOffset>
          </wp:positionH>
          <wp:positionV relativeFrom="paragraph">
            <wp:posOffset>-15240</wp:posOffset>
          </wp:positionV>
          <wp:extent cx="7063740" cy="1790700"/>
          <wp:effectExtent l="0" t="0" r="381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נציב לחוק ביטוח בריאות ממלכתי 3 שפות.jpg"/>
                  <pic:cNvPicPr/>
                </pic:nvPicPr>
                <pic:blipFill>
                  <a:blip r:embed="rId1">
                    <a:extLst>
                      <a:ext uri="{28A0092B-C50C-407E-A947-70E740481C1C}">
                        <a14:useLocalDpi xmlns:a14="http://schemas.microsoft.com/office/drawing/2010/main" val="0"/>
                      </a:ext>
                    </a:extLst>
                  </a:blip>
                  <a:stretch>
                    <a:fillRect/>
                  </a:stretch>
                </pic:blipFill>
                <pic:spPr>
                  <a:xfrm>
                    <a:off x="0" y="0"/>
                    <a:ext cx="7063740" cy="1790700"/>
                  </a:xfrm>
                  <a:prstGeom prst="rect">
                    <a:avLst/>
                  </a:prstGeom>
                </pic:spPr>
              </pic:pic>
            </a:graphicData>
          </a:graphic>
          <wp14:sizeRelH relativeFrom="page">
            <wp14:pctWidth>0</wp14:pctWidth>
          </wp14:sizeRelH>
          <wp14:sizeRelV relativeFrom="page">
            <wp14:pctHeight>0</wp14:pctHeight>
          </wp14:sizeRelV>
        </wp:anchor>
      </w:drawing>
    </w:r>
  </w:p>
  <w:p w:rsidR="005C05AB" w:rsidRPr="003C48D2" w:rsidRDefault="00F35A80" w:rsidP="005C05AB">
    <w:pPr>
      <w:pStyle w:val="a3"/>
      <w:rPr>
        <w:szCs w:val="20"/>
        <w:rtl/>
      </w:rPr>
    </w:pPr>
  </w:p>
  <w:p w:rsidR="00CE2DFB" w:rsidRPr="005C05AB" w:rsidRDefault="00F35A80" w:rsidP="005C05AB">
    <w:pPr>
      <w:pStyle w:val="a3"/>
      <w:rPr>
        <w:szCs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52D44"/>
    <w:multiLevelType w:val="hybridMultilevel"/>
    <w:tmpl w:val="2320ED36"/>
    <w:lvl w:ilvl="0" w:tplc="1D14CA22">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D1F1577"/>
    <w:multiLevelType w:val="hybridMultilevel"/>
    <w:tmpl w:val="AADE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F48"/>
    <w:rsid w:val="0000409B"/>
    <w:rsid w:val="00011A8A"/>
    <w:rsid w:val="00020F5E"/>
    <w:rsid w:val="00060F96"/>
    <w:rsid w:val="000A1304"/>
    <w:rsid w:val="000B60C7"/>
    <w:rsid w:val="00141EFA"/>
    <w:rsid w:val="00152FBF"/>
    <w:rsid w:val="0016156D"/>
    <w:rsid w:val="00171945"/>
    <w:rsid w:val="001800A0"/>
    <w:rsid w:val="00182EB1"/>
    <w:rsid w:val="0025175A"/>
    <w:rsid w:val="00255DE6"/>
    <w:rsid w:val="00260A2D"/>
    <w:rsid w:val="00267381"/>
    <w:rsid w:val="0029119B"/>
    <w:rsid w:val="00294D98"/>
    <w:rsid w:val="002C455F"/>
    <w:rsid w:val="002E7C4E"/>
    <w:rsid w:val="003025D6"/>
    <w:rsid w:val="00305ADE"/>
    <w:rsid w:val="0031113B"/>
    <w:rsid w:val="003372E2"/>
    <w:rsid w:val="00342C27"/>
    <w:rsid w:val="003652EE"/>
    <w:rsid w:val="003737CF"/>
    <w:rsid w:val="00392816"/>
    <w:rsid w:val="003E3012"/>
    <w:rsid w:val="003E668E"/>
    <w:rsid w:val="003F11A5"/>
    <w:rsid w:val="00412B3F"/>
    <w:rsid w:val="00445EFA"/>
    <w:rsid w:val="00454E46"/>
    <w:rsid w:val="00467EBB"/>
    <w:rsid w:val="004905A5"/>
    <w:rsid w:val="00497277"/>
    <w:rsid w:val="0052521F"/>
    <w:rsid w:val="0053759D"/>
    <w:rsid w:val="005520F5"/>
    <w:rsid w:val="00557B30"/>
    <w:rsid w:val="00567FC4"/>
    <w:rsid w:val="005A78B2"/>
    <w:rsid w:val="005B1C81"/>
    <w:rsid w:val="005D4AB7"/>
    <w:rsid w:val="005E1795"/>
    <w:rsid w:val="005F3EF3"/>
    <w:rsid w:val="006043B4"/>
    <w:rsid w:val="00620E6E"/>
    <w:rsid w:val="00621F18"/>
    <w:rsid w:val="00622505"/>
    <w:rsid w:val="00636060"/>
    <w:rsid w:val="00665BCF"/>
    <w:rsid w:val="00685197"/>
    <w:rsid w:val="006A3048"/>
    <w:rsid w:val="006A3C51"/>
    <w:rsid w:val="006B30C5"/>
    <w:rsid w:val="006B5214"/>
    <w:rsid w:val="006C7A37"/>
    <w:rsid w:val="00704401"/>
    <w:rsid w:val="00711C1C"/>
    <w:rsid w:val="0072617C"/>
    <w:rsid w:val="007279EE"/>
    <w:rsid w:val="007414BC"/>
    <w:rsid w:val="0074385B"/>
    <w:rsid w:val="00753316"/>
    <w:rsid w:val="00755E02"/>
    <w:rsid w:val="0077701A"/>
    <w:rsid w:val="00780B3D"/>
    <w:rsid w:val="00794211"/>
    <w:rsid w:val="007B5736"/>
    <w:rsid w:val="007C64F2"/>
    <w:rsid w:val="007F299A"/>
    <w:rsid w:val="00804C1C"/>
    <w:rsid w:val="00896E10"/>
    <w:rsid w:val="008B36E9"/>
    <w:rsid w:val="00967F23"/>
    <w:rsid w:val="00977E9A"/>
    <w:rsid w:val="009931BE"/>
    <w:rsid w:val="00996D97"/>
    <w:rsid w:val="009A0566"/>
    <w:rsid w:val="009C057B"/>
    <w:rsid w:val="009D5BC7"/>
    <w:rsid w:val="00A03B03"/>
    <w:rsid w:val="00A229EC"/>
    <w:rsid w:val="00A55177"/>
    <w:rsid w:val="00A67287"/>
    <w:rsid w:val="00A75FA3"/>
    <w:rsid w:val="00AA4D10"/>
    <w:rsid w:val="00AB77D4"/>
    <w:rsid w:val="00AD1DB9"/>
    <w:rsid w:val="00AF0A01"/>
    <w:rsid w:val="00B60E43"/>
    <w:rsid w:val="00B72080"/>
    <w:rsid w:val="00B7781D"/>
    <w:rsid w:val="00B819C9"/>
    <w:rsid w:val="00B8251E"/>
    <w:rsid w:val="00BA3D88"/>
    <w:rsid w:val="00BC648B"/>
    <w:rsid w:val="00BD6786"/>
    <w:rsid w:val="00C02065"/>
    <w:rsid w:val="00C44D00"/>
    <w:rsid w:val="00C6475E"/>
    <w:rsid w:val="00CD5CF2"/>
    <w:rsid w:val="00CE706B"/>
    <w:rsid w:val="00D02937"/>
    <w:rsid w:val="00D04D6D"/>
    <w:rsid w:val="00D05774"/>
    <w:rsid w:val="00D27E16"/>
    <w:rsid w:val="00D37C7E"/>
    <w:rsid w:val="00D500AF"/>
    <w:rsid w:val="00D64248"/>
    <w:rsid w:val="00D679AA"/>
    <w:rsid w:val="00D95040"/>
    <w:rsid w:val="00DA0272"/>
    <w:rsid w:val="00DA16AE"/>
    <w:rsid w:val="00DB7836"/>
    <w:rsid w:val="00DC7F48"/>
    <w:rsid w:val="00DE62E6"/>
    <w:rsid w:val="00E131D6"/>
    <w:rsid w:val="00E51D7F"/>
    <w:rsid w:val="00E555F0"/>
    <w:rsid w:val="00E566AD"/>
    <w:rsid w:val="00E636D7"/>
    <w:rsid w:val="00E71E50"/>
    <w:rsid w:val="00E85FA0"/>
    <w:rsid w:val="00E921B0"/>
    <w:rsid w:val="00EA0456"/>
    <w:rsid w:val="00EB75D3"/>
    <w:rsid w:val="00EE2D37"/>
    <w:rsid w:val="00EF449C"/>
    <w:rsid w:val="00EF499E"/>
    <w:rsid w:val="00F35A80"/>
    <w:rsid w:val="00F80B57"/>
    <w:rsid w:val="00FA5D4F"/>
    <w:rsid w:val="00FB740B"/>
    <w:rsid w:val="00FC73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48"/>
    <w:pPr>
      <w:bidi/>
      <w:spacing w:after="0" w:line="240" w:lineRule="auto"/>
    </w:pPr>
    <w:rPr>
      <w:rFonts w:ascii="Times New Roman" w:eastAsia="Times New Roman" w:hAnsi="Times New Roman"/>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C7F48"/>
    <w:pPr>
      <w:tabs>
        <w:tab w:val="center" w:pos="4153"/>
        <w:tab w:val="right" w:pos="8306"/>
      </w:tabs>
    </w:pPr>
  </w:style>
  <w:style w:type="character" w:customStyle="1" w:styleId="a4">
    <w:name w:val="כותרת עליונה תו"/>
    <w:basedOn w:val="a0"/>
    <w:link w:val="a3"/>
    <w:rsid w:val="00DC7F48"/>
    <w:rPr>
      <w:rFonts w:ascii="Times New Roman" w:eastAsia="Times New Roman" w:hAnsi="Times New Roman"/>
      <w:b/>
      <w:sz w:val="20"/>
    </w:rPr>
  </w:style>
  <w:style w:type="paragraph" w:styleId="a5">
    <w:name w:val="footer"/>
    <w:basedOn w:val="a"/>
    <w:link w:val="a6"/>
    <w:rsid w:val="00DC7F48"/>
    <w:pPr>
      <w:tabs>
        <w:tab w:val="center" w:pos="4153"/>
        <w:tab w:val="right" w:pos="8306"/>
      </w:tabs>
    </w:pPr>
  </w:style>
  <w:style w:type="character" w:customStyle="1" w:styleId="a6">
    <w:name w:val="כותרת תחתונה תו"/>
    <w:basedOn w:val="a0"/>
    <w:link w:val="a5"/>
    <w:rsid w:val="00DC7F48"/>
    <w:rPr>
      <w:rFonts w:ascii="Times New Roman" w:eastAsia="Times New Roman" w:hAnsi="Times New Roman"/>
      <w:b/>
      <w:sz w:val="20"/>
    </w:rPr>
  </w:style>
  <w:style w:type="character" w:styleId="Hyperlink">
    <w:name w:val="Hyperlink"/>
    <w:uiPriority w:val="99"/>
    <w:rsid w:val="00DC7F48"/>
    <w:rPr>
      <w:color w:val="0000FF"/>
      <w:u w:val="single"/>
    </w:rPr>
  </w:style>
  <w:style w:type="paragraph" w:styleId="a7">
    <w:name w:val="Balloon Text"/>
    <w:basedOn w:val="a"/>
    <w:link w:val="a8"/>
    <w:uiPriority w:val="99"/>
    <w:semiHidden/>
    <w:unhideWhenUsed/>
    <w:rsid w:val="00DC7F48"/>
    <w:rPr>
      <w:rFonts w:ascii="Tahoma" w:hAnsi="Tahoma" w:cs="Tahoma"/>
      <w:sz w:val="16"/>
      <w:szCs w:val="16"/>
    </w:rPr>
  </w:style>
  <w:style w:type="character" w:customStyle="1" w:styleId="a8">
    <w:name w:val="טקסט בלונים תו"/>
    <w:basedOn w:val="a0"/>
    <w:link w:val="a7"/>
    <w:uiPriority w:val="99"/>
    <w:semiHidden/>
    <w:rsid w:val="00DC7F48"/>
    <w:rPr>
      <w:rFonts w:ascii="Tahoma" w:eastAsia="Times New Roman" w:hAnsi="Tahoma" w:cs="Tahoma"/>
      <w:b/>
      <w:sz w:val="16"/>
      <w:szCs w:val="16"/>
    </w:rPr>
  </w:style>
  <w:style w:type="paragraph" w:styleId="a9">
    <w:name w:val="List Paragraph"/>
    <w:basedOn w:val="a"/>
    <w:uiPriority w:val="34"/>
    <w:qFormat/>
    <w:rsid w:val="00152F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David"/>
        <w:sz w:val="24"/>
        <w:szCs w:val="24"/>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48"/>
    <w:pPr>
      <w:bidi/>
      <w:spacing w:after="0" w:line="240" w:lineRule="auto"/>
    </w:pPr>
    <w:rPr>
      <w:rFonts w:ascii="Times New Roman" w:eastAsia="Times New Roman" w:hAnsi="Times New Roman"/>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C7F48"/>
    <w:pPr>
      <w:tabs>
        <w:tab w:val="center" w:pos="4153"/>
        <w:tab w:val="right" w:pos="8306"/>
      </w:tabs>
    </w:pPr>
  </w:style>
  <w:style w:type="character" w:customStyle="1" w:styleId="a4">
    <w:name w:val="כותרת עליונה תו"/>
    <w:basedOn w:val="a0"/>
    <w:link w:val="a3"/>
    <w:rsid w:val="00DC7F48"/>
    <w:rPr>
      <w:rFonts w:ascii="Times New Roman" w:eastAsia="Times New Roman" w:hAnsi="Times New Roman"/>
      <w:b/>
      <w:sz w:val="20"/>
    </w:rPr>
  </w:style>
  <w:style w:type="paragraph" w:styleId="a5">
    <w:name w:val="footer"/>
    <w:basedOn w:val="a"/>
    <w:link w:val="a6"/>
    <w:rsid w:val="00DC7F48"/>
    <w:pPr>
      <w:tabs>
        <w:tab w:val="center" w:pos="4153"/>
        <w:tab w:val="right" w:pos="8306"/>
      </w:tabs>
    </w:pPr>
  </w:style>
  <w:style w:type="character" w:customStyle="1" w:styleId="a6">
    <w:name w:val="כותרת תחתונה תו"/>
    <w:basedOn w:val="a0"/>
    <w:link w:val="a5"/>
    <w:rsid w:val="00DC7F48"/>
    <w:rPr>
      <w:rFonts w:ascii="Times New Roman" w:eastAsia="Times New Roman" w:hAnsi="Times New Roman"/>
      <w:b/>
      <w:sz w:val="20"/>
    </w:rPr>
  </w:style>
  <w:style w:type="character" w:styleId="Hyperlink">
    <w:name w:val="Hyperlink"/>
    <w:uiPriority w:val="99"/>
    <w:rsid w:val="00DC7F48"/>
    <w:rPr>
      <w:color w:val="0000FF"/>
      <w:u w:val="single"/>
    </w:rPr>
  </w:style>
  <w:style w:type="paragraph" w:styleId="a7">
    <w:name w:val="Balloon Text"/>
    <w:basedOn w:val="a"/>
    <w:link w:val="a8"/>
    <w:uiPriority w:val="99"/>
    <w:semiHidden/>
    <w:unhideWhenUsed/>
    <w:rsid w:val="00DC7F48"/>
    <w:rPr>
      <w:rFonts w:ascii="Tahoma" w:hAnsi="Tahoma" w:cs="Tahoma"/>
      <w:sz w:val="16"/>
      <w:szCs w:val="16"/>
    </w:rPr>
  </w:style>
  <w:style w:type="character" w:customStyle="1" w:styleId="a8">
    <w:name w:val="טקסט בלונים תו"/>
    <w:basedOn w:val="a0"/>
    <w:link w:val="a7"/>
    <w:uiPriority w:val="99"/>
    <w:semiHidden/>
    <w:rsid w:val="00DC7F48"/>
    <w:rPr>
      <w:rFonts w:ascii="Tahoma" w:eastAsia="Times New Roman" w:hAnsi="Tahoma" w:cs="Tahoma"/>
      <w:b/>
      <w:sz w:val="16"/>
      <w:szCs w:val="16"/>
    </w:rPr>
  </w:style>
  <w:style w:type="paragraph" w:styleId="a9">
    <w:name w:val="List Paragraph"/>
    <w:basedOn w:val="a"/>
    <w:uiPriority w:val="34"/>
    <w:qFormat/>
    <w:rsid w:val="00152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7047">
      <w:bodyDiv w:val="1"/>
      <w:marLeft w:val="0"/>
      <w:marRight w:val="0"/>
      <w:marTop w:val="0"/>
      <w:marBottom w:val="0"/>
      <w:divBdr>
        <w:top w:val="none" w:sz="0" w:space="0" w:color="auto"/>
        <w:left w:val="none" w:sz="0" w:space="0" w:color="auto"/>
        <w:bottom w:val="none" w:sz="0" w:space="0" w:color="auto"/>
        <w:right w:val="none" w:sz="0" w:space="0" w:color="auto"/>
      </w:divBdr>
    </w:div>
    <w:div w:id="996763186">
      <w:bodyDiv w:val="1"/>
      <w:marLeft w:val="0"/>
      <w:marRight w:val="0"/>
      <w:marTop w:val="0"/>
      <w:marBottom w:val="0"/>
      <w:divBdr>
        <w:top w:val="none" w:sz="0" w:space="0" w:color="auto"/>
        <w:left w:val="none" w:sz="0" w:space="0" w:color="auto"/>
        <w:bottom w:val="none" w:sz="0" w:space="0" w:color="auto"/>
        <w:right w:val="none" w:sz="0" w:space="0" w:color="auto"/>
      </w:divBdr>
    </w:div>
    <w:div w:id="124133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kvilot@moh.health.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32655390390390393"/>
          <c:y val="6.9250925925925924E-2"/>
          <c:w val="0.60008693693693693"/>
          <c:h val="0.50853209876543215"/>
        </c:manualLayout>
      </c:layout>
      <c:barChart>
        <c:barDir val="col"/>
        <c:grouping val="clustered"/>
        <c:varyColors val="0"/>
        <c:ser>
          <c:idx val="0"/>
          <c:order val="0"/>
          <c:tx>
            <c:strRef>
              <c:f>'sheet 1'!$A$3</c:f>
              <c:strCache>
                <c:ptCount val="1"/>
                <c:pt idx="0">
                  <c:v>כללית</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1'!$B$3:$L$3</c:f>
              <c:numCache>
                <c:formatCode>#,##0.00_);\(#,##0.00\)</c:formatCode>
                <c:ptCount val="11"/>
                <c:pt idx="0">
                  <c:v>0.1</c:v>
                </c:pt>
                <c:pt idx="1">
                  <c:v>0.49</c:v>
                </c:pt>
                <c:pt idx="2">
                  <c:v>0.11</c:v>
                </c:pt>
                <c:pt idx="3">
                  <c:v>0.08</c:v>
                </c:pt>
                <c:pt idx="4">
                  <c:v>0.12</c:v>
                </c:pt>
                <c:pt idx="5">
                  <c:v>0.3</c:v>
                </c:pt>
                <c:pt idx="6">
                  <c:v>0.18</c:v>
                </c:pt>
                <c:pt idx="7">
                  <c:v>0.15</c:v>
                </c:pt>
                <c:pt idx="8" formatCode="General">
                  <c:v>0.19</c:v>
                </c:pt>
                <c:pt idx="9">
                  <c:v>0.56999999999999995</c:v>
                </c:pt>
                <c:pt idx="10">
                  <c:v>0.12</c:v>
                </c:pt>
              </c:numCache>
            </c:numRef>
          </c:val>
        </c:ser>
        <c:ser>
          <c:idx val="1"/>
          <c:order val="1"/>
          <c:tx>
            <c:strRef>
              <c:f>'sheet 1'!$A$4</c:f>
              <c:strCache>
                <c:ptCount val="1"/>
                <c:pt idx="0">
                  <c:v>מכבי</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1'!$B$4:$L$4</c:f>
              <c:numCache>
                <c:formatCode>#,##0.00_);\(#,##0.00\)</c:formatCode>
                <c:ptCount val="11"/>
                <c:pt idx="0">
                  <c:v>0.08</c:v>
                </c:pt>
                <c:pt idx="1">
                  <c:v>0.49</c:v>
                </c:pt>
                <c:pt idx="2">
                  <c:v>0.15</c:v>
                </c:pt>
                <c:pt idx="3">
                  <c:v>7.0000000000000007E-2</c:v>
                </c:pt>
                <c:pt idx="4">
                  <c:v>0.17</c:v>
                </c:pt>
                <c:pt idx="5">
                  <c:v>0.27</c:v>
                </c:pt>
                <c:pt idx="6">
                  <c:v>0.27</c:v>
                </c:pt>
                <c:pt idx="7">
                  <c:v>0.16</c:v>
                </c:pt>
                <c:pt idx="8" formatCode="General">
                  <c:v>0.18</c:v>
                </c:pt>
                <c:pt idx="9">
                  <c:v>1.04</c:v>
                </c:pt>
                <c:pt idx="10">
                  <c:v>0.2</c:v>
                </c:pt>
              </c:numCache>
            </c:numRef>
          </c:val>
        </c:ser>
        <c:ser>
          <c:idx val="2"/>
          <c:order val="2"/>
          <c:tx>
            <c:strRef>
              <c:f>'sheet 1'!$A$5</c:f>
              <c:strCache>
                <c:ptCount val="1"/>
                <c:pt idx="0">
                  <c:v>מאוחדת</c:v>
                </c:pt>
              </c:strCache>
            </c:strRef>
          </c:tx>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1'!$B$5:$L$5</c:f>
              <c:numCache>
                <c:formatCode>#,##0.00_);\(#,##0.00\)</c:formatCode>
                <c:ptCount val="11"/>
                <c:pt idx="0">
                  <c:v>0.09</c:v>
                </c:pt>
                <c:pt idx="1">
                  <c:v>0.42</c:v>
                </c:pt>
                <c:pt idx="2">
                  <c:v>0.19</c:v>
                </c:pt>
                <c:pt idx="3">
                  <c:v>0.06</c:v>
                </c:pt>
                <c:pt idx="4">
                  <c:v>0.12</c:v>
                </c:pt>
                <c:pt idx="5">
                  <c:v>0.35</c:v>
                </c:pt>
                <c:pt idx="6">
                  <c:v>0.28000000000000003</c:v>
                </c:pt>
                <c:pt idx="7">
                  <c:v>0.4</c:v>
                </c:pt>
                <c:pt idx="8" formatCode="General">
                  <c:v>0.33</c:v>
                </c:pt>
                <c:pt idx="9">
                  <c:v>0.86</c:v>
                </c:pt>
                <c:pt idx="10">
                  <c:v>0.28000000000000003</c:v>
                </c:pt>
              </c:numCache>
            </c:numRef>
          </c:val>
        </c:ser>
        <c:ser>
          <c:idx val="3"/>
          <c:order val="3"/>
          <c:tx>
            <c:strRef>
              <c:f>'sheet 1'!$A$6</c:f>
              <c:strCache>
                <c:ptCount val="1"/>
                <c:pt idx="0">
                  <c:v>לאומית</c:v>
                </c:pt>
              </c:strCache>
            </c:strRef>
          </c:tx>
          <c:spPr>
            <a:solidFill>
              <a:srgbClr val="FFC000"/>
            </a:solidFill>
          </c:spPr>
          <c:invertIfNegative val="0"/>
          <c:cat>
            <c:strRef>
              <c:f>'sheet 1'!$B$2:$L$2</c:f>
              <c:strCache>
                <c:ptCount val="11"/>
                <c:pt idx="0">
                  <c:v>בדיקות אחרות</c:v>
                </c:pt>
                <c:pt idx="1">
                  <c:v>בדיקות דימות</c:v>
                </c:pt>
                <c:pt idx="2">
                  <c:v>בדיקות מעבדה</c:v>
                </c:pt>
                <c:pt idx="3">
                  <c:v>טיפולים </c:v>
                </c:pt>
                <c:pt idx="4">
                  <c:v>מיילדות ופוריות</c:v>
                </c:pt>
                <c:pt idx="5">
                  <c:v>פעולות כירורגיות</c:v>
                </c:pt>
                <c:pt idx="6">
                  <c:v>פרא-רפואי</c:v>
                </c:pt>
                <c:pt idx="7">
                  <c:v>שיניים</c:v>
                </c:pt>
                <c:pt idx="8">
                  <c:v>שיקום</c:v>
                </c:pt>
                <c:pt idx="9">
                  <c:v>שירותי חירום</c:v>
                </c:pt>
                <c:pt idx="10">
                  <c:v>שירותים אמבולטוריים</c:v>
                </c:pt>
              </c:strCache>
            </c:strRef>
          </c:cat>
          <c:val>
            <c:numRef>
              <c:f>'sheet 1'!$B$6:$L$6</c:f>
              <c:numCache>
                <c:formatCode>#,##0.00_);\(#,##0.00\)</c:formatCode>
                <c:ptCount val="11"/>
                <c:pt idx="0">
                  <c:v>7.0000000000000007E-2</c:v>
                </c:pt>
                <c:pt idx="1">
                  <c:v>0.5</c:v>
                </c:pt>
                <c:pt idx="2">
                  <c:v>0.21</c:v>
                </c:pt>
                <c:pt idx="3">
                  <c:v>0.04</c:v>
                </c:pt>
                <c:pt idx="4">
                  <c:v>7.0000000000000007E-2</c:v>
                </c:pt>
                <c:pt idx="5">
                  <c:v>0.37</c:v>
                </c:pt>
                <c:pt idx="6">
                  <c:v>0.47</c:v>
                </c:pt>
                <c:pt idx="7">
                  <c:v>0.2</c:v>
                </c:pt>
                <c:pt idx="8" formatCode="General">
                  <c:v>0.28999999999999998</c:v>
                </c:pt>
                <c:pt idx="9">
                  <c:v>0.87</c:v>
                </c:pt>
                <c:pt idx="10">
                  <c:v>0.09</c:v>
                </c:pt>
              </c:numCache>
            </c:numRef>
          </c:val>
        </c:ser>
        <c:dLbls>
          <c:showLegendKey val="0"/>
          <c:showVal val="0"/>
          <c:showCatName val="0"/>
          <c:showSerName val="0"/>
          <c:showPercent val="0"/>
          <c:showBubbleSize val="0"/>
        </c:dLbls>
        <c:gapWidth val="150"/>
        <c:axId val="261807104"/>
        <c:axId val="248758272"/>
      </c:barChart>
      <c:catAx>
        <c:axId val="261807104"/>
        <c:scaling>
          <c:orientation val="maxMin"/>
        </c:scaling>
        <c:delete val="0"/>
        <c:axPos val="b"/>
        <c:numFmt formatCode="General" sourceLinked="1"/>
        <c:majorTickMark val="out"/>
        <c:minorTickMark val="none"/>
        <c:tickLblPos val="nextTo"/>
        <c:txPr>
          <a:bodyPr/>
          <a:lstStyle/>
          <a:p>
            <a:pPr>
              <a:defRPr sz="1200" b="0" baseline="0"/>
            </a:pPr>
            <a:endParaRPr lang="he-IL"/>
          </a:p>
        </c:txPr>
        <c:crossAx val="248758272"/>
        <c:crosses val="autoZero"/>
        <c:auto val="1"/>
        <c:lblAlgn val="ctr"/>
        <c:lblOffset val="100"/>
        <c:noMultiLvlLbl val="0"/>
      </c:catAx>
      <c:valAx>
        <c:axId val="248758272"/>
        <c:scaling>
          <c:orientation val="minMax"/>
        </c:scaling>
        <c:delete val="0"/>
        <c:axPos val="r"/>
        <c:majorGridlines/>
        <c:numFmt formatCode="#,##0.00_);\(#,##0.00\)" sourceLinked="1"/>
        <c:majorTickMark val="out"/>
        <c:minorTickMark val="none"/>
        <c:tickLblPos val="nextTo"/>
        <c:txPr>
          <a:bodyPr/>
          <a:lstStyle/>
          <a:p>
            <a:pPr>
              <a:defRPr sz="1100" b="0" baseline="0"/>
            </a:pPr>
            <a:endParaRPr lang="he-IL"/>
          </a:p>
        </c:txPr>
        <c:crossAx val="261807104"/>
        <c:crosses val="autoZero"/>
        <c:crossBetween val="between"/>
      </c:valAx>
    </c:plotArea>
    <c:legend>
      <c:legendPos val="r"/>
      <c:layout>
        <c:manualLayout>
          <c:xMode val="edge"/>
          <c:yMode val="edge"/>
          <c:x val="3.8837837837837823E-3"/>
          <c:y val="0.30948364197530864"/>
          <c:w val="0.15894984984984986"/>
          <c:h val="0.35525000000000001"/>
        </c:manualLayout>
      </c:layout>
      <c:overlay val="0"/>
      <c:txPr>
        <a:bodyPr/>
        <a:lstStyle/>
        <a:p>
          <a:pPr>
            <a:defRPr sz="1200" b="0" baseline="0"/>
          </a:pPr>
          <a:endParaRPr lang="he-IL"/>
        </a:p>
      </c:txPr>
    </c:legend>
    <c:plotVisOnly val="1"/>
    <c:dispBlanksAs val="gap"/>
    <c:showDLblsOverMax val="0"/>
  </c:chart>
  <c:spPr>
    <a:solidFill>
      <a:sysClr val="window" lastClr="FFFFFF"/>
    </a:solidFill>
    <a:ln w="28575">
      <a:solidFill>
        <a:sysClr val="windowText" lastClr="000000"/>
      </a:solidFill>
    </a:ln>
  </c:spPr>
  <c:externalData r:id="rId2">
    <c:autoUpdate val="0"/>
  </c:externalData>
</c:chartSpace>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053B4F-8A80-42E7-98F3-FD6607E2BD77}"/>
</file>

<file path=customXml/itemProps2.xml><?xml version="1.0" encoding="utf-8"?>
<ds:datastoreItem xmlns:ds="http://schemas.openxmlformats.org/officeDocument/2006/customXml" ds:itemID="{1742A32E-5553-4394-B449-2186044AA2EA}"/>
</file>

<file path=customXml/itemProps3.xml><?xml version="1.0" encoding="utf-8"?>
<ds:datastoreItem xmlns:ds="http://schemas.openxmlformats.org/officeDocument/2006/customXml" ds:itemID="{2936A8C9-E308-4CE5-BDE5-4C3F7509A63B}"/>
</file>

<file path=docProps/app.xml><?xml version="1.0" encoding="utf-8"?>
<Properties xmlns="http://schemas.openxmlformats.org/officeDocument/2006/extended-properties" xmlns:vt="http://schemas.openxmlformats.org/officeDocument/2006/docPropsVTypes">
  <Template>Normal</Template>
  <TotalTime>0</TotalTime>
  <Pages>4</Pages>
  <Words>1121</Words>
  <Characters>5608</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לוגו בערבית - נוסח סופי</vt:lpstr>
    </vt:vector>
  </TitlesOfParts>
  <Company>Knesset</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לוגו בערבית - נוסח סופי</dc:title>
  <dc:creator>מאור סבג</dc:creator>
  <cp:lastModifiedBy>מירב שמעון</cp:lastModifiedBy>
  <cp:revision>2</cp:revision>
  <cp:lastPrinted>2015-10-27T11:36:00Z</cp:lastPrinted>
  <dcterms:created xsi:type="dcterms:W3CDTF">2015-10-27T11:36:00Z</dcterms:created>
  <dcterms:modified xsi:type="dcterms:W3CDTF">2015-10-27T11:36:00Z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נציבות קבילות הציבור - פניות הציבור</vt:lpwstr>
  </property>
  <property fmtid="{D5CDD505-2E9C-101B-9397-08002B2CF9AE}" pid="4" name="SDCategoryID">
    <vt:lpwstr>453c52259816;#</vt:lpwstr>
  </property>
  <property fmtid="{D5CDD505-2E9C-101B-9397-08002B2CF9AE}" pid="5" name="z">
    <vt:lpwstr>#RowsetSchema</vt:lpwstr>
  </property>
  <property fmtid="{D5CDD505-2E9C-101B-9397-08002B2CF9AE}" pid="6" name="FileLeafRef">
    <vt:lpwstr>147196;#45203515.docx</vt:lpwstr>
  </property>
  <property fmtid="{D5CDD505-2E9C-101B-9397-08002B2CF9AE}" pid="7" name="Modified_x0020_By">
    <vt:lpwstr>BRIUTNT\DIKLA.DAVID</vt:lpwstr>
  </property>
  <property fmtid="{D5CDD505-2E9C-101B-9397-08002B2CF9AE}" pid="8" name="Created_x0020_By">
    <vt:lpwstr>BRIUTNT\DIKLA.DAVID</vt:lpwstr>
  </property>
  <property fmtid="{D5CDD505-2E9C-101B-9397-08002B2CF9AE}" pid="9" name="File_x0020_Type">
    <vt:lpwstr>docx</vt:lpwstr>
  </property>
  <property fmtid="{D5CDD505-2E9C-101B-9397-08002B2CF9AE}" pid="10" name="AutoNumber">
    <vt:lpwstr>45203515</vt:lpwstr>
  </property>
  <property fmtid="{D5CDD505-2E9C-101B-9397-08002B2CF9AE}" pid="11" name="SDCategories">
    <vt:lpwstr>:רבקה:נציבות קבילות הציבור:דואר נכנס;#</vt:lpwstr>
  </property>
  <property fmtid="{D5CDD505-2E9C-101B-9397-08002B2CF9AE}" pid="12" name="SDAuthor">
    <vt:lpwstr>דיקלה דוד</vt:lpwstr>
  </property>
  <property fmtid="{D5CDD505-2E9C-101B-9397-08002B2CF9AE}" pid="13" name="SDDocDate">
    <vt:lpwstr>18/06/2015</vt:lpwstr>
  </property>
  <property fmtid="{D5CDD505-2E9C-101B-9397-08002B2CF9AE}" pid="14" name="SDHebDate">
    <vt:lpwstr>א' בתמוז, התשע"ה</vt:lpwstr>
  </property>
  <property fmtid="{D5CDD505-2E9C-101B-9397-08002B2CF9AE}" pid="15" name="Mail">
    <vt:lpwstr>דואר נכנס</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147196</vt:lpwstr>
  </property>
  <property fmtid="{D5CDD505-2E9C-101B-9397-08002B2CF9AE}" pid="19" name="Created">
    <vt:lpwstr>18/06/2015</vt:lpwstr>
  </property>
  <property fmtid="{D5CDD505-2E9C-101B-9397-08002B2CF9AE}" pid="20" name="Author">
    <vt:lpwstr>388;#דיקלה דוד</vt:lpwstr>
  </property>
  <property fmtid="{D5CDD505-2E9C-101B-9397-08002B2CF9AE}" pid="21" name="Modified">
    <vt:lpwstr>18/06/2015</vt:lpwstr>
  </property>
  <property fmtid="{D5CDD505-2E9C-101B-9397-08002B2CF9AE}" pid="22" name="Editor">
    <vt:lpwstr>388;#דיקלה דוד</vt:lpwstr>
  </property>
  <property fmtid="{D5CDD505-2E9C-101B-9397-08002B2CF9AE}" pid="23" name="_ModerationStatus">
    <vt:lpwstr>0</vt:lpwstr>
  </property>
  <property fmtid="{D5CDD505-2E9C-101B-9397-08002B2CF9AE}" pid="24" name="FileRef">
    <vt:lpwstr>147196;#sites/migdalim3/Kvilot/DocLib2/DocLib2 automatically created by sharedocs 8/45203515.docx</vt:lpwstr>
  </property>
  <property fmtid="{D5CDD505-2E9C-101B-9397-08002B2CF9AE}" pid="25" name="FileDirRef">
    <vt:lpwstr>147196;#sites/migdalim3/Kvilot/DocLib2/DocLib2 automatically created by sharedocs 8</vt:lpwstr>
  </property>
  <property fmtid="{D5CDD505-2E9C-101B-9397-08002B2CF9AE}" pid="26" name="Last_x0020_Modified">
    <vt:lpwstr>147196;#2015-06-18 11:53:10</vt:lpwstr>
  </property>
  <property fmtid="{D5CDD505-2E9C-101B-9397-08002B2CF9AE}" pid="27" name="Created_x0020_Date">
    <vt:lpwstr>147196;#2015-06-18 11:53:10</vt:lpwstr>
  </property>
  <property fmtid="{D5CDD505-2E9C-101B-9397-08002B2CF9AE}" pid="28" name="File_x0020_Size">
    <vt:lpwstr>147196;#70167</vt:lpwstr>
  </property>
  <property fmtid="{D5CDD505-2E9C-101B-9397-08002B2CF9AE}" pid="29" name="FSObjType">
    <vt:lpwstr>147196;#0</vt:lpwstr>
  </property>
  <property fmtid="{D5CDD505-2E9C-101B-9397-08002B2CF9AE}" pid="30" name="SortBehavior">
    <vt:lpwstr>147196;#0</vt:lpwstr>
  </property>
  <property fmtid="{D5CDD505-2E9C-101B-9397-08002B2CF9AE}" pid="31" name="PermMask">
    <vt:lpwstr>0x1b03c4312ef</vt:lpwstr>
  </property>
  <property fmtid="{D5CDD505-2E9C-101B-9397-08002B2CF9AE}" pid="32" name="CheckedOutUserId">
    <vt:lpwstr>147196;#</vt:lpwstr>
  </property>
  <property fmtid="{D5CDD505-2E9C-101B-9397-08002B2CF9AE}" pid="33" name="IsCheckedoutToLocal">
    <vt:lpwstr>147196;#0</vt:lpwstr>
  </property>
  <property fmtid="{D5CDD505-2E9C-101B-9397-08002B2CF9AE}" pid="34" name="UniqueId">
    <vt:lpwstr>147196;#{4CF38C57-2BD0-4FF7-942C-50EA3E282EE0}</vt:lpwstr>
  </property>
  <property fmtid="{D5CDD505-2E9C-101B-9397-08002B2CF9AE}" pid="35" name="ProgId">
    <vt:lpwstr>147196;#</vt:lpwstr>
  </property>
  <property fmtid="{D5CDD505-2E9C-101B-9397-08002B2CF9AE}" pid="36" name="ScopeId">
    <vt:lpwstr>147196;#{0059EC87-B478-4E9B-BA0C-00742996E347}</vt:lpwstr>
  </property>
  <property fmtid="{D5CDD505-2E9C-101B-9397-08002B2CF9AE}" pid="37" name="VirusStatus">
    <vt:lpwstr>147196;#70167</vt:lpwstr>
  </property>
  <property fmtid="{D5CDD505-2E9C-101B-9397-08002B2CF9AE}" pid="38" name="CheckedOutTitle">
    <vt:lpwstr>147196;#</vt:lpwstr>
  </property>
  <property fmtid="{D5CDD505-2E9C-101B-9397-08002B2CF9AE}" pid="39" name="_CheckinComment">
    <vt:lpwstr>147196;#</vt:lpwstr>
  </property>
  <property fmtid="{D5CDD505-2E9C-101B-9397-08002B2CF9AE}" pid="40" name="_EditMenuTableStart">
    <vt:lpwstr>45203515.docx</vt:lpwstr>
  </property>
  <property fmtid="{D5CDD505-2E9C-101B-9397-08002B2CF9AE}" pid="41" name="_EditMenuTableStart2">
    <vt:lpwstr>147196</vt:lpwstr>
  </property>
  <property fmtid="{D5CDD505-2E9C-101B-9397-08002B2CF9AE}" pid="42" name="_EditMenuTableEnd">
    <vt:lpwstr>147196</vt:lpwstr>
  </property>
  <property fmtid="{D5CDD505-2E9C-101B-9397-08002B2CF9AE}" pid="43" name="LinkFilenameNoMenu">
    <vt:lpwstr>45203515.docx</vt:lpwstr>
  </property>
  <property fmtid="{D5CDD505-2E9C-101B-9397-08002B2CF9AE}" pid="44" name="LinkFilename">
    <vt:lpwstr>45203515.docx</vt:lpwstr>
  </property>
  <property fmtid="{D5CDD505-2E9C-101B-9397-08002B2CF9AE}" pid="45" name="LinkFilename2">
    <vt:lpwstr>45203515.docx</vt:lpwstr>
  </property>
  <property fmtid="{D5CDD505-2E9C-101B-9397-08002B2CF9AE}" pid="46" name="DocIcon">
    <vt:lpwstr>docx</vt:lpwstr>
  </property>
  <property fmtid="{D5CDD505-2E9C-101B-9397-08002B2CF9AE}" pid="47" name="ServerUrl">
    <vt:lpwstr>/sites/migdalim3/Kvilot/DocLib2/DocLib2 automatically created by sharedocs 8/45203515.docx</vt:lpwstr>
  </property>
  <property fmtid="{D5CDD505-2E9C-101B-9397-08002B2CF9AE}" pid="48" name="EncodedAbsUrl">
    <vt:lpwstr>http://spweb/sites/migdalim3/Kvilot/DocLib2/DocLib2%20automatically%20created%20by%20sharedocs%208/45203515.docx</vt:lpwstr>
  </property>
  <property fmtid="{D5CDD505-2E9C-101B-9397-08002B2CF9AE}" pid="49" name="BaseName">
    <vt:lpwstr>45203515</vt:lpwstr>
  </property>
  <property fmtid="{D5CDD505-2E9C-101B-9397-08002B2CF9AE}" pid="50" name="FileSizeDisplay">
    <vt:lpwstr>70167</vt:lpwstr>
  </property>
  <property fmtid="{D5CDD505-2E9C-101B-9397-08002B2CF9AE}" pid="51" name="MetaInfo">
    <vt:lpwstr>147196;#Mail:SW|דואר נכנס
vti_contentversionisdirty:BW|false
vti_thumbnailexists:BW|false
vti_parserversion:SR|14.0.0.6123
vti_contenttag:SW|{4CF38C57-2BD0-4FF7-942C-50EA3E282EE0},1,14
_Category:EW|
vti_pluggableparserversion:SR|14.0.0.6123
SDOfflineTo:EW</vt:lpwstr>
  </property>
  <property fmtid="{D5CDD505-2E9C-101B-9397-08002B2CF9AE}" pid="52" name="_Level">
    <vt:lpwstr>1</vt:lpwstr>
  </property>
  <property fmtid="{D5CDD505-2E9C-101B-9397-08002B2CF9AE}" pid="53" name="_IsCurrentVersion">
    <vt:lpwstr>1</vt:lpwstr>
  </property>
  <property fmtid="{D5CDD505-2E9C-101B-9397-08002B2CF9AE}" pid="54" name="ItemChildCount">
    <vt:lpwstr>147196;#0</vt:lpwstr>
  </property>
  <property fmtid="{D5CDD505-2E9C-101B-9397-08002B2CF9AE}" pid="55" name="FolderChildCount">
    <vt:lpwstr>147196;#0</vt:lpwstr>
  </property>
  <property fmtid="{D5CDD505-2E9C-101B-9397-08002B2CF9AE}" pid="56" name="SelectTitle">
    <vt:lpwstr>147196</vt:lpwstr>
  </property>
  <property fmtid="{D5CDD505-2E9C-101B-9397-08002B2CF9AE}" pid="57" name="SelectFilename">
    <vt:lpwstr>147196</vt:lpwstr>
  </property>
  <property fmtid="{D5CDD505-2E9C-101B-9397-08002B2CF9AE}" pid="58" name="Edit">
    <vt:lpwstr>0</vt:lpwstr>
  </property>
  <property fmtid="{D5CDD505-2E9C-101B-9397-08002B2CF9AE}" pid="59" name="owshiddenversion">
    <vt:lpwstr>1</vt:lpwstr>
  </property>
  <property fmtid="{D5CDD505-2E9C-101B-9397-08002B2CF9AE}" pid="60" name="_UIVersion">
    <vt:lpwstr>512</vt:lpwstr>
  </property>
  <property fmtid="{D5CDD505-2E9C-101B-9397-08002B2CF9AE}" pid="61" name="Order">
    <vt:lpwstr>14719600.0000000</vt:lpwstr>
  </property>
  <property fmtid="{D5CDD505-2E9C-101B-9397-08002B2CF9AE}" pid="62" name="GUID">
    <vt:lpwstr>{4CEC5330-FDCC-410A-94AD-838F9DF82DDE}</vt:lpwstr>
  </property>
  <property fmtid="{D5CDD505-2E9C-101B-9397-08002B2CF9AE}" pid="63" name="WorkflowVersion">
    <vt:lpwstr>1</vt:lpwstr>
  </property>
  <property fmtid="{D5CDD505-2E9C-101B-9397-08002B2CF9AE}" pid="64" name="ParentVersionString">
    <vt:lpwstr>147196;#</vt:lpwstr>
  </property>
  <property fmtid="{D5CDD505-2E9C-101B-9397-08002B2CF9AE}" pid="65" name="ParentLeafName">
    <vt:lpwstr>147196;#</vt:lpwstr>
  </property>
  <property fmtid="{D5CDD505-2E9C-101B-9397-08002B2CF9AE}" pid="66" name="Etag">
    <vt:lpwstr>{4CF38C57-2BD0-4FF7-942C-50EA3E282EE0},1</vt:lpwstr>
  </property>
  <property fmtid="{D5CDD505-2E9C-101B-9397-08002B2CF9AE}" pid="67" name="Combine">
    <vt:lpwstr>0</vt:lpwstr>
  </property>
  <property fmtid="{D5CDD505-2E9C-101B-9397-08002B2CF9AE}" pid="68" name="RepairDocument">
    <vt:lpwstr>0</vt:lpwstr>
  </property>
  <property fmtid="{D5CDD505-2E9C-101B-9397-08002B2CF9AE}" pid="69" name="ServerRedirected">
    <vt:lpwstr>0</vt:lpwstr>
  </property>
  <property fmtid="{D5CDD505-2E9C-101B-9397-08002B2CF9AE}" pid="70" name="Last Modified">
    <vt:lpwstr>147196;#2015-06-18 11:53:10</vt:lpwstr>
  </property>
  <property fmtid="{D5CDD505-2E9C-101B-9397-08002B2CF9AE}" pid="71" name="Created Date">
    <vt:lpwstr>147196;#2015-06-18 11:53:10</vt:lpwstr>
  </property>
  <property fmtid="{D5CDD505-2E9C-101B-9397-08002B2CF9AE}" pid="72" name="Created By">
    <vt:lpwstr>BRIUTNT\DIKLA.DAVID</vt:lpwstr>
  </property>
  <property fmtid="{D5CDD505-2E9C-101B-9397-08002B2CF9AE}" pid="73" name="File Type">
    <vt:lpwstr>docx</vt:lpwstr>
  </property>
  <property fmtid="{D5CDD505-2E9C-101B-9397-08002B2CF9AE}" pid="74" name="File Size">
    <vt:lpwstr>147196;#70167</vt:lpwstr>
  </property>
  <property fmtid="{D5CDD505-2E9C-101B-9397-08002B2CF9AE}" pid="75" name="Modified By">
    <vt:lpwstr>BRIUTNT\DIKLA.DAVID</vt:lpwstr>
  </property>
</Properties>
</file>