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2989" w:rsidRPr="000C4638" w:rsidRDefault="00012989" w:rsidP="00012989">
      <w:pPr>
        <w:ind w:left="-737"/>
        <w:rPr>
          <w:rFonts w:ascii="Arial" w:eastAsia="Arial Unicode MS" w:hAnsi="Arial" w:cs="David"/>
          <w:b/>
          <w:bCs/>
          <w:snapToGrid w:val="0"/>
          <w:spacing w:val="0"/>
          <w:sz w:val="20"/>
          <w:szCs w:val="26"/>
          <w:rtl/>
        </w:rPr>
      </w:pPr>
      <w:bookmarkStart w:id="0" w:name="_GoBack"/>
      <w:bookmarkEnd w:id="0"/>
      <w:r w:rsidRPr="000C4638">
        <w:rPr>
          <w:rFonts w:ascii="Arial" w:eastAsia="Arial Unicode MS" w:hAnsi="Arial" w:cs="David" w:hint="cs"/>
          <w:b/>
          <w:bCs/>
          <w:snapToGrid w:val="0"/>
          <w:spacing w:val="0"/>
          <w:sz w:val="20"/>
          <w:szCs w:val="26"/>
          <w:rtl/>
        </w:rPr>
        <w:t xml:space="preserve">      נוסח לדיון בוועדת העבודה הרווחה והבריאות ביום 16 במרץ 2016</w:t>
      </w:r>
    </w:p>
    <w:p w:rsidR="00012989" w:rsidRPr="000C4638" w:rsidRDefault="00012989" w:rsidP="00012989">
      <w:pPr>
        <w:ind w:left="-737"/>
        <w:rPr>
          <w:rFonts w:ascii="Arial" w:eastAsia="Arial Unicode MS" w:hAnsi="Arial" w:cs="David"/>
          <w:b/>
          <w:bCs/>
          <w:snapToGrid w:val="0"/>
          <w:spacing w:val="0"/>
          <w:sz w:val="20"/>
          <w:szCs w:val="26"/>
          <w:rtl/>
        </w:rPr>
      </w:pPr>
    </w:p>
    <w:p w:rsidR="00012989" w:rsidRDefault="00012989" w:rsidP="00012989">
      <w:pPr>
        <w:ind w:left="-737"/>
        <w:jc w:val="center"/>
        <w:rPr>
          <w:rFonts w:ascii="Arial" w:eastAsia="Arial Unicode MS" w:hAnsi="Arial" w:cs="David"/>
          <w:b/>
          <w:bCs/>
          <w:snapToGrid w:val="0"/>
          <w:spacing w:val="0"/>
          <w:sz w:val="20"/>
          <w:szCs w:val="26"/>
          <w:u w:val="single"/>
          <w:rtl/>
        </w:rPr>
      </w:pPr>
    </w:p>
    <w:p w:rsidR="00012989" w:rsidRDefault="00012989" w:rsidP="00E87D2A">
      <w:pPr>
        <w:ind w:left="-737"/>
        <w:jc w:val="center"/>
        <w:rPr>
          <w:rFonts w:ascii="Arial" w:eastAsia="Arial Unicode MS" w:hAnsi="Arial" w:cs="David"/>
          <w:b/>
          <w:bCs/>
          <w:snapToGrid w:val="0"/>
          <w:spacing w:val="0"/>
          <w:sz w:val="20"/>
          <w:szCs w:val="26"/>
          <w:u w:val="single"/>
          <w:rtl/>
        </w:rPr>
      </w:pPr>
      <w:r>
        <w:rPr>
          <w:rFonts w:ascii="Arial" w:eastAsia="Arial Unicode MS" w:hAnsi="Arial" w:cs="David" w:hint="cs"/>
          <w:b/>
          <w:bCs/>
          <w:snapToGrid w:val="0"/>
          <w:spacing w:val="0"/>
          <w:sz w:val="20"/>
          <w:szCs w:val="26"/>
          <w:u w:val="single"/>
          <w:rtl/>
        </w:rPr>
        <w:t>תיקון פקודת הרוקחים</w:t>
      </w:r>
      <w:r w:rsidR="00E87D2A">
        <w:rPr>
          <w:rFonts w:ascii="Arial" w:eastAsia="Arial Unicode MS" w:hAnsi="Arial" w:cs="David" w:hint="cs"/>
          <w:b/>
          <w:bCs/>
          <w:snapToGrid w:val="0"/>
          <w:spacing w:val="0"/>
          <w:sz w:val="20"/>
          <w:szCs w:val="26"/>
          <w:u w:val="single"/>
          <w:rtl/>
        </w:rPr>
        <w:t xml:space="preserve"> </w:t>
      </w:r>
      <w:r w:rsidR="00E87D2A">
        <w:rPr>
          <w:rFonts w:ascii="Arial" w:eastAsia="Arial Unicode MS" w:hAnsi="Arial" w:cs="David" w:hint="eastAsia"/>
          <w:b/>
          <w:bCs/>
          <w:snapToGrid w:val="0"/>
          <w:spacing w:val="0"/>
          <w:sz w:val="20"/>
          <w:szCs w:val="26"/>
          <w:u w:val="single"/>
        </w:rPr>
        <w:t>–</w:t>
      </w:r>
      <w:r>
        <w:rPr>
          <w:rFonts w:ascii="Arial" w:eastAsia="Arial Unicode MS" w:hAnsi="Arial" w:cs="David" w:hint="cs"/>
          <w:b/>
          <w:bCs/>
          <w:snapToGrid w:val="0"/>
          <w:spacing w:val="0"/>
          <w:sz w:val="20"/>
          <w:szCs w:val="26"/>
          <w:u w:val="single"/>
          <w:rtl/>
        </w:rPr>
        <w:t xml:space="preserve"> </w:t>
      </w:r>
      <w:r w:rsidRPr="000C4638">
        <w:rPr>
          <w:rFonts w:ascii="Arial" w:eastAsia="Arial Unicode MS" w:hAnsi="Arial" w:cs="David" w:hint="cs"/>
          <w:b/>
          <w:bCs/>
          <w:snapToGrid w:val="0"/>
          <w:spacing w:val="0"/>
          <w:sz w:val="20"/>
          <w:szCs w:val="26"/>
          <w:u w:val="single"/>
          <w:rtl/>
        </w:rPr>
        <w:t>ניפוק על ידי רוקח ללא מרשם</w:t>
      </w:r>
      <w:r>
        <w:rPr>
          <w:rFonts w:ascii="Arial" w:eastAsia="Arial Unicode MS" w:hAnsi="Arial" w:cs="David" w:hint="cs"/>
          <w:b/>
          <w:bCs/>
          <w:snapToGrid w:val="0"/>
          <w:spacing w:val="0"/>
          <w:sz w:val="20"/>
          <w:szCs w:val="26"/>
          <w:u w:val="single"/>
          <w:rtl/>
        </w:rPr>
        <w:t xml:space="preserve"> וללא הרשאה אישית</w:t>
      </w:r>
    </w:p>
    <w:p w:rsidR="00012989" w:rsidRPr="000C4638" w:rsidRDefault="00012989" w:rsidP="00012989">
      <w:pPr>
        <w:ind w:left="-737"/>
        <w:jc w:val="center"/>
        <w:rPr>
          <w:rFonts w:ascii="Arial" w:eastAsia="Arial Unicode MS" w:hAnsi="Arial" w:cs="David"/>
          <w:b/>
          <w:bCs/>
          <w:snapToGrid w:val="0"/>
          <w:spacing w:val="0"/>
          <w:sz w:val="20"/>
          <w:szCs w:val="26"/>
          <w:u w:val="single"/>
          <w:rtl/>
        </w:rPr>
      </w:pPr>
    </w:p>
    <w:p w:rsidR="00012989" w:rsidRDefault="00012989" w:rsidP="00012989"/>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624"/>
        <w:gridCol w:w="3402"/>
      </w:tblGrid>
      <w:tr w:rsidR="00012989">
        <w:trPr>
          <w:cantSplit/>
          <w:trHeight w:val="60"/>
        </w:trPr>
        <w:tc>
          <w:tcPr>
            <w:tcW w:w="1871" w:type="dxa"/>
          </w:tcPr>
          <w:p w:rsidR="00012989" w:rsidRDefault="00012989">
            <w:pPr>
              <w:pStyle w:val="TableSideHeading"/>
              <w:keepLines w:val="0"/>
            </w:pPr>
            <w:r>
              <w:rPr>
                <w:rFonts w:hint="cs"/>
                <w:rtl/>
              </w:rPr>
              <w:t>הוספת סעיף 26א</w:t>
            </w:r>
          </w:p>
        </w:tc>
        <w:tc>
          <w:tcPr>
            <w:tcW w:w="624" w:type="dxa"/>
          </w:tcPr>
          <w:p w:rsidR="00012989" w:rsidRDefault="00012989">
            <w:pPr>
              <w:pStyle w:val="TableText"/>
              <w:keepLines w:val="0"/>
            </w:pPr>
            <w:r>
              <w:rPr>
                <w:rFonts w:hint="cs"/>
                <w:rtl/>
              </w:rPr>
              <w:t>**.</w:t>
            </w:r>
          </w:p>
        </w:tc>
        <w:tc>
          <w:tcPr>
            <w:tcW w:w="1872" w:type="dxa"/>
            <w:gridSpan w:val="3"/>
          </w:tcPr>
          <w:p w:rsidR="00012989" w:rsidRDefault="00012989">
            <w:pPr>
              <w:pStyle w:val="TableInnerSideHeading"/>
            </w:pPr>
            <w:r>
              <w:rPr>
                <w:rFonts w:hint="cs"/>
                <w:rtl/>
              </w:rPr>
              <w:t>ניפוק על ידי רוקח במצב דחוף</w:t>
            </w:r>
          </w:p>
        </w:tc>
        <w:tc>
          <w:tcPr>
            <w:tcW w:w="624" w:type="dxa"/>
          </w:tcPr>
          <w:p w:rsidR="00012989" w:rsidRPr="00012989" w:rsidRDefault="00012989">
            <w:pPr>
              <w:pStyle w:val="TableText"/>
            </w:pPr>
            <w:r>
              <w:rPr>
                <w:rFonts w:hint="cs"/>
                <w:rtl/>
              </w:rPr>
              <w:t>26א.</w:t>
            </w:r>
          </w:p>
        </w:tc>
        <w:tc>
          <w:tcPr>
            <w:tcW w:w="4650" w:type="dxa"/>
            <w:gridSpan w:val="3"/>
          </w:tcPr>
          <w:p w:rsidR="00012989" w:rsidRDefault="00012989">
            <w:pPr>
              <w:pStyle w:val="TableBlock"/>
            </w:pPr>
            <w:r>
              <w:rPr>
                <w:rFonts w:hint="cs"/>
                <w:rtl/>
              </w:rPr>
              <w:t>(א)</w:t>
            </w:r>
            <w:r>
              <w:rPr>
                <w:rtl/>
              </w:rPr>
              <w:tab/>
            </w:r>
            <w:r>
              <w:rPr>
                <w:rFonts w:hint="cs"/>
                <w:rtl/>
              </w:rPr>
              <w:t xml:space="preserve">על אף האמור בסעיף 26, רשאי רוקח שהוא בעל וותק של שנתיים לפחות לנפק תכשיר מרשם ללא מרשם חתום בידי בעל מקצוע הרשאי לתתו לפי סעיף 26 (להלן: גורם מטפל), למטופל הזקוק לתכשיר בדחיפות וללא דיחוי ובלבד שטובת המטופל היא כי יינתן לו תכשיר לפי סעיף זה ואין בכך סיכון לבריאותו (להלן "ניפוק במצב דחוף"), ואם התקיימו התנאים הבאים:  </w:t>
            </w:r>
          </w:p>
        </w:tc>
      </w:tr>
      <w:tr w:rsidR="00012989">
        <w:trPr>
          <w:cantSplit/>
          <w:trHeight w:val="60"/>
        </w:trPr>
        <w:tc>
          <w:tcPr>
            <w:tcW w:w="1871" w:type="dxa"/>
          </w:tcPr>
          <w:p w:rsidR="00012989" w:rsidRDefault="00012989">
            <w:pPr>
              <w:pStyle w:val="TableSideHeading"/>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4026" w:type="dxa"/>
            <w:gridSpan w:val="2"/>
          </w:tcPr>
          <w:p w:rsidR="00012989" w:rsidRDefault="00012989">
            <w:pPr>
              <w:pStyle w:val="TableBlock"/>
            </w:pPr>
            <w:r>
              <w:rPr>
                <w:rFonts w:hint="cs"/>
                <w:rtl/>
              </w:rPr>
              <w:t>(1)</w:t>
            </w:r>
            <w:r>
              <w:rPr>
                <w:rtl/>
              </w:rPr>
              <w:tab/>
            </w:r>
            <w:r>
              <w:rPr>
                <w:rFonts w:hint="cs"/>
                <w:rtl/>
              </w:rPr>
              <w:t>ניפוק התכשיר למטופל ללא מרשם חתום התבקש על ידי גורם מטפל:</w:t>
            </w:r>
          </w:p>
        </w:tc>
      </w:tr>
      <w:tr w:rsidR="00012989">
        <w:trPr>
          <w:cantSplit/>
          <w:trHeight w:val="60"/>
        </w:trPr>
        <w:tc>
          <w:tcPr>
            <w:tcW w:w="1871" w:type="dxa"/>
          </w:tcPr>
          <w:p w:rsidR="00012989" w:rsidRDefault="00012989">
            <w:pPr>
              <w:pStyle w:val="TableSideHeading"/>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3402" w:type="dxa"/>
          </w:tcPr>
          <w:p w:rsidR="00012989" w:rsidRDefault="00012989">
            <w:pPr>
              <w:pStyle w:val="TableBlock"/>
            </w:pPr>
            <w:r>
              <w:rPr>
                <w:rFonts w:hint="cs"/>
                <w:rtl/>
              </w:rPr>
              <w:t>(א)</w:t>
            </w:r>
            <w:r w:rsidR="00EF4817">
              <w:rPr>
                <w:rtl/>
              </w:rPr>
              <w:tab/>
            </w:r>
            <w:r>
              <w:rPr>
                <w:rFonts w:hint="cs"/>
                <w:rtl/>
              </w:rPr>
              <w:t>הגורם המטפל השתכנע כי ישנו צורך מיידי ודחוף לניפוק התכשיר ללא דיחוי, וכי בשל מצב חירום ודחיפות אין למטופל כל יכולת להגיע לגורם המטפל וכי טובת המטופל ומצבו הבריאותי מחייבים שיינתן לו התכשיר בדרך זו;</w:t>
            </w:r>
          </w:p>
        </w:tc>
      </w:tr>
      <w:tr w:rsidR="00012989">
        <w:trPr>
          <w:cantSplit/>
          <w:trHeight w:val="60"/>
        </w:trPr>
        <w:tc>
          <w:tcPr>
            <w:tcW w:w="1871" w:type="dxa"/>
          </w:tcPr>
          <w:p w:rsidR="00012989" w:rsidRDefault="00012989">
            <w:pPr>
              <w:pStyle w:val="TableSideHeading"/>
            </w:pPr>
          </w:p>
        </w:tc>
        <w:tc>
          <w:tcPr>
            <w:tcW w:w="624" w:type="dxa"/>
          </w:tcPr>
          <w:p w:rsidR="00012989" w:rsidRDefault="00012989" w:rsidP="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3402" w:type="dxa"/>
          </w:tcPr>
          <w:p w:rsidR="00012989" w:rsidRDefault="00EF4817" w:rsidP="009C6876">
            <w:pPr>
              <w:pStyle w:val="TableBlock"/>
              <w:tabs>
                <w:tab w:val="clear" w:pos="624"/>
                <w:tab w:val="left" w:pos="720"/>
              </w:tabs>
              <w:rPr>
                <w:rtl/>
              </w:rPr>
            </w:pPr>
            <w:r>
              <w:rPr>
                <w:rFonts w:hint="cs"/>
                <w:rtl/>
              </w:rPr>
              <w:t>(ב)</w:t>
            </w:r>
            <w:r w:rsidR="009C6876">
              <w:rPr>
                <w:rtl/>
              </w:rPr>
              <w:tab/>
            </w:r>
            <w:r w:rsidR="00012989">
              <w:rPr>
                <w:rFonts w:hint="cs"/>
                <w:rtl/>
              </w:rPr>
              <w:t>הרוקח ערך עם המטופל בירור לגבי מצבו הרפואי ולגבי תכשירים שהוא נוטל, וכן לגבי הדחיפות לטיפול בתכשיר והסיבה להיעדר המרשם; בירור כאמור ייערך בצורה הולמת ונאותה ובאופן השומר על פרטיות המטופל;</w:t>
            </w:r>
          </w:p>
        </w:tc>
      </w:tr>
      <w:tr w:rsidR="00012989">
        <w:trPr>
          <w:cantSplit/>
          <w:trHeight w:val="60"/>
        </w:trPr>
        <w:tc>
          <w:tcPr>
            <w:tcW w:w="1871" w:type="dxa"/>
          </w:tcPr>
          <w:p w:rsidR="00012989" w:rsidRPr="00EF4817" w:rsidRDefault="00012989">
            <w:pPr>
              <w:pStyle w:val="TableSideHeading"/>
            </w:pPr>
          </w:p>
        </w:tc>
        <w:tc>
          <w:tcPr>
            <w:tcW w:w="624" w:type="dxa"/>
          </w:tcPr>
          <w:p w:rsidR="00012989" w:rsidRDefault="00EF4817" w:rsidP="00012989">
            <w:pPr>
              <w:pStyle w:val="TableText"/>
            </w:pPr>
            <w:r>
              <w:rPr>
                <w:rtl/>
              </w:rPr>
              <w:tab/>
            </w: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rsidP="009C6876">
            <w:pPr>
              <w:pStyle w:val="TableText"/>
              <w:tabs>
                <w:tab w:val="left" w:pos="720"/>
              </w:tabs>
            </w:pPr>
          </w:p>
        </w:tc>
        <w:tc>
          <w:tcPr>
            <w:tcW w:w="3402" w:type="dxa"/>
          </w:tcPr>
          <w:p w:rsidR="00012989" w:rsidRDefault="00EF4817" w:rsidP="009C6876">
            <w:pPr>
              <w:pStyle w:val="TableBlock"/>
              <w:tabs>
                <w:tab w:val="clear" w:pos="624"/>
                <w:tab w:val="left" w:pos="720"/>
              </w:tabs>
              <w:rPr>
                <w:rtl/>
              </w:rPr>
            </w:pPr>
            <w:r>
              <w:rPr>
                <w:rFonts w:hint="cs"/>
                <w:rtl/>
              </w:rPr>
              <w:t>(ג)</w:t>
            </w:r>
            <w:r>
              <w:rPr>
                <w:rtl/>
              </w:rPr>
              <w:tab/>
            </w:r>
            <w:r w:rsidR="00012989">
              <w:rPr>
                <w:rFonts w:hint="cs"/>
                <w:rtl/>
              </w:rPr>
              <w:t>הרוקח קיבל בקשה ישירה מאת הגורם המטפל אשר התחייב להעביר את המרשם חתום, כאמור בסעיף 26, בתוך 72 שעות ממועד הניפוק של התכשיר;</w:t>
            </w:r>
          </w:p>
        </w:tc>
      </w:tr>
      <w:tr w:rsidR="00012989">
        <w:trPr>
          <w:cantSplit/>
          <w:trHeight w:val="60"/>
        </w:trPr>
        <w:tc>
          <w:tcPr>
            <w:tcW w:w="1871" w:type="dxa"/>
          </w:tcPr>
          <w:p w:rsidR="00012989" w:rsidRDefault="00012989">
            <w:pPr>
              <w:pStyle w:val="TableSideHeading"/>
            </w:pPr>
          </w:p>
        </w:tc>
        <w:tc>
          <w:tcPr>
            <w:tcW w:w="624" w:type="dxa"/>
          </w:tcPr>
          <w:p w:rsidR="00012989" w:rsidRDefault="00012989" w:rsidP="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rsidP="009C6876">
            <w:pPr>
              <w:pStyle w:val="TableText"/>
              <w:tabs>
                <w:tab w:val="left" w:pos="720"/>
              </w:tabs>
            </w:pPr>
          </w:p>
        </w:tc>
        <w:tc>
          <w:tcPr>
            <w:tcW w:w="3402" w:type="dxa"/>
          </w:tcPr>
          <w:p w:rsidR="00012989" w:rsidRDefault="00EF4817" w:rsidP="009C6876">
            <w:pPr>
              <w:pStyle w:val="TableBlock"/>
              <w:tabs>
                <w:tab w:val="clear" w:pos="624"/>
                <w:tab w:val="left" w:pos="720"/>
              </w:tabs>
              <w:rPr>
                <w:rtl/>
              </w:rPr>
            </w:pPr>
            <w:r>
              <w:rPr>
                <w:rFonts w:hint="cs"/>
                <w:rtl/>
              </w:rPr>
              <w:t>(ד)</w:t>
            </w:r>
            <w:r>
              <w:rPr>
                <w:rtl/>
              </w:rPr>
              <w:tab/>
            </w:r>
            <w:r w:rsidR="00012989">
              <w:rPr>
                <w:rFonts w:hint="cs"/>
                <w:rtl/>
              </w:rPr>
              <w:t xml:space="preserve">הרוקח בדק והשתכנע כי הגורם המטפל רשאי לתת את המרשם; </w:t>
            </w:r>
          </w:p>
        </w:tc>
      </w:tr>
      <w:tr w:rsidR="00012989">
        <w:trPr>
          <w:cantSplit/>
          <w:trHeight w:val="60"/>
        </w:trPr>
        <w:tc>
          <w:tcPr>
            <w:tcW w:w="1871" w:type="dxa"/>
          </w:tcPr>
          <w:p w:rsidR="00012989" w:rsidRDefault="00012989">
            <w:pPr>
              <w:pStyle w:val="TableSideHeading"/>
            </w:pPr>
          </w:p>
        </w:tc>
        <w:tc>
          <w:tcPr>
            <w:tcW w:w="624" w:type="dxa"/>
          </w:tcPr>
          <w:p w:rsidR="00012989" w:rsidRDefault="00012989" w:rsidP="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rsidP="009C6876">
            <w:pPr>
              <w:pStyle w:val="TableText"/>
              <w:tabs>
                <w:tab w:val="left" w:pos="720"/>
              </w:tabs>
            </w:pPr>
          </w:p>
        </w:tc>
        <w:tc>
          <w:tcPr>
            <w:tcW w:w="3402" w:type="dxa"/>
          </w:tcPr>
          <w:p w:rsidR="00012989" w:rsidRDefault="00EF4817" w:rsidP="009C6876">
            <w:pPr>
              <w:pStyle w:val="TableBlock"/>
              <w:tabs>
                <w:tab w:val="clear" w:pos="624"/>
                <w:tab w:val="left" w:pos="720"/>
              </w:tabs>
              <w:rPr>
                <w:rtl/>
              </w:rPr>
            </w:pPr>
            <w:r>
              <w:rPr>
                <w:rFonts w:hint="cs"/>
                <w:rtl/>
              </w:rPr>
              <w:t>(ה)</w:t>
            </w:r>
            <w:r>
              <w:rPr>
                <w:rtl/>
              </w:rPr>
              <w:tab/>
            </w:r>
            <w:r w:rsidR="00012989">
              <w:rPr>
                <w:rFonts w:hint="cs"/>
                <w:rtl/>
              </w:rPr>
              <w:t>התכשיר ינופק בהתאם להנחיות הגורם המטפל מבקש המרשם;</w:t>
            </w:r>
          </w:p>
        </w:tc>
      </w:tr>
      <w:tr w:rsidR="00012989">
        <w:trPr>
          <w:cantSplit/>
          <w:trHeight w:val="60"/>
        </w:trPr>
        <w:tc>
          <w:tcPr>
            <w:tcW w:w="1871" w:type="dxa"/>
          </w:tcPr>
          <w:p w:rsidR="00012989" w:rsidRDefault="00012989">
            <w:pPr>
              <w:pStyle w:val="TableSideHeading"/>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4026" w:type="dxa"/>
            <w:gridSpan w:val="2"/>
          </w:tcPr>
          <w:p w:rsidR="00012989" w:rsidRDefault="00012989">
            <w:pPr>
              <w:pStyle w:val="TableBlock"/>
            </w:pPr>
            <w:r>
              <w:rPr>
                <w:rFonts w:hint="cs"/>
                <w:rtl/>
              </w:rPr>
              <w:t>(2)</w:t>
            </w:r>
            <w:r>
              <w:rPr>
                <w:rtl/>
              </w:rPr>
              <w:tab/>
            </w:r>
            <w:r>
              <w:rPr>
                <w:rFonts w:hint="cs"/>
                <w:rtl/>
              </w:rPr>
              <w:t>ניפוק התכשיר למטופל ללא מרשם חתום התבקש על ידי המטופל:</w:t>
            </w:r>
          </w:p>
        </w:tc>
      </w:tr>
      <w:tr w:rsidR="00012989">
        <w:trPr>
          <w:cantSplit/>
          <w:trHeight w:val="60"/>
        </w:trPr>
        <w:tc>
          <w:tcPr>
            <w:tcW w:w="1871" w:type="dxa"/>
          </w:tcPr>
          <w:p w:rsidR="00012989" w:rsidRDefault="00012989">
            <w:pPr>
              <w:pStyle w:val="TableSideHeading"/>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3402" w:type="dxa"/>
          </w:tcPr>
          <w:p w:rsidR="00012989" w:rsidRDefault="00012989">
            <w:pPr>
              <w:pStyle w:val="TableBlock"/>
            </w:pPr>
            <w:r>
              <w:rPr>
                <w:rFonts w:hint="cs"/>
                <w:rtl/>
              </w:rPr>
              <w:t>(א)</w:t>
            </w:r>
            <w:r>
              <w:rPr>
                <w:rtl/>
              </w:rPr>
              <w:tab/>
            </w:r>
            <w:r>
              <w:rPr>
                <w:rFonts w:hint="cs"/>
                <w:rtl/>
              </w:rPr>
              <w:t>הרוקח ערך עם המטופל בירור לגבי מצבו הרפואי ולגבי תכשירים שהוא נוטל ומינונם, וכן לגבי הדחיפות לטיפול בתכשיר והסיבה להיעדר המרשם; בירור כאמור ייערך בצורה הולמת ונאותה ובאופן השומר על פרטיות המטופל;</w:t>
            </w:r>
          </w:p>
        </w:tc>
      </w:tr>
      <w:tr w:rsidR="00012989">
        <w:trPr>
          <w:cantSplit/>
          <w:trHeight w:val="60"/>
        </w:trPr>
        <w:tc>
          <w:tcPr>
            <w:tcW w:w="1871" w:type="dxa"/>
          </w:tcPr>
          <w:p w:rsidR="00012989" w:rsidRDefault="00012989">
            <w:pPr>
              <w:pStyle w:val="TableSideHeading"/>
            </w:pPr>
          </w:p>
        </w:tc>
        <w:tc>
          <w:tcPr>
            <w:tcW w:w="624" w:type="dxa"/>
          </w:tcPr>
          <w:p w:rsidR="00012989" w:rsidRDefault="00012989" w:rsidP="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3402" w:type="dxa"/>
          </w:tcPr>
          <w:p w:rsidR="00012989" w:rsidRDefault="00012989" w:rsidP="00B76BB6">
            <w:pPr>
              <w:pStyle w:val="TableBlock"/>
              <w:rPr>
                <w:rtl/>
              </w:rPr>
            </w:pPr>
            <w:r>
              <w:rPr>
                <w:rFonts w:hint="cs"/>
                <w:rtl/>
              </w:rPr>
              <w:t>(ב)</w:t>
            </w:r>
            <w:r>
              <w:rPr>
                <w:rtl/>
              </w:rPr>
              <w:tab/>
            </w:r>
            <w:r>
              <w:rPr>
                <w:rFonts w:hint="cs"/>
                <w:rtl/>
              </w:rPr>
              <w:t xml:space="preserve">הרוקח השתכנע כי המטופל </w:t>
            </w:r>
            <w:r w:rsidR="00B76BB6">
              <w:rPr>
                <w:rFonts w:hint="cs"/>
                <w:rtl/>
              </w:rPr>
              <w:t>נוטל את התכשיר המבוקש, שנופק לו במרשם רופא,</w:t>
            </w:r>
            <w:r>
              <w:rPr>
                <w:rFonts w:hint="cs"/>
                <w:rtl/>
              </w:rPr>
              <w:t xml:space="preserve"> בסמוך לפני המועד שבו הוא מבקש ניפוק ללא מרשם וכי המינון המבוקש לתכשיר הוא המינון שניתן לו במסגרת אותו טיפול בעבר ;</w:t>
            </w:r>
          </w:p>
        </w:tc>
      </w:tr>
      <w:tr w:rsidR="00012989">
        <w:trPr>
          <w:cantSplit/>
          <w:trHeight w:val="60"/>
        </w:trPr>
        <w:tc>
          <w:tcPr>
            <w:tcW w:w="1871" w:type="dxa"/>
          </w:tcPr>
          <w:p w:rsidR="00012989" w:rsidRDefault="00012989">
            <w:pPr>
              <w:pStyle w:val="TableSideHeading"/>
            </w:pPr>
          </w:p>
        </w:tc>
        <w:tc>
          <w:tcPr>
            <w:tcW w:w="624" w:type="dxa"/>
          </w:tcPr>
          <w:p w:rsidR="00012989" w:rsidRDefault="00012989" w:rsidP="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3402" w:type="dxa"/>
          </w:tcPr>
          <w:p w:rsidR="00012989" w:rsidRDefault="00012989">
            <w:pPr>
              <w:pStyle w:val="TableBlock"/>
              <w:rPr>
                <w:rtl/>
              </w:rPr>
            </w:pPr>
            <w:r>
              <w:rPr>
                <w:rFonts w:hint="cs"/>
                <w:rtl/>
              </w:rPr>
              <w:t>(ג)</w:t>
            </w:r>
            <w:r>
              <w:rPr>
                <w:rtl/>
              </w:rPr>
              <w:tab/>
            </w:r>
            <w:r>
              <w:rPr>
                <w:rFonts w:hint="cs"/>
                <w:rtl/>
              </w:rPr>
              <w:t>הרוקח השתכנע כי ישנו צורך מיידי ודחוף לניפוק התכשיר ללא דיחוי, וכי בשל מצב חירום ודחיפות אין למטופל כל אפשרות להגיע לגורם המטפל וכי טובת המטופל ומצבו הבריאותי מחייבים שיינתן לו התכשיר בדרך זו;</w:t>
            </w:r>
          </w:p>
        </w:tc>
      </w:tr>
      <w:tr w:rsidR="00012989">
        <w:trPr>
          <w:cantSplit/>
          <w:trHeight w:val="60"/>
        </w:trPr>
        <w:tc>
          <w:tcPr>
            <w:tcW w:w="1871" w:type="dxa"/>
          </w:tcPr>
          <w:p w:rsidR="00012989" w:rsidRDefault="00012989">
            <w:pPr>
              <w:pStyle w:val="TableSideHeading"/>
            </w:pPr>
          </w:p>
        </w:tc>
        <w:tc>
          <w:tcPr>
            <w:tcW w:w="624" w:type="dxa"/>
          </w:tcPr>
          <w:p w:rsidR="00012989" w:rsidRDefault="00012989" w:rsidP="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3402" w:type="dxa"/>
          </w:tcPr>
          <w:p w:rsidR="00012989" w:rsidRDefault="00012989">
            <w:pPr>
              <w:pStyle w:val="TableBlock"/>
              <w:rPr>
                <w:rtl/>
              </w:rPr>
            </w:pPr>
            <w:r>
              <w:rPr>
                <w:rFonts w:hint="cs"/>
                <w:rtl/>
              </w:rPr>
              <w:t>(ד)</w:t>
            </w:r>
            <w:r>
              <w:rPr>
                <w:rtl/>
              </w:rPr>
              <w:tab/>
            </w:r>
            <w:r>
              <w:rPr>
                <w:rFonts w:hint="cs"/>
                <w:rtl/>
              </w:rPr>
              <w:t>הרוקח נקט בכל האמצעים שעומדים לרשותו על מנת ליצור קשר עם הגורם המטפל, לרבות התקשרות לגורם המטפל או לבית המרקחת שניפק את התכשיר למטופל בעבר; הרוקח יתעד את האמצעים בהם נקט כאמור;</w:t>
            </w:r>
          </w:p>
        </w:tc>
      </w:tr>
      <w:tr w:rsidR="00012989">
        <w:trPr>
          <w:cantSplit/>
          <w:trHeight w:val="60"/>
        </w:trPr>
        <w:tc>
          <w:tcPr>
            <w:tcW w:w="1871" w:type="dxa"/>
          </w:tcPr>
          <w:p w:rsidR="00012989" w:rsidRDefault="00012989">
            <w:pPr>
              <w:pStyle w:val="TableSideHeading"/>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4650" w:type="dxa"/>
            <w:gridSpan w:val="3"/>
          </w:tcPr>
          <w:p w:rsidR="00012989" w:rsidRDefault="00012989">
            <w:pPr>
              <w:pStyle w:val="TableBlock"/>
            </w:pPr>
            <w:r>
              <w:rPr>
                <w:rFonts w:hint="cs"/>
                <w:rtl/>
              </w:rPr>
              <w:t>(ב)</w:t>
            </w:r>
            <w:r>
              <w:rPr>
                <w:rtl/>
              </w:rPr>
              <w:tab/>
            </w:r>
            <w:r>
              <w:rPr>
                <w:rFonts w:hint="cs"/>
                <w:rtl/>
              </w:rPr>
              <w:t>הרוקח רשאי לסרב לנפק תכשיר בהתאם להוראות סעיף זה אם סבר כי ניפוק התכשיר ללא מרשם חתום אינו עומד בתנאים המפורטים בסעיף זה או אם סבר כי ניפוק התכשיר כאמור עלול לפגוע בטובת המטופל או בבריאותו או מכל סיבה אחרת, לפי שיקול דעתו המקצועי; סרב רוקח לנפק תכשיר לפי סעיף זה, יפנה את המטופל ל</w:t>
            </w:r>
            <w:r w:rsidR="00B76BB6">
              <w:rPr>
                <w:rFonts w:hint="cs"/>
                <w:rtl/>
              </w:rPr>
              <w:t>קבלת טיפול רפואי הזמין באותה עת.</w:t>
            </w:r>
          </w:p>
        </w:tc>
      </w:tr>
      <w:tr w:rsidR="00012989">
        <w:trPr>
          <w:cantSplit/>
          <w:trHeight w:val="60"/>
        </w:trPr>
        <w:tc>
          <w:tcPr>
            <w:tcW w:w="1871" w:type="dxa"/>
          </w:tcPr>
          <w:p w:rsidR="00012989" w:rsidRDefault="00012989">
            <w:pPr>
              <w:pStyle w:val="TableSideHeading"/>
            </w:pPr>
          </w:p>
        </w:tc>
        <w:tc>
          <w:tcPr>
            <w:tcW w:w="624" w:type="dxa"/>
          </w:tcPr>
          <w:p w:rsidR="00012989" w:rsidRDefault="00012989" w:rsidP="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4650" w:type="dxa"/>
            <w:gridSpan w:val="3"/>
          </w:tcPr>
          <w:p w:rsidR="00012989" w:rsidRDefault="00012989">
            <w:pPr>
              <w:pStyle w:val="TableBlock"/>
              <w:rPr>
                <w:rtl/>
              </w:rPr>
            </w:pPr>
            <w:r>
              <w:rPr>
                <w:rFonts w:hint="cs"/>
                <w:rtl/>
              </w:rPr>
              <w:t>(ג)</w:t>
            </w:r>
            <w:r>
              <w:rPr>
                <w:rtl/>
              </w:rPr>
              <w:tab/>
            </w:r>
            <w:r>
              <w:rPr>
                <w:rFonts w:hint="cs"/>
                <w:rtl/>
              </w:rPr>
              <w:t>על ניפוק כאמור בסעיף זה יחולו הוראות הסימון והתיווי לפי פקודה זו; הרוקח יסמן על גבי האריזה</w:t>
            </w:r>
            <w:r w:rsidR="00B76BB6">
              <w:rPr>
                <w:rFonts w:hint="cs"/>
                <w:rtl/>
              </w:rPr>
              <w:t xml:space="preserve"> גם את המילים "ניפוק במצב דחוף".</w:t>
            </w:r>
          </w:p>
        </w:tc>
      </w:tr>
      <w:tr w:rsidR="00012989">
        <w:trPr>
          <w:cantSplit/>
          <w:trHeight w:val="60"/>
        </w:trPr>
        <w:tc>
          <w:tcPr>
            <w:tcW w:w="1871" w:type="dxa"/>
          </w:tcPr>
          <w:p w:rsidR="00012989" w:rsidRDefault="00012989">
            <w:pPr>
              <w:pStyle w:val="TableSideHeading"/>
            </w:pPr>
          </w:p>
        </w:tc>
        <w:tc>
          <w:tcPr>
            <w:tcW w:w="624" w:type="dxa"/>
          </w:tcPr>
          <w:p w:rsidR="00012989" w:rsidRDefault="00012989" w:rsidP="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4650" w:type="dxa"/>
            <w:gridSpan w:val="3"/>
          </w:tcPr>
          <w:p w:rsidR="00012989" w:rsidRDefault="00012989">
            <w:pPr>
              <w:pStyle w:val="TableBlock"/>
              <w:rPr>
                <w:rtl/>
              </w:rPr>
            </w:pPr>
            <w:r>
              <w:rPr>
                <w:rFonts w:hint="cs"/>
                <w:rtl/>
              </w:rPr>
              <w:t>(ד)</w:t>
            </w:r>
            <w:r>
              <w:rPr>
                <w:rtl/>
              </w:rPr>
              <w:tab/>
            </w:r>
            <w:r>
              <w:rPr>
                <w:rFonts w:hint="cs"/>
                <w:rtl/>
              </w:rPr>
              <w:t>המטופל יישא במלוא עלות התכשיר שנופק לפי סעיף זה ושאלת הזכאות להשתתפות במימון התכשיר על ידי הקופה תקבע לפי חוק ביטוח בריאות ממלכתי, התשנ"ד-1994; הרוקח יבהיר למטופל את האמור לעיל בעת ניפוק התכשיר.</w:t>
            </w:r>
          </w:p>
        </w:tc>
      </w:tr>
      <w:tr w:rsidR="00012989">
        <w:trPr>
          <w:cantSplit/>
          <w:trHeight w:val="60"/>
        </w:trPr>
        <w:tc>
          <w:tcPr>
            <w:tcW w:w="1871" w:type="dxa"/>
          </w:tcPr>
          <w:p w:rsidR="00012989" w:rsidRDefault="00012989">
            <w:pPr>
              <w:pStyle w:val="TableSideHeading"/>
            </w:pPr>
          </w:p>
        </w:tc>
        <w:tc>
          <w:tcPr>
            <w:tcW w:w="624" w:type="dxa"/>
          </w:tcPr>
          <w:p w:rsidR="00012989" w:rsidRDefault="00012989" w:rsidP="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4650" w:type="dxa"/>
            <w:gridSpan w:val="3"/>
          </w:tcPr>
          <w:p w:rsidR="00012989" w:rsidRDefault="00012989" w:rsidP="00B76BB6">
            <w:pPr>
              <w:pStyle w:val="TableBlock"/>
              <w:tabs>
                <w:tab w:val="left" w:pos="720"/>
              </w:tabs>
              <w:rPr>
                <w:rtl/>
              </w:rPr>
            </w:pPr>
            <w:r>
              <w:rPr>
                <w:rFonts w:hint="cs"/>
                <w:rtl/>
              </w:rPr>
              <w:t>(ה)</w:t>
            </w:r>
            <w:r>
              <w:rPr>
                <w:rtl/>
              </w:rPr>
              <w:tab/>
            </w:r>
            <w:r>
              <w:rPr>
                <w:rFonts w:hint="cs"/>
                <w:rtl/>
              </w:rPr>
              <w:t>רוקח שניפק תכשיר לפי סעיף זה יתעד את פניית המטופל מבקש הניפוק, את תוצאות הבירור שערך עמו ואת דבר הניפוק ברשומה ייעודית שיקצה לכך; הרשומה תהיה זמינה לביקורת המנהל בכל עת</w:t>
            </w:r>
            <w:r w:rsidR="00B76BB6">
              <w:rPr>
                <w:rFonts w:hint="cs"/>
                <w:rtl/>
              </w:rPr>
              <w:t xml:space="preserve"> ותישמר למשך שלוש שנים</w:t>
            </w:r>
            <w:r>
              <w:rPr>
                <w:rFonts w:hint="cs"/>
                <w:rtl/>
              </w:rPr>
              <w:t>.</w:t>
            </w:r>
          </w:p>
        </w:tc>
      </w:tr>
      <w:tr w:rsidR="00012989">
        <w:trPr>
          <w:cantSplit/>
          <w:trHeight w:val="60"/>
        </w:trPr>
        <w:tc>
          <w:tcPr>
            <w:tcW w:w="1871" w:type="dxa"/>
          </w:tcPr>
          <w:p w:rsidR="00012989" w:rsidRDefault="00012989">
            <w:pPr>
              <w:pStyle w:val="TableSideHeading"/>
            </w:pPr>
          </w:p>
        </w:tc>
        <w:tc>
          <w:tcPr>
            <w:tcW w:w="624" w:type="dxa"/>
          </w:tcPr>
          <w:p w:rsidR="00012989" w:rsidRDefault="00012989" w:rsidP="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4650" w:type="dxa"/>
            <w:gridSpan w:val="3"/>
          </w:tcPr>
          <w:p w:rsidR="00012989" w:rsidRDefault="00B76BB6" w:rsidP="00B76BB6">
            <w:pPr>
              <w:pStyle w:val="TableBlock"/>
              <w:tabs>
                <w:tab w:val="clear" w:pos="624"/>
                <w:tab w:val="left" w:pos="720"/>
              </w:tabs>
              <w:rPr>
                <w:rtl/>
              </w:rPr>
            </w:pPr>
            <w:r>
              <w:rPr>
                <w:rFonts w:hint="cs"/>
                <w:rtl/>
              </w:rPr>
              <w:t>(ו)</w:t>
            </w:r>
            <w:r>
              <w:rPr>
                <w:rtl/>
              </w:rPr>
              <w:tab/>
            </w:r>
            <w:r w:rsidR="00012989">
              <w:rPr>
                <w:rFonts w:hint="cs"/>
                <w:rtl/>
              </w:rPr>
              <w:t>ניפוק התכשיר לפי סעיף זה יירשם בפנקס המרשמים המתנהל לפי סעיף 29 והרישום יעודכן עם קבלת המרשם החתום כאמור בסעיף קטן (א)(</w:t>
            </w:r>
            <w:r>
              <w:rPr>
                <w:rFonts w:hint="cs"/>
                <w:rtl/>
              </w:rPr>
              <w:t>1</w:t>
            </w:r>
            <w:r w:rsidR="00012989">
              <w:rPr>
                <w:rFonts w:hint="cs"/>
                <w:rtl/>
              </w:rPr>
              <w:t>)(</w:t>
            </w:r>
            <w:r>
              <w:rPr>
                <w:rFonts w:hint="cs"/>
                <w:rtl/>
              </w:rPr>
              <w:t>ג</w:t>
            </w:r>
            <w:r w:rsidR="00012989">
              <w:rPr>
                <w:rFonts w:hint="cs"/>
                <w:rtl/>
              </w:rPr>
              <w:t xml:space="preserve">); הניפוק יסומן בפנקס כאמור כ"ניפוק במצב דחוף", והרוקח יוסיף בסמוך לשם מבקש </w:t>
            </w:r>
            <w:r>
              <w:rPr>
                <w:rFonts w:hint="cs"/>
                <w:rtl/>
              </w:rPr>
              <w:t>הניפוק גם את פרטי ההתקשרות עימו.</w:t>
            </w:r>
          </w:p>
        </w:tc>
      </w:tr>
      <w:tr w:rsidR="00012989">
        <w:trPr>
          <w:cantSplit/>
          <w:trHeight w:val="60"/>
        </w:trPr>
        <w:tc>
          <w:tcPr>
            <w:tcW w:w="1871" w:type="dxa"/>
          </w:tcPr>
          <w:p w:rsidR="00012989" w:rsidRDefault="00012989">
            <w:pPr>
              <w:pStyle w:val="TableSideHeading"/>
            </w:pPr>
          </w:p>
        </w:tc>
        <w:tc>
          <w:tcPr>
            <w:tcW w:w="624" w:type="dxa"/>
          </w:tcPr>
          <w:p w:rsidR="00012989" w:rsidRDefault="00012989" w:rsidP="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4650" w:type="dxa"/>
            <w:gridSpan w:val="3"/>
          </w:tcPr>
          <w:p w:rsidR="00012989" w:rsidRDefault="00B76BB6" w:rsidP="00B76BB6">
            <w:pPr>
              <w:pStyle w:val="TableBlock"/>
              <w:tabs>
                <w:tab w:val="clear" w:pos="624"/>
                <w:tab w:val="left" w:pos="720"/>
              </w:tabs>
              <w:rPr>
                <w:rtl/>
              </w:rPr>
            </w:pPr>
            <w:r>
              <w:rPr>
                <w:rFonts w:hint="cs"/>
                <w:rtl/>
              </w:rPr>
              <w:t>(ז)</w:t>
            </w:r>
            <w:r>
              <w:rPr>
                <w:rtl/>
              </w:rPr>
              <w:tab/>
            </w:r>
            <w:r w:rsidR="00012989">
              <w:rPr>
                <w:rFonts w:hint="cs"/>
                <w:rtl/>
              </w:rPr>
              <w:t>רוקח אחראי יעביר אחת לשנה למנהל או למי שהוא הסמיכו לכך דיווח שנתי על ניפוק תכשיר ללא מרשם חתום לפ</w:t>
            </w:r>
            <w:r>
              <w:rPr>
                <w:rFonts w:hint="cs"/>
                <w:rtl/>
              </w:rPr>
              <w:t>י סעיף זה בבית המרקחת שבאחריותו.</w:t>
            </w:r>
          </w:p>
        </w:tc>
      </w:tr>
      <w:tr w:rsidR="00012989">
        <w:trPr>
          <w:cantSplit/>
          <w:trHeight w:val="60"/>
        </w:trPr>
        <w:tc>
          <w:tcPr>
            <w:tcW w:w="1871" w:type="dxa"/>
          </w:tcPr>
          <w:p w:rsidR="00012989" w:rsidRDefault="00012989">
            <w:pPr>
              <w:pStyle w:val="TableSideHeading"/>
            </w:pPr>
          </w:p>
        </w:tc>
        <w:tc>
          <w:tcPr>
            <w:tcW w:w="624" w:type="dxa"/>
          </w:tcPr>
          <w:p w:rsidR="00012989" w:rsidRDefault="00012989" w:rsidP="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4650" w:type="dxa"/>
            <w:gridSpan w:val="3"/>
          </w:tcPr>
          <w:p w:rsidR="00012989" w:rsidRDefault="00B76BB6" w:rsidP="00B76BB6">
            <w:pPr>
              <w:pStyle w:val="TableBlock"/>
              <w:tabs>
                <w:tab w:val="clear" w:pos="624"/>
                <w:tab w:val="left" w:pos="720"/>
              </w:tabs>
              <w:rPr>
                <w:rtl/>
              </w:rPr>
            </w:pPr>
            <w:r>
              <w:rPr>
                <w:rFonts w:hint="cs"/>
                <w:rtl/>
              </w:rPr>
              <w:t>(ח)</w:t>
            </w:r>
            <w:r>
              <w:rPr>
                <w:rtl/>
              </w:rPr>
              <w:tab/>
            </w:r>
            <w:r w:rsidR="00012989">
              <w:rPr>
                <w:rFonts w:hint="cs"/>
                <w:rtl/>
              </w:rPr>
              <w:t>ניפוק תכשיר לפי הוראות סעיף זה ייעשה לתקופות הבאות:</w:t>
            </w:r>
          </w:p>
        </w:tc>
      </w:tr>
      <w:tr w:rsidR="00012989">
        <w:trPr>
          <w:cantSplit/>
          <w:trHeight w:val="60"/>
        </w:trPr>
        <w:tc>
          <w:tcPr>
            <w:tcW w:w="1871" w:type="dxa"/>
          </w:tcPr>
          <w:p w:rsidR="00012989" w:rsidRDefault="00012989">
            <w:pPr>
              <w:pStyle w:val="TableSideHeading"/>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rsidP="00B76BB6">
            <w:pPr>
              <w:pStyle w:val="TableText"/>
              <w:tabs>
                <w:tab w:val="left" w:pos="720"/>
              </w:tabs>
            </w:pPr>
          </w:p>
        </w:tc>
        <w:tc>
          <w:tcPr>
            <w:tcW w:w="4026" w:type="dxa"/>
            <w:gridSpan w:val="2"/>
          </w:tcPr>
          <w:p w:rsidR="00012989" w:rsidRDefault="00012989" w:rsidP="00B76BB6">
            <w:pPr>
              <w:pStyle w:val="TableBlock"/>
              <w:tabs>
                <w:tab w:val="left" w:pos="720"/>
              </w:tabs>
            </w:pPr>
            <w:r>
              <w:rPr>
                <w:rFonts w:hint="cs"/>
                <w:rtl/>
              </w:rPr>
              <w:t>(1)</w:t>
            </w:r>
            <w:r>
              <w:rPr>
                <w:rtl/>
              </w:rPr>
              <w:tab/>
            </w:r>
            <w:r>
              <w:rPr>
                <w:rFonts w:hint="cs"/>
                <w:rtl/>
              </w:rPr>
              <w:t>באריזת תכשיר הניתנת לפתיחה- ינופק התכשיר לשימוש המטופל לתקופה שלא תעלה על 10 ימים;</w:t>
            </w:r>
          </w:p>
        </w:tc>
      </w:tr>
      <w:tr w:rsidR="00012989">
        <w:trPr>
          <w:cantSplit/>
          <w:trHeight w:val="60"/>
        </w:trPr>
        <w:tc>
          <w:tcPr>
            <w:tcW w:w="1871" w:type="dxa"/>
          </w:tcPr>
          <w:p w:rsidR="00012989" w:rsidRDefault="00012989">
            <w:pPr>
              <w:pStyle w:val="TableSideHeading"/>
            </w:pPr>
          </w:p>
        </w:tc>
        <w:tc>
          <w:tcPr>
            <w:tcW w:w="624" w:type="dxa"/>
          </w:tcPr>
          <w:p w:rsidR="00012989" w:rsidRDefault="00012989" w:rsidP="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rsidP="00B76BB6">
            <w:pPr>
              <w:pStyle w:val="TableText"/>
              <w:tabs>
                <w:tab w:val="left" w:pos="720"/>
              </w:tabs>
            </w:pPr>
          </w:p>
        </w:tc>
        <w:tc>
          <w:tcPr>
            <w:tcW w:w="4026" w:type="dxa"/>
            <w:gridSpan w:val="2"/>
          </w:tcPr>
          <w:p w:rsidR="00012989" w:rsidRDefault="00012989" w:rsidP="00B76BB6">
            <w:pPr>
              <w:pStyle w:val="TableBlock"/>
              <w:tabs>
                <w:tab w:val="left" w:pos="720"/>
              </w:tabs>
            </w:pPr>
            <w:r>
              <w:rPr>
                <w:rFonts w:hint="cs"/>
                <w:rtl/>
              </w:rPr>
              <w:t>(2)</w:t>
            </w:r>
            <w:r>
              <w:rPr>
                <w:rtl/>
              </w:rPr>
              <w:tab/>
            </w:r>
            <w:r>
              <w:rPr>
                <w:rFonts w:hint="cs"/>
                <w:rtl/>
              </w:rPr>
              <w:t>באריזת תכשיר שלא ניתנת לפתיחה- ינופק התכשיר באריזה הקטנה ביותר הקיימת בבית המרקחת באותה עת.</w:t>
            </w:r>
          </w:p>
        </w:tc>
      </w:tr>
      <w:tr w:rsidR="00012989">
        <w:trPr>
          <w:cantSplit/>
          <w:trHeight w:val="60"/>
        </w:trPr>
        <w:tc>
          <w:tcPr>
            <w:tcW w:w="1871" w:type="dxa"/>
          </w:tcPr>
          <w:p w:rsidR="00012989" w:rsidRDefault="00012989">
            <w:pPr>
              <w:pStyle w:val="TableSideHeading"/>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4650" w:type="dxa"/>
            <w:gridSpan w:val="3"/>
          </w:tcPr>
          <w:p w:rsidR="00012989" w:rsidRDefault="00B76BB6" w:rsidP="00D7689F">
            <w:pPr>
              <w:pStyle w:val="TableBlock"/>
              <w:tabs>
                <w:tab w:val="clear" w:pos="624"/>
                <w:tab w:val="left" w:pos="720"/>
              </w:tabs>
            </w:pPr>
            <w:r>
              <w:rPr>
                <w:rFonts w:hint="cs"/>
                <w:rtl/>
              </w:rPr>
              <w:t>(ט)</w:t>
            </w:r>
            <w:r>
              <w:rPr>
                <w:rtl/>
              </w:rPr>
              <w:tab/>
            </w:r>
            <w:r w:rsidR="00012989">
              <w:rPr>
                <w:rFonts w:hint="cs"/>
                <w:rtl/>
              </w:rPr>
              <w:t>לא ינפק רוקח תכשיר לפי סעיף זה אם התכשיר הוא סם מסוכן כהגדרתו בפקודת ה</w:t>
            </w:r>
            <w:r w:rsidR="00D7689F">
              <w:rPr>
                <w:rFonts w:hint="cs"/>
                <w:rtl/>
              </w:rPr>
              <w:t>סמים המסוכנים [נוסח חדש] התשל"ג</w:t>
            </w:r>
            <w:r w:rsidR="00D7689F">
              <w:rPr>
                <w:rFonts w:hint="eastAsia"/>
                <w:rtl/>
              </w:rPr>
              <w:t>–</w:t>
            </w:r>
            <w:r w:rsidR="00012989">
              <w:rPr>
                <w:rFonts w:hint="cs"/>
                <w:rtl/>
              </w:rPr>
              <w:t xml:space="preserve">1973 או אם מדובר בתכשיר שהחומר הפעיל שלו מנוי בפרט </w:t>
            </w:r>
            <w:r w:rsidR="00012989" w:rsidRPr="008A3F36">
              <w:rPr>
                <w:rFonts w:hint="cs"/>
                <w:rtl/>
              </w:rPr>
              <w:t>346 לתוספת הראשונה "רשימת החומרים הפסיכוטרופיים</w:t>
            </w:r>
            <w:r w:rsidR="00012989">
              <w:rPr>
                <w:rFonts w:hint="cs"/>
                <w:rtl/>
              </w:rPr>
              <w:t>"</w:t>
            </w:r>
            <w:r w:rsidR="00012989" w:rsidRPr="008A3F36">
              <w:rPr>
                <w:rFonts w:hint="cs"/>
                <w:rtl/>
              </w:rPr>
              <w:t xml:space="preserve"> </w:t>
            </w:r>
            <w:r w:rsidR="00012989">
              <w:rPr>
                <w:rFonts w:hint="cs"/>
                <w:rtl/>
              </w:rPr>
              <w:t xml:space="preserve">ובה </w:t>
            </w:r>
            <w:r w:rsidR="00012989" w:rsidRPr="008A3F36">
              <w:rPr>
                <w:rFonts w:hint="cs"/>
                <w:rtl/>
              </w:rPr>
              <w:t>תוספת מס' 4 של אמנת האו"ם בדבר חומרים פסיכוטרופיים, 1</w:t>
            </w:r>
            <w:r w:rsidR="00012989">
              <w:rPr>
                <w:rFonts w:hint="cs"/>
                <w:rtl/>
              </w:rPr>
              <w:t>971</w:t>
            </w:r>
            <w:r>
              <w:rPr>
                <w:rFonts w:hint="cs"/>
                <w:rtl/>
              </w:rPr>
              <w:t>.</w:t>
            </w:r>
          </w:p>
        </w:tc>
      </w:tr>
      <w:tr w:rsidR="00012989">
        <w:trPr>
          <w:cantSplit/>
          <w:trHeight w:val="60"/>
        </w:trPr>
        <w:tc>
          <w:tcPr>
            <w:tcW w:w="1871" w:type="dxa"/>
          </w:tcPr>
          <w:p w:rsidR="00012989" w:rsidRDefault="00012989">
            <w:pPr>
              <w:pStyle w:val="TableSideHeading"/>
            </w:pPr>
          </w:p>
        </w:tc>
        <w:tc>
          <w:tcPr>
            <w:tcW w:w="624" w:type="dxa"/>
          </w:tcPr>
          <w:p w:rsidR="00012989" w:rsidRDefault="00012989" w:rsidP="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624" w:type="dxa"/>
          </w:tcPr>
          <w:p w:rsidR="00012989" w:rsidRDefault="00012989">
            <w:pPr>
              <w:pStyle w:val="TableText"/>
            </w:pPr>
          </w:p>
        </w:tc>
        <w:tc>
          <w:tcPr>
            <w:tcW w:w="4650" w:type="dxa"/>
            <w:gridSpan w:val="3"/>
          </w:tcPr>
          <w:p w:rsidR="00012989" w:rsidRDefault="00B76BB6" w:rsidP="00B76BB6">
            <w:pPr>
              <w:pStyle w:val="TableBlock"/>
              <w:tabs>
                <w:tab w:val="clear" w:pos="624"/>
                <w:tab w:val="left" w:pos="720"/>
              </w:tabs>
              <w:rPr>
                <w:rtl/>
              </w:rPr>
            </w:pPr>
            <w:r>
              <w:rPr>
                <w:rFonts w:hint="cs"/>
                <w:rtl/>
              </w:rPr>
              <w:t>(י)</w:t>
            </w:r>
            <w:r>
              <w:rPr>
                <w:rtl/>
              </w:rPr>
              <w:tab/>
            </w:r>
            <w:r w:rsidR="00012989">
              <w:rPr>
                <w:rFonts w:hint="cs"/>
                <w:rtl/>
              </w:rPr>
              <w:t>המנהל י</w:t>
            </w:r>
            <w:r>
              <w:rPr>
                <w:rFonts w:hint="cs"/>
                <w:rtl/>
              </w:rPr>
              <w:t xml:space="preserve">פרסם באתר האינטרנט של משרד הבריאות </w:t>
            </w:r>
            <w:r w:rsidR="00012989">
              <w:rPr>
                <w:rFonts w:hint="cs"/>
                <w:rtl/>
              </w:rPr>
              <w:t xml:space="preserve">הוראות לעניין סעיפים קטנים (ה) עד (ו) לרבות לעניין דרך התיעוד, ואופן הדיווח ופרטיו.  </w:t>
            </w:r>
          </w:p>
        </w:tc>
      </w:tr>
    </w:tbl>
    <w:p w:rsidR="00012989" w:rsidRDefault="00012989" w:rsidP="00012989">
      <w:pPr>
        <w:pStyle w:val="HesberWriters"/>
        <w:spacing w:after="120"/>
        <w:rPr>
          <w:rtl/>
        </w:rPr>
      </w:pPr>
      <w:r>
        <w:rPr>
          <w:rFonts w:hint="cs"/>
          <w:rtl/>
        </w:rPr>
        <w:t xml:space="preserve"> </w:t>
      </w:r>
    </w:p>
    <w:p w:rsidR="00012989" w:rsidRPr="000C4638" w:rsidRDefault="00012989" w:rsidP="00012989"/>
    <w:p w:rsidR="00762CB3" w:rsidRPr="00012989" w:rsidRDefault="00762CB3"/>
    <w:sectPr w:rsidR="00762CB3" w:rsidRPr="00012989" w:rsidSect="00B74F4A">
      <w:headerReference w:type="even" r:id="rId11"/>
      <w:headerReference w:type="default" r:id="rId12"/>
      <w:footerReference w:type="even" r:id="rId13"/>
      <w:footerReference w:type="default" r:id="rId14"/>
      <w:headerReference w:type="first" r:id="rId15"/>
      <w:footerReference w:type="first" r:id="rId16"/>
      <w:pgSz w:w="11907" w:h="16840" w:code="9"/>
      <w:pgMar w:top="1134" w:right="1134" w:bottom="1134" w:left="1134" w:header="680"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74A4" w:rsidRDefault="009874A4">
      <w:pPr>
        <w:spacing w:before="0" w:line="240" w:lineRule="auto"/>
      </w:pPr>
      <w:r>
        <w:separator/>
      </w:r>
    </w:p>
  </w:endnote>
  <w:endnote w:type="continuationSeparator" w:id="0">
    <w:p w:rsidR="009874A4" w:rsidRDefault="009874A4">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4F4A" w:rsidRDefault="00B74F4A" w:rsidP="00B74F4A">
    <w:pPr>
      <w:pStyle w:val="a5"/>
      <w:framePr w:wrap="around" w:vAnchor="text" w:hAnchor="text" w:xAlign="center" w:y="1"/>
      <w:rPr>
        <w:rStyle w:val="a7"/>
      </w:rPr>
    </w:pPr>
    <w:r>
      <w:rPr>
        <w:rStyle w:val="a7"/>
        <w:rtl/>
      </w:rPr>
      <w:fldChar w:fldCharType="begin"/>
    </w:r>
    <w:r>
      <w:rPr>
        <w:rStyle w:val="a7"/>
      </w:rPr>
      <w:instrText xml:space="preserve">PAGE  </w:instrText>
    </w:r>
    <w:r>
      <w:rPr>
        <w:rStyle w:val="a7"/>
        <w:rtl/>
      </w:rPr>
      <w:fldChar w:fldCharType="end"/>
    </w:r>
  </w:p>
  <w:p w:rsidR="00B74F4A" w:rsidRDefault="00B74F4A">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4F4A" w:rsidRPr="006D751F" w:rsidRDefault="00B74F4A" w:rsidP="00B74F4A">
    <w:pPr>
      <w:pStyle w:val="a5"/>
      <w:framePr w:wrap="around" w:vAnchor="text" w:hAnchor="text" w:xAlign="center" w:y="1"/>
      <w:rPr>
        <w:rStyle w:val="a7"/>
        <w:rFonts w:cs="David"/>
        <w:sz w:val="26"/>
        <w:szCs w:val="26"/>
      </w:rPr>
    </w:pPr>
    <w:r w:rsidRPr="006D751F">
      <w:rPr>
        <w:rStyle w:val="a7"/>
        <w:rFonts w:cs="David"/>
        <w:sz w:val="26"/>
        <w:szCs w:val="26"/>
        <w:rtl/>
      </w:rPr>
      <w:fldChar w:fldCharType="begin"/>
    </w:r>
    <w:r w:rsidRPr="006D751F">
      <w:rPr>
        <w:rStyle w:val="a7"/>
        <w:rFonts w:cs="David"/>
        <w:sz w:val="26"/>
        <w:szCs w:val="26"/>
      </w:rPr>
      <w:instrText xml:space="preserve">PAGE  </w:instrText>
    </w:r>
    <w:r w:rsidRPr="006D751F">
      <w:rPr>
        <w:rStyle w:val="a7"/>
        <w:rFonts w:cs="David"/>
        <w:sz w:val="26"/>
        <w:szCs w:val="26"/>
        <w:rtl/>
      </w:rPr>
      <w:fldChar w:fldCharType="separate"/>
    </w:r>
    <w:r w:rsidR="005D65A1">
      <w:rPr>
        <w:rStyle w:val="a7"/>
        <w:rFonts w:cs="David"/>
        <w:noProof/>
        <w:sz w:val="26"/>
        <w:szCs w:val="26"/>
        <w:rtl/>
      </w:rPr>
      <w:t>1</w:t>
    </w:r>
    <w:r w:rsidRPr="006D751F">
      <w:rPr>
        <w:rStyle w:val="a7"/>
        <w:rFonts w:cs="David"/>
        <w:sz w:val="26"/>
        <w:szCs w:val="26"/>
        <w:rtl/>
      </w:rPr>
      <w:fldChar w:fldCharType="end"/>
    </w:r>
  </w:p>
  <w:p w:rsidR="00B74F4A" w:rsidRDefault="00B74F4A">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4F4A" w:rsidRDefault="00B74F4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74A4" w:rsidRDefault="009874A4">
      <w:pPr>
        <w:spacing w:before="0" w:line="240" w:lineRule="auto"/>
      </w:pPr>
      <w:r>
        <w:separator/>
      </w:r>
    </w:p>
  </w:footnote>
  <w:footnote w:type="continuationSeparator" w:id="0">
    <w:p w:rsidR="009874A4" w:rsidRDefault="009874A4">
      <w:pPr>
        <w:spacing w:before="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4F4A" w:rsidRDefault="00B74F4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4F4A" w:rsidRDefault="00B74F4A">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4F4A" w:rsidRDefault="00B74F4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264885"/>
    <w:multiLevelType w:val="hybridMultilevel"/>
    <w:tmpl w:val="403CCE7C"/>
    <w:lvl w:ilvl="0" w:tplc="87900FA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D816CDC"/>
    <w:multiLevelType w:val="hybridMultilevel"/>
    <w:tmpl w:val="8666830A"/>
    <w:lvl w:ilvl="0" w:tplc="EF5088F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B486BB9"/>
    <w:multiLevelType w:val="hybridMultilevel"/>
    <w:tmpl w:val="BAD88E0E"/>
    <w:lvl w:ilvl="0" w:tplc="384E50B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EE524D"/>
    <w:multiLevelType w:val="hybridMultilevel"/>
    <w:tmpl w:val="3F589D46"/>
    <w:lvl w:ilvl="0" w:tplc="0BFC1B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7A6"/>
    <w:rsid w:val="00012989"/>
    <w:rsid w:val="00331708"/>
    <w:rsid w:val="004117A6"/>
    <w:rsid w:val="0047230E"/>
    <w:rsid w:val="005D65A1"/>
    <w:rsid w:val="006A1DC4"/>
    <w:rsid w:val="00762CB3"/>
    <w:rsid w:val="007F4DDC"/>
    <w:rsid w:val="009610E4"/>
    <w:rsid w:val="009874A4"/>
    <w:rsid w:val="009916BA"/>
    <w:rsid w:val="009C6876"/>
    <w:rsid w:val="00A975F7"/>
    <w:rsid w:val="00B74F4A"/>
    <w:rsid w:val="00B76BB6"/>
    <w:rsid w:val="00C0240A"/>
    <w:rsid w:val="00C40651"/>
    <w:rsid w:val="00D7689F"/>
    <w:rsid w:val="00E87D2A"/>
    <w:rsid w:val="00EF481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0851A0-C0F9-41B9-911F-25B4F5ECB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MS Mincho"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2989"/>
    <w:pPr>
      <w:widowControl w:val="0"/>
      <w:autoSpaceDE w:val="0"/>
      <w:autoSpaceDN w:val="0"/>
      <w:bidi/>
      <w:adjustRightInd w:val="0"/>
      <w:spacing w:before="102" w:after="0"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rsid w:val="00012989"/>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012989"/>
  </w:style>
  <w:style w:type="paragraph" w:customStyle="1" w:styleId="TableBlock">
    <w:name w:val="Table Block"/>
    <w:basedOn w:val="TableText"/>
    <w:rsid w:val="00012989"/>
    <w:pPr>
      <w:ind w:right="0"/>
      <w:jc w:val="both"/>
    </w:pPr>
  </w:style>
  <w:style w:type="paragraph" w:customStyle="1" w:styleId="HesberWriters">
    <w:name w:val="Hesber Writers"/>
    <w:basedOn w:val="a"/>
    <w:rsid w:val="00012989"/>
    <w:pPr>
      <w:snapToGrid w:val="0"/>
      <w:spacing w:before="120" w:after="6000" w:line="360" w:lineRule="auto"/>
      <w:ind w:left="1418" w:firstLine="0"/>
      <w:jc w:val="right"/>
    </w:pPr>
    <w:rPr>
      <w:rFonts w:ascii="Arial" w:eastAsia="Arial Unicode MS" w:hAnsi="Arial" w:cs="David"/>
      <w:b/>
      <w:bCs/>
      <w:snapToGrid w:val="0"/>
      <w:spacing w:val="0"/>
      <w:sz w:val="20"/>
      <w:szCs w:val="26"/>
    </w:rPr>
  </w:style>
  <w:style w:type="paragraph" w:styleId="a3">
    <w:name w:val="header"/>
    <w:basedOn w:val="a"/>
    <w:link w:val="a4"/>
    <w:rsid w:val="00012989"/>
    <w:pPr>
      <w:tabs>
        <w:tab w:val="center" w:pos="4153"/>
        <w:tab w:val="right" w:pos="8306"/>
      </w:tabs>
    </w:pPr>
  </w:style>
  <w:style w:type="character" w:customStyle="1" w:styleId="a4">
    <w:name w:val="כותרת עליונה תו"/>
    <w:basedOn w:val="a0"/>
    <w:link w:val="a3"/>
    <w:rsid w:val="00012989"/>
    <w:rPr>
      <w:rFonts w:ascii="Hadasa Roso SL" w:eastAsia="MS Mincho" w:hAnsi="Hadasa Roso SL" w:cs="Hadasa Roso SL"/>
      <w:color w:val="000000"/>
      <w:spacing w:val="1"/>
      <w:sz w:val="17"/>
      <w:szCs w:val="17"/>
      <w:lang w:eastAsia="ja-JP"/>
    </w:rPr>
  </w:style>
  <w:style w:type="paragraph" w:styleId="a5">
    <w:name w:val="footer"/>
    <w:basedOn w:val="a"/>
    <w:link w:val="a6"/>
    <w:rsid w:val="00012989"/>
    <w:pPr>
      <w:tabs>
        <w:tab w:val="center" w:pos="4153"/>
        <w:tab w:val="right" w:pos="8306"/>
      </w:tabs>
    </w:pPr>
  </w:style>
  <w:style w:type="character" w:customStyle="1" w:styleId="a6">
    <w:name w:val="כותרת תחתונה תו"/>
    <w:basedOn w:val="a0"/>
    <w:link w:val="a5"/>
    <w:rsid w:val="00012989"/>
    <w:rPr>
      <w:rFonts w:ascii="Hadasa Roso SL" w:eastAsia="MS Mincho" w:hAnsi="Hadasa Roso SL" w:cs="Hadasa Roso SL"/>
      <w:color w:val="000000"/>
      <w:spacing w:val="1"/>
      <w:sz w:val="17"/>
      <w:szCs w:val="17"/>
      <w:lang w:eastAsia="ja-JP"/>
    </w:rPr>
  </w:style>
  <w:style w:type="character" w:styleId="a7">
    <w:name w:val="page number"/>
    <w:basedOn w:val="a0"/>
    <w:rsid w:val="00012989"/>
  </w:style>
  <w:style w:type="paragraph" w:customStyle="1" w:styleId="TableInnerSideHeading">
    <w:name w:val="Table InnerSideHeading"/>
    <w:basedOn w:val="TableSideHeading"/>
    <w:rsid w:val="000129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4" Type="http://schemas.openxmlformats.org/officeDocument/2006/relationships/footer" Target="footer2.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F6055A-8F0B-4A5B-B4CA-1F48CF6339E1}"/>
</file>

<file path=customXml/itemProps2.xml><?xml version="1.0" encoding="utf-8"?>
<ds:datastoreItem xmlns:ds="http://schemas.openxmlformats.org/officeDocument/2006/customXml" ds:itemID="{567D60AE-6D95-466B-B550-8A8E9724AF60}"/>
</file>

<file path=customXml/itemProps3.xml><?xml version="1.0" encoding="utf-8"?>
<ds:datastoreItem xmlns:ds="http://schemas.openxmlformats.org/officeDocument/2006/customXml" ds:itemID="{AA490FD7-074E-4EB5-B4C6-3B270260F843}"/>
</file>

<file path=customXml/itemProps4.xml><?xml version="1.0" encoding="utf-8"?>
<ds:datastoreItem xmlns:ds="http://schemas.openxmlformats.org/officeDocument/2006/customXml" ds:itemID="{567D60AE-6D95-466B-B550-8A8E9724AF6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676</Words>
  <Characters>3383</Characters>
  <Application>Microsoft Office Word</Application>
  <DocSecurity>0</DocSecurity>
  <Lines>28</Lines>
  <Paragraphs>8</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4051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ענת מימון</dc:creator>
  <cp:keywords/>
  <dc:description/>
  <cp:lastModifiedBy>אתי שבתאי</cp:lastModifiedBy>
  <cp:revision>2</cp:revision>
  <dcterms:created xsi:type="dcterms:W3CDTF">2016-03-14T18:39:00Z</dcterms:created>
  <dcterms:modified xsi:type="dcterms:W3CDTF">2016-03-14T18:39:00Z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6cf77c67-388d-43e5-b801-738ca2b25115</vt:lpwstr>
  </property>
</Properties>
</file>