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F68" w:rsidRDefault="00C23F68" w:rsidP="00C23F68">
      <w:pPr>
        <w:pStyle w:val="HeadHatzaotHok"/>
        <w:jc w:val="both"/>
        <w:rPr>
          <w:rtl/>
        </w:rPr>
      </w:pPr>
      <w:bookmarkStart w:id="0" w:name="LGS_Subject"/>
      <w:r>
        <w:rPr>
          <w:rFonts w:hint="cs"/>
          <w:rtl/>
        </w:rPr>
        <w:t>נוסח לדיון בוועדת העבודה הרווחה והבריאות ביום 21 במרס 2016</w:t>
      </w:r>
    </w:p>
    <w:p w:rsidR="00C23F68" w:rsidRDefault="00C23F68" w:rsidP="00C23F68">
      <w:pPr>
        <w:pStyle w:val="HeadHatzaotHok"/>
        <w:rPr>
          <w:rtl/>
        </w:rPr>
      </w:pPr>
    </w:p>
    <w:p w:rsidR="00C23F68" w:rsidRPr="00C23F68" w:rsidRDefault="00C23F68" w:rsidP="00C23F68">
      <w:pPr>
        <w:pStyle w:val="HeadHatzaotHok"/>
        <w:rPr>
          <w:u w:val="single"/>
          <w:rtl/>
        </w:rPr>
      </w:pPr>
      <w:r w:rsidRPr="00C23F68">
        <w:rPr>
          <w:rFonts w:hint="cs"/>
          <w:u w:val="single"/>
          <w:rtl/>
        </w:rPr>
        <w:t xml:space="preserve">הצעת חוק עבודת נשים (תיקון מס' *** </w:t>
      </w:r>
      <w:r w:rsidRPr="00C23F68">
        <w:rPr>
          <w:rFonts w:hint="eastAsia"/>
          <w:u w:val="single"/>
          <w:rtl/>
        </w:rPr>
        <w:t>–</w:t>
      </w:r>
      <w:r w:rsidRPr="00C23F68">
        <w:rPr>
          <w:rFonts w:hint="cs"/>
          <w:u w:val="single"/>
          <w:rtl/>
        </w:rPr>
        <w:t xml:space="preserve"> זכויות הוריות), </w:t>
      </w:r>
      <w:proofErr w:type="spellStart"/>
      <w:r w:rsidRPr="00C23F68">
        <w:rPr>
          <w:rFonts w:hint="cs"/>
          <w:u w:val="single"/>
          <w:rtl/>
        </w:rPr>
        <w:t>התשע"ו</w:t>
      </w:r>
      <w:proofErr w:type="spellEnd"/>
      <w:r w:rsidRPr="00C23F68">
        <w:rPr>
          <w:rFonts w:hint="eastAsia"/>
          <w:u w:val="single"/>
          <w:rtl/>
        </w:rPr>
        <w:t>–</w:t>
      </w:r>
      <w:bookmarkEnd w:id="0"/>
      <w:r w:rsidRPr="00C23F68">
        <w:rPr>
          <w:rFonts w:hint="cs"/>
          <w:u w:val="single"/>
          <w:rtl/>
        </w:rPr>
        <w:t>2016</w:t>
      </w:r>
    </w:p>
    <w:p w:rsidR="00C23F68" w:rsidRDefault="00C23F68" w:rsidP="00C23F68">
      <w:pPr>
        <w:pStyle w:val="HeadHatzaotHok"/>
        <w:rPr>
          <w:rtl/>
        </w:rPr>
      </w:pPr>
    </w:p>
    <w:tbl>
      <w:tblPr>
        <w:bidiVisual/>
        <w:tblW w:w="9647" w:type="dxa"/>
        <w:tblInd w:w="-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1"/>
        <w:gridCol w:w="9"/>
      </w:tblGrid>
      <w:tr w:rsidR="00C23F68" w:rsidTr="00205BE9">
        <w:trPr>
          <w:cantSplit/>
          <w:trHeight w:val="60"/>
        </w:trPr>
        <w:tc>
          <w:tcPr>
            <w:tcW w:w="1873" w:type="dxa"/>
          </w:tcPr>
          <w:p w:rsidR="00C23F68" w:rsidRDefault="00C23F68" w:rsidP="00205BE9">
            <w:pPr>
              <w:pStyle w:val="TableSideHeading"/>
              <w:keepLines w:val="0"/>
              <w:rPr>
                <w:rtl/>
              </w:rPr>
            </w:pPr>
            <w:r>
              <w:rPr>
                <w:rFonts w:hint="cs"/>
                <w:rtl/>
              </w:rPr>
              <w:t>החלפת מונח</w:t>
            </w:r>
          </w:p>
        </w:tc>
        <w:tc>
          <w:tcPr>
            <w:tcW w:w="624" w:type="dxa"/>
          </w:tcPr>
          <w:p w:rsidR="00C23F68" w:rsidRDefault="00C23F68" w:rsidP="00205BE9">
            <w:pPr>
              <w:pStyle w:val="TableBlock"/>
            </w:pPr>
            <w:r>
              <w:rPr>
                <w:rFonts w:hint="cs"/>
                <w:rtl/>
              </w:rPr>
              <w:t>1.</w:t>
            </w:r>
          </w:p>
        </w:tc>
        <w:tc>
          <w:tcPr>
            <w:tcW w:w="7150" w:type="dxa"/>
            <w:gridSpan w:val="7"/>
          </w:tcPr>
          <w:p w:rsidR="00C23F68" w:rsidRPr="00C34DE2" w:rsidRDefault="00C23F68" w:rsidP="00205BE9">
            <w:pPr>
              <w:pStyle w:val="TableBlock"/>
            </w:pPr>
            <w:r w:rsidRPr="00293D12">
              <w:rPr>
                <w:rFonts w:hint="cs"/>
                <w:rtl/>
              </w:rPr>
              <w:t xml:space="preserve">בחוק עבודת נשים, </w:t>
            </w:r>
            <w:proofErr w:type="spellStart"/>
            <w:r w:rsidRPr="00293D12">
              <w:rPr>
                <w:rFonts w:hint="cs"/>
                <w:rtl/>
              </w:rPr>
              <w:t>התשי"ד</w:t>
            </w:r>
            <w:proofErr w:type="spellEnd"/>
            <w:r w:rsidRPr="00293D12">
              <w:rPr>
                <w:rFonts w:hint="eastAsia"/>
                <w:rtl/>
              </w:rPr>
              <w:t>–</w:t>
            </w:r>
            <w:r w:rsidRPr="00293D12">
              <w:rPr>
                <w:rFonts w:hint="cs"/>
                <w:rtl/>
              </w:rPr>
              <w:t>1954</w:t>
            </w:r>
            <w:r>
              <w:rPr>
                <w:rStyle w:val="a5"/>
                <w:rtl/>
              </w:rPr>
              <w:footnoteReference w:id="1"/>
            </w:r>
            <w:r>
              <w:rPr>
                <w:rFonts w:hint="cs"/>
                <w:rtl/>
              </w:rPr>
              <w:t xml:space="preserve"> (להלן </w:t>
            </w:r>
            <w:r>
              <w:rPr>
                <w:rtl/>
              </w:rPr>
              <w:t>–</w:t>
            </w:r>
            <w:r>
              <w:rPr>
                <w:rFonts w:hint="cs"/>
                <w:rtl/>
              </w:rPr>
              <w:t xml:space="preserve"> החוק העיקרי), בכל מקום, במקום "חופשת לידה" יבוא "תקופת לידה והורות".  </w:t>
            </w:r>
          </w:p>
        </w:tc>
      </w:tr>
      <w:tr w:rsidR="00C23F68" w:rsidTr="00205BE9">
        <w:trPr>
          <w:gridAfter w:val="1"/>
          <w:wAfter w:w="9" w:type="dxa"/>
          <w:cantSplit/>
          <w:trHeight w:val="60"/>
        </w:trPr>
        <w:tc>
          <w:tcPr>
            <w:tcW w:w="1873" w:type="dxa"/>
          </w:tcPr>
          <w:p w:rsidR="00C23F68" w:rsidRDefault="00C23F68" w:rsidP="00205BE9">
            <w:pPr>
              <w:pStyle w:val="TableSideHeading"/>
              <w:ind w:right="0"/>
            </w:pPr>
            <w:r>
              <w:rPr>
                <w:rFonts w:hint="cs"/>
                <w:rtl/>
              </w:rPr>
              <w:t>תיקון סעיף 7</w:t>
            </w:r>
          </w:p>
        </w:tc>
        <w:tc>
          <w:tcPr>
            <w:tcW w:w="624" w:type="dxa"/>
          </w:tcPr>
          <w:p w:rsidR="00C23F68" w:rsidRDefault="00C23F68" w:rsidP="00205BE9">
            <w:pPr>
              <w:pStyle w:val="TableText"/>
            </w:pPr>
            <w:r>
              <w:rPr>
                <w:rFonts w:hint="cs"/>
                <w:rtl/>
              </w:rPr>
              <w:t>2.</w:t>
            </w:r>
          </w:p>
        </w:tc>
        <w:tc>
          <w:tcPr>
            <w:tcW w:w="7141" w:type="dxa"/>
            <w:gridSpan w:val="6"/>
          </w:tcPr>
          <w:p w:rsidR="00C23F68" w:rsidRPr="00F4103C" w:rsidRDefault="00C23F68" w:rsidP="00205BE9">
            <w:pPr>
              <w:pStyle w:val="TableBlock"/>
              <w:rPr>
                <w:rtl/>
              </w:rPr>
            </w:pPr>
            <w:r>
              <w:rPr>
                <w:rFonts w:hint="cs"/>
                <w:rtl/>
              </w:rPr>
              <w:t xml:space="preserve">בסעיף 7(ג)(3) לחוק העיקרי, אחרי "שעה אחת ביום" יבוא "שתיקרא שעת הורות,", ובסופו יבוא "לעניין סעיף זה, עובד במשרה מלאה יהיה רשאי לממש את הזכות לשעת ההורות לבד או לסירוגין עם בת זוגו, בהתקיים התנאים כאמור בסעיף 7ב".:    </w:t>
            </w:r>
          </w:p>
        </w:tc>
      </w:tr>
      <w:tr w:rsidR="00C23F68" w:rsidTr="00205BE9">
        <w:trPr>
          <w:gridAfter w:val="1"/>
          <w:wAfter w:w="9" w:type="dxa"/>
          <w:cantSplit/>
          <w:trHeight w:val="60"/>
        </w:trPr>
        <w:tc>
          <w:tcPr>
            <w:tcW w:w="1873" w:type="dxa"/>
          </w:tcPr>
          <w:p w:rsidR="00C23F68" w:rsidRDefault="00C23F68" w:rsidP="00205BE9">
            <w:pPr>
              <w:pStyle w:val="TableSideHeading"/>
              <w:ind w:right="0"/>
              <w:rPr>
                <w:rtl/>
              </w:rPr>
            </w:pPr>
            <w:r>
              <w:rPr>
                <w:rFonts w:hint="cs"/>
                <w:rtl/>
              </w:rPr>
              <w:t>הוספת סעיף 7ב</w:t>
            </w:r>
          </w:p>
        </w:tc>
        <w:tc>
          <w:tcPr>
            <w:tcW w:w="624" w:type="dxa"/>
          </w:tcPr>
          <w:p w:rsidR="00C23F68" w:rsidRDefault="00C23F68" w:rsidP="00205BE9">
            <w:pPr>
              <w:pStyle w:val="TableText"/>
              <w:rPr>
                <w:rtl/>
              </w:rPr>
            </w:pPr>
            <w:r>
              <w:rPr>
                <w:rFonts w:hint="cs"/>
                <w:rtl/>
              </w:rPr>
              <w:t>3.</w:t>
            </w:r>
          </w:p>
        </w:tc>
        <w:tc>
          <w:tcPr>
            <w:tcW w:w="7141" w:type="dxa"/>
            <w:gridSpan w:val="6"/>
          </w:tcPr>
          <w:p w:rsidR="00C23F68" w:rsidDel="00827AB7" w:rsidRDefault="00C23F68" w:rsidP="00205BE9">
            <w:pPr>
              <w:pStyle w:val="TableBlock"/>
              <w:rPr>
                <w:rtl/>
              </w:rPr>
            </w:pPr>
            <w:r>
              <w:rPr>
                <w:rFonts w:hint="cs"/>
                <w:rtl/>
              </w:rPr>
              <w:t>אחרי סעיף 7א יבוא:</w:t>
            </w:r>
          </w:p>
        </w:tc>
      </w:tr>
      <w:tr w:rsidR="00C23F68" w:rsidTr="00205BE9">
        <w:trPr>
          <w:cantSplit/>
          <w:trHeight w:val="60"/>
        </w:trPr>
        <w:tc>
          <w:tcPr>
            <w:tcW w:w="1873" w:type="dxa"/>
          </w:tcPr>
          <w:p w:rsidR="00C23F68" w:rsidRDefault="00C23F68" w:rsidP="00205BE9">
            <w:pPr>
              <w:pStyle w:val="TableSideHeading"/>
              <w:keepLines w:val="0"/>
            </w:pPr>
          </w:p>
        </w:tc>
        <w:tc>
          <w:tcPr>
            <w:tcW w:w="624" w:type="dxa"/>
          </w:tcPr>
          <w:p w:rsidR="00C23F68" w:rsidRDefault="00C23F68" w:rsidP="00205BE9">
            <w:pPr>
              <w:pStyle w:val="TableText"/>
              <w:keepLines w:val="0"/>
            </w:pPr>
          </w:p>
        </w:tc>
        <w:tc>
          <w:tcPr>
            <w:tcW w:w="1872" w:type="dxa"/>
            <w:gridSpan w:val="3"/>
          </w:tcPr>
          <w:p w:rsidR="00C23F68" w:rsidRDefault="00C23F68" w:rsidP="00205BE9">
            <w:pPr>
              <w:pStyle w:val="TableInnerSideHeading"/>
            </w:pPr>
            <w:r>
              <w:rPr>
                <w:rFonts w:hint="cs"/>
                <w:rtl/>
              </w:rPr>
              <w:t xml:space="preserve">"התנאים למימוש שעת הורות על ידי בן זוג </w:t>
            </w:r>
          </w:p>
        </w:tc>
        <w:tc>
          <w:tcPr>
            <w:tcW w:w="624" w:type="dxa"/>
          </w:tcPr>
          <w:p w:rsidR="00C23F68" w:rsidRDefault="00C23F68" w:rsidP="00205BE9">
            <w:pPr>
              <w:pStyle w:val="TableText"/>
            </w:pPr>
            <w:r>
              <w:rPr>
                <w:rFonts w:hint="cs"/>
                <w:rtl/>
              </w:rPr>
              <w:t>7ב.</w:t>
            </w:r>
          </w:p>
        </w:tc>
        <w:tc>
          <w:tcPr>
            <w:tcW w:w="4654" w:type="dxa"/>
            <w:gridSpan w:val="3"/>
          </w:tcPr>
          <w:p w:rsidR="00C23F68" w:rsidRDefault="0088665B" w:rsidP="0088665B">
            <w:pPr>
              <w:pStyle w:val="TableBlock"/>
            </w:pPr>
            <w:r>
              <w:rPr>
                <w:rFonts w:hint="cs"/>
                <w:rtl/>
              </w:rPr>
              <w:t>עובד רשאי לממש את הזכות ל</w:t>
            </w:r>
            <w:r w:rsidR="00C23F68">
              <w:rPr>
                <w:rFonts w:hint="cs"/>
                <w:rtl/>
              </w:rPr>
              <w:t>שעת הורות לבד או לסירוגין עם בת זוגו</w:t>
            </w:r>
            <w:r>
              <w:rPr>
                <w:rFonts w:hint="cs"/>
                <w:rtl/>
              </w:rPr>
              <w:t>, כאמור בסעיף 7(ג)(3), בהתקיים התנאים הבאים:</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654" w:type="dxa"/>
            <w:gridSpan w:val="3"/>
          </w:tcPr>
          <w:p w:rsidR="00C23F68" w:rsidRDefault="00C23F68" w:rsidP="00205BE9">
            <w:pPr>
              <w:pStyle w:val="TableBlock"/>
            </w:pPr>
            <w:r>
              <w:rPr>
                <w:rFonts w:hint="cs"/>
                <w:rtl/>
              </w:rPr>
              <w:t>(1)</w:t>
            </w:r>
            <w:r>
              <w:rPr>
                <w:rtl/>
              </w:rPr>
              <w:tab/>
            </w:r>
            <w:r>
              <w:rPr>
                <w:rFonts w:hint="cs"/>
                <w:rtl/>
              </w:rPr>
              <w:t>בת הזוג נתנה את הסכמתה למימוש שעת ההורות לסירוגין עם בן זוגה או על ידי בן זוגה;</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654" w:type="dxa"/>
            <w:gridSpan w:val="3"/>
          </w:tcPr>
          <w:p w:rsidR="00C23F68" w:rsidRDefault="00C23F68" w:rsidP="00205BE9">
            <w:pPr>
              <w:pStyle w:val="TableBlock"/>
            </w:pPr>
            <w:r>
              <w:rPr>
                <w:rFonts w:hint="cs"/>
                <w:rtl/>
              </w:rPr>
              <w:t>(2)</w:t>
            </w:r>
            <w:r>
              <w:rPr>
                <w:rtl/>
              </w:rPr>
              <w:tab/>
            </w:r>
            <w:r>
              <w:rPr>
                <w:rFonts w:hint="cs"/>
                <w:rtl/>
              </w:rPr>
              <w:t xml:space="preserve">כל אחד מבני הזוג מסר למעסיקו, לא יאוחר מ-14 יום לפני תום חופשת הלידה, הודעה בכתב בה הוא מודיע על הבחירה לממש את הזכות לשעת הורות עם בן זוגו; מסרו בני הזוג הודעה כאמור במועד מאוחר יותר </w:t>
            </w:r>
            <w:r>
              <w:rPr>
                <w:rtl/>
              </w:rPr>
              <w:t>–</w:t>
            </w:r>
            <w:r>
              <w:rPr>
                <w:rFonts w:hint="cs"/>
                <w:rtl/>
              </w:rPr>
              <w:t xml:space="preserve"> יהיה העובד רשאי לממש את זכותו 14 יום לאחר מסירת ההודעה;</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654" w:type="dxa"/>
            <w:gridSpan w:val="3"/>
          </w:tcPr>
          <w:p w:rsidR="00C23F68" w:rsidRDefault="00C23F68" w:rsidP="00C23F68">
            <w:pPr>
              <w:pStyle w:val="TableBlock"/>
            </w:pPr>
            <w:r>
              <w:rPr>
                <w:rFonts w:hint="cs"/>
                <w:rtl/>
              </w:rPr>
              <w:t>(3)</w:t>
            </w:r>
            <w:r>
              <w:rPr>
                <w:rtl/>
              </w:rPr>
              <w:tab/>
            </w:r>
            <w:r>
              <w:rPr>
                <w:rFonts w:hint="cs"/>
                <w:rtl/>
              </w:rPr>
              <w:t>בהודעה כאמור בפסקה (2), יפרט כל אחד מבני הזוג את מספר הימים השבועי וכן את הימים המסוימים בשבוע העבודה בהם הוא יממש את שעת ההורות; להודעה כאמור יצרף כל אחד מבני הזוג את ההודעה החתומה שמסר בן זוגו למעסיקו;</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r>
              <w:rPr>
                <w:rFonts w:hint="cs"/>
                <w:rtl/>
              </w:rPr>
              <w:t>(4)</w:t>
            </w:r>
          </w:p>
        </w:tc>
        <w:tc>
          <w:tcPr>
            <w:tcW w:w="4030" w:type="dxa"/>
            <w:gridSpan w:val="2"/>
          </w:tcPr>
          <w:p w:rsidR="00C23F68" w:rsidRDefault="00C23F68" w:rsidP="00205BE9">
            <w:pPr>
              <w:pStyle w:val="TableBlock"/>
            </w:pPr>
            <w:r>
              <w:rPr>
                <w:rFonts w:hint="cs"/>
                <w:rtl/>
              </w:rPr>
              <w:t>(א)</w:t>
            </w:r>
            <w:r>
              <w:rPr>
                <w:rtl/>
              </w:rPr>
              <w:tab/>
            </w:r>
            <w:r>
              <w:rPr>
                <w:rFonts w:hint="cs"/>
                <w:rtl/>
              </w:rPr>
              <w:t>מימוש הזכות לשעת הורות יעשה על פי הודעת העובדת ובן זוגה למעסיקיהם, ואולם רשאית העובדת ומעסיקה ובן זוגה ומעסיקו, לפי העניין, להסכים ביניהם לפי הצורך ובאופן חד פעמי על ניצול שעות הורות בימים שונים;</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030" w:type="dxa"/>
            <w:gridSpan w:val="2"/>
          </w:tcPr>
          <w:p w:rsidR="00C23F68" w:rsidRDefault="00C23F68" w:rsidP="00205BE9">
            <w:pPr>
              <w:pStyle w:val="TableBlock"/>
            </w:pPr>
            <w:r>
              <w:rPr>
                <w:rFonts w:hint="cs"/>
                <w:rtl/>
              </w:rPr>
              <w:t>(ב)</w:t>
            </w:r>
            <w:r>
              <w:rPr>
                <w:rtl/>
              </w:rPr>
              <w:tab/>
            </w:r>
            <w:r>
              <w:rPr>
                <w:rFonts w:hint="cs"/>
                <w:rtl/>
              </w:rPr>
              <w:t xml:space="preserve">שינוי באופן קבוע במכסת הימים שינצל כל הורה לסירוגין לאחר שנמסרה הודעה כאמור בסעיף זה, יעשה בהודעה שתינתן 14 ימים מראש בהתאם להוראות סעיף זה, בשינויים המחויבים; </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654" w:type="dxa"/>
            <w:gridSpan w:val="3"/>
          </w:tcPr>
          <w:p w:rsidR="00C23F68" w:rsidRDefault="00C23F68" w:rsidP="00205BE9">
            <w:pPr>
              <w:pStyle w:val="TableBlock"/>
            </w:pPr>
            <w:r>
              <w:rPr>
                <w:rFonts w:hint="cs"/>
                <w:rtl/>
              </w:rPr>
              <w:t>(5)</w:t>
            </w:r>
            <w:r>
              <w:rPr>
                <w:rtl/>
              </w:rPr>
              <w:tab/>
            </w:r>
            <w:r w:rsidRPr="005B4A9C">
              <w:rPr>
                <w:rtl/>
              </w:rPr>
              <w:t>מימוש שעות ההורות בידי שני בני הזוג</w:t>
            </w:r>
            <w:r>
              <w:rPr>
                <w:rFonts w:hint="cs"/>
                <w:rtl/>
              </w:rPr>
              <w:t xml:space="preserve"> </w:t>
            </w:r>
            <w:r w:rsidRPr="005B4A9C">
              <w:rPr>
                <w:rtl/>
              </w:rPr>
              <w:t>לא יעלה על מכסת שעות מימוש מלא</w:t>
            </w:r>
            <w:r>
              <w:rPr>
                <w:rFonts w:hint="cs"/>
                <w:rtl/>
              </w:rPr>
              <w:t>ה</w:t>
            </w:r>
            <w:r w:rsidR="00535F32">
              <w:rPr>
                <w:rtl/>
              </w:rPr>
              <w:t xml:space="preserve"> של שע</w:t>
            </w:r>
            <w:r w:rsidRPr="005B4A9C">
              <w:rPr>
                <w:rtl/>
              </w:rPr>
              <w:t xml:space="preserve">ת הורות בידי </w:t>
            </w:r>
            <w:r>
              <w:rPr>
                <w:rFonts w:hint="cs"/>
                <w:rtl/>
              </w:rPr>
              <w:t>העובדת;</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654" w:type="dxa"/>
            <w:gridSpan w:val="3"/>
          </w:tcPr>
          <w:p w:rsidR="00C23F68" w:rsidRDefault="00C23F68" w:rsidP="00C23F68">
            <w:pPr>
              <w:pStyle w:val="TableBlock"/>
              <w:rPr>
                <w:rtl/>
              </w:rPr>
            </w:pPr>
            <w:r>
              <w:rPr>
                <w:rFonts w:hint="cs"/>
                <w:rtl/>
              </w:rPr>
              <w:t>(6)</w:t>
            </w:r>
            <w:r>
              <w:rPr>
                <w:rtl/>
              </w:rPr>
              <w:tab/>
            </w:r>
            <w:r>
              <w:rPr>
                <w:rFonts w:hint="cs"/>
                <w:rtl/>
              </w:rPr>
              <w:t>שר הכלכלה והתעשייה רשאי לקבוע, בין היתר, כללים:</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030" w:type="dxa"/>
            <w:gridSpan w:val="2"/>
          </w:tcPr>
          <w:p w:rsidR="00C23F68" w:rsidRDefault="00C23F68" w:rsidP="00205BE9">
            <w:pPr>
              <w:pStyle w:val="TableBlock"/>
            </w:pPr>
            <w:r>
              <w:rPr>
                <w:rFonts w:hint="cs"/>
                <w:rtl/>
              </w:rPr>
              <w:t>(א)</w:t>
            </w:r>
            <w:r w:rsidR="00535F32">
              <w:rPr>
                <w:rtl/>
              </w:rPr>
              <w:tab/>
            </w:r>
            <w:r>
              <w:rPr>
                <w:rFonts w:hint="cs"/>
                <w:rtl/>
              </w:rPr>
              <w:t>לעניין חלוקה אחרת של שעת ההורות בין בני הזוג</w:t>
            </w:r>
            <w:r w:rsidR="0088665B">
              <w:rPr>
                <w:rFonts w:hint="cs"/>
                <w:rtl/>
              </w:rPr>
              <w:t>,</w:t>
            </w:r>
            <w:r>
              <w:rPr>
                <w:rFonts w:hint="cs"/>
                <w:rtl/>
              </w:rPr>
              <w:t xml:space="preserve"> לרבות זכותו של עובד לשינוי חלוק</w:t>
            </w:r>
            <w:r w:rsidR="0088665B">
              <w:rPr>
                <w:rFonts w:hint="cs"/>
                <w:rtl/>
              </w:rPr>
              <w:t xml:space="preserve">ת מכסת השעות במהלך תקופת הזכות </w:t>
            </w:r>
            <w:r>
              <w:rPr>
                <w:rFonts w:hint="cs"/>
                <w:rtl/>
              </w:rPr>
              <w:t>לפי סעיף זה;</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030" w:type="dxa"/>
            <w:gridSpan w:val="2"/>
          </w:tcPr>
          <w:p w:rsidR="00C23F68" w:rsidRDefault="00C23F68" w:rsidP="00205BE9">
            <w:pPr>
              <w:pStyle w:val="TableBlock"/>
            </w:pPr>
            <w:r>
              <w:rPr>
                <w:rFonts w:hint="cs"/>
                <w:rtl/>
              </w:rPr>
              <w:t>(ב)</w:t>
            </w:r>
            <w:r w:rsidR="00535F32">
              <w:rPr>
                <w:rtl/>
              </w:rPr>
              <w:tab/>
            </w:r>
            <w:r>
              <w:rPr>
                <w:rFonts w:hint="cs"/>
                <w:rtl/>
              </w:rPr>
              <w:t>בדבר חלוקת שעת ההורות לסוגי עובדים שונים וסוגי מקומות עבודה שונים;</w:t>
            </w:r>
          </w:p>
        </w:tc>
      </w:tr>
      <w:tr w:rsidR="00C23F68" w:rsidTr="00205BE9">
        <w:trPr>
          <w:cantSplit/>
          <w:trHeight w:val="60"/>
        </w:trPr>
        <w:tc>
          <w:tcPr>
            <w:tcW w:w="1873" w:type="dxa"/>
          </w:tcPr>
          <w:p w:rsidR="00C23F68" w:rsidRDefault="00C23F68" w:rsidP="00205BE9">
            <w:pPr>
              <w:pStyle w:val="TableSideHeading"/>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624" w:type="dxa"/>
          </w:tcPr>
          <w:p w:rsidR="00C23F68" w:rsidRDefault="00C23F68" w:rsidP="00205BE9">
            <w:pPr>
              <w:pStyle w:val="TableText"/>
            </w:pPr>
          </w:p>
        </w:tc>
        <w:tc>
          <w:tcPr>
            <w:tcW w:w="4030" w:type="dxa"/>
            <w:gridSpan w:val="2"/>
          </w:tcPr>
          <w:p w:rsidR="00C23F68" w:rsidRDefault="00C23F68" w:rsidP="00205BE9">
            <w:pPr>
              <w:pStyle w:val="TableBlock"/>
              <w:rPr>
                <w:rtl/>
              </w:rPr>
            </w:pPr>
            <w:r>
              <w:rPr>
                <w:rFonts w:hint="cs"/>
                <w:rtl/>
              </w:rPr>
              <w:t>(ג)</w:t>
            </w:r>
            <w:r>
              <w:rPr>
                <w:rtl/>
              </w:rPr>
              <w:tab/>
            </w:r>
            <w:r>
              <w:rPr>
                <w:rFonts w:hint="cs"/>
                <w:rtl/>
              </w:rPr>
              <w:t>לעניין אופן וצורת הדיווח למעסיק על ידי שני בני הזוג</w:t>
            </w:r>
            <w:r w:rsidR="0088665B">
              <w:rPr>
                <w:rFonts w:hint="cs"/>
                <w:rtl/>
              </w:rPr>
              <w:t xml:space="preserve"> בנוגע למימוש הזכות לשעת הורות".</w:t>
            </w:r>
          </w:p>
        </w:tc>
      </w:tr>
      <w:tr w:rsidR="00C23F68" w:rsidRPr="00293D12" w:rsidTr="00205BE9">
        <w:trPr>
          <w:cantSplit/>
          <w:trHeight w:val="60"/>
        </w:trPr>
        <w:tc>
          <w:tcPr>
            <w:tcW w:w="1873" w:type="dxa"/>
          </w:tcPr>
          <w:p w:rsidR="00C23F68" w:rsidRDefault="00C23F68" w:rsidP="00205BE9">
            <w:pPr>
              <w:pStyle w:val="TableSideHeading"/>
              <w:keepLines w:val="0"/>
              <w:rPr>
                <w:rtl/>
              </w:rPr>
            </w:pPr>
            <w:r>
              <w:rPr>
                <w:rFonts w:hint="cs"/>
                <w:rtl/>
              </w:rPr>
              <w:t>תיקון חוק חיילים משוחררים (החזרה לעבודה)</w:t>
            </w:r>
          </w:p>
        </w:tc>
        <w:tc>
          <w:tcPr>
            <w:tcW w:w="624" w:type="dxa"/>
          </w:tcPr>
          <w:p w:rsidR="00C23F68" w:rsidRDefault="00C23F68" w:rsidP="00205BE9">
            <w:pPr>
              <w:pStyle w:val="TableText"/>
              <w:rPr>
                <w:rtl/>
              </w:rPr>
            </w:pPr>
            <w:r>
              <w:rPr>
                <w:rFonts w:hint="cs"/>
                <w:rtl/>
              </w:rPr>
              <w:t>4.</w:t>
            </w:r>
          </w:p>
        </w:tc>
        <w:tc>
          <w:tcPr>
            <w:tcW w:w="7150" w:type="dxa"/>
            <w:gridSpan w:val="7"/>
          </w:tcPr>
          <w:p w:rsidR="00C23F68" w:rsidRPr="00293D12" w:rsidRDefault="00C23F68" w:rsidP="00205BE9">
            <w:pPr>
              <w:pStyle w:val="TableBlock"/>
              <w:rPr>
                <w:rtl/>
              </w:rPr>
            </w:pPr>
            <w:r>
              <w:rPr>
                <w:rFonts w:hint="cs"/>
                <w:rtl/>
              </w:rPr>
              <w:t>בחוק חיילים משוחררים (החזרה לעבודה), התש"ט-1949</w:t>
            </w:r>
            <w:r>
              <w:rPr>
                <w:rStyle w:val="a5"/>
                <w:rtl/>
              </w:rPr>
              <w:footnoteReference w:id="2"/>
            </w:r>
            <w:r>
              <w:rPr>
                <w:rFonts w:hint="cs"/>
                <w:rtl/>
              </w:rPr>
              <w:t xml:space="preserve">, בסעיף 4(ב) </w:t>
            </w:r>
            <w:r w:rsidRPr="00293D12">
              <w:rPr>
                <w:rtl/>
              </w:rPr>
              <w:t>במקום "חופשת לידה"</w:t>
            </w:r>
            <w:r>
              <w:rPr>
                <w:rFonts w:hint="cs"/>
                <w:rtl/>
              </w:rPr>
              <w:t xml:space="preserve"> יבוא </w:t>
            </w:r>
            <w:r>
              <w:rPr>
                <w:rtl/>
              </w:rPr>
              <w:t>"תקופת לידה והורות"</w:t>
            </w:r>
            <w:r>
              <w:rPr>
                <w:rFonts w:hint="cs"/>
                <w:rtl/>
              </w:rPr>
              <w:t>.</w:t>
            </w:r>
          </w:p>
        </w:tc>
      </w:tr>
      <w:tr w:rsidR="00C23F68" w:rsidRPr="00293D12" w:rsidTr="00205BE9">
        <w:trPr>
          <w:cantSplit/>
          <w:trHeight w:val="60"/>
        </w:trPr>
        <w:tc>
          <w:tcPr>
            <w:tcW w:w="1873" w:type="dxa"/>
          </w:tcPr>
          <w:p w:rsidR="00C23F68" w:rsidRDefault="00C23F68" w:rsidP="00205BE9">
            <w:pPr>
              <w:pStyle w:val="TableSideHeading"/>
              <w:keepLines w:val="0"/>
              <w:rPr>
                <w:rtl/>
              </w:rPr>
            </w:pPr>
            <w:r>
              <w:rPr>
                <w:rFonts w:hint="cs"/>
                <w:rtl/>
              </w:rPr>
              <w:t>תיקון חוק חופשה שנתית</w:t>
            </w:r>
          </w:p>
        </w:tc>
        <w:tc>
          <w:tcPr>
            <w:tcW w:w="624" w:type="dxa"/>
          </w:tcPr>
          <w:p w:rsidR="00C23F68" w:rsidRDefault="00C23F68" w:rsidP="00205BE9">
            <w:pPr>
              <w:pStyle w:val="TableText"/>
              <w:rPr>
                <w:rtl/>
              </w:rPr>
            </w:pPr>
            <w:r>
              <w:rPr>
                <w:rFonts w:hint="cs"/>
                <w:rtl/>
              </w:rPr>
              <w:t>5.</w:t>
            </w:r>
          </w:p>
        </w:tc>
        <w:tc>
          <w:tcPr>
            <w:tcW w:w="7150" w:type="dxa"/>
            <w:gridSpan w:val="7"/>
          </w:tcPr>
          <w:p w:rsidR="00C23F68" w:rsidRPr="00293D12" w:rsidRDefault="00C23F68" w:rsidP="00205BE9">
            <w:pPr>
              <w:pStyle w:val="TableBlock"/>
              <w:rPr>
                <w:rtl/>
              </w:rPr>
            </w:pPr>
            <w:r>
              <w:rPr>
                <w:rFonts w:hint="cs"/>
                <w:rtl/>
              </w:rPr>
              <w:t>בחוק חופשה שנתית, התשי"א-1951</w:t>
            </w:r>
            <w:r>
              <w:rPr>
                <w:rStyle w:val="a5"/>
                <w:rtl/>
              </w:rPr>
              <w:footnoteReference w:id="3"/>
            </w:r>
            <w:r>
              <w:rPr>
                <w:rFonts w:hint="cs"/>
                <w:rtl/>
              </w:rPr>
              <w:t>, בסעיף 5(א)(3)</w:t>
            </w:r>
            <w:r w:rsidRPr="00293D12">
              <w:rPr>
                <w:rtl/>
              </w:rPr>
              <w:t xml:space="preserve"> במקום "חופשת לידה"</w:t>
            </w:r>
            <w:r>
              <w:rPr>
                <w:rFonts w:hint="cs"/>
                <w:rtl/>
              </w:rPr>
              <w:t xml:space="preserve"> יבוא </w:t>
            </w:r>
            <w:r>
              <w:rPr>
                <w:rtl/>
              </w:rPr>
              <w:t>"תקופת לידה והורות"</w:t>
            </w:r>
            <w:r>
              <w:rPr>
                <w:rFonts w:hint="cs"/>
                <w:rtl/>
              </w:rPr>
              <w:t>.</w:t>
            </w:r>
          </w:p>
        </w:tc>
      </w:tr>
      <w:tr w:rsidR="00C23F68" w:rsidRPr="00293D12" w:rsidTr="00205BE9">
        <w:trPr>
          <w:cantSplit/>
          <w:trHeight w:val="60"/>
        </w:trPr>
        <w:tc>
          <w:tcPr>
            <w:tcW w:w="1873" w:type="dxa"/>
          </w:tcPr>
          <w:p w:rsidR="00C23F68" w:rsidRDefault="00C23F68" w:rsidP="00205BE9">
            <w:pPr>
              <w:pStyle w:val="TableSideHeading"/>
              <w:keepLines w:val="0"/>
              <w:rPr>
                <w:rtl/>
              </w:rPr>
            </w:pPr>
            <w:r>
              <w:rPr>
                <w:rFonts w:hint="cs"/>
                <w:rtl/>
              </w:rPr>
              <w:t>תיקון חוק החשמל</w:t>
            </w:r>
          </w:p>
        </w:tc>
        <w:tc>
          <w:tcPr>
            <w:tcW w:w="624" w:type="dxa"/>
          </w:tcPr>
          <w:p w:rsidR="00C23F68" w:rsidRDefault="00C23F68" w:rsidP="00205BE9">
            <w:pPr>
              <w:pStyle w:val="TableText"/>
              <w:rPr>
                <w:rtl/>
              </w:rPr>
            </w:pPr>
            <w:r>
              <w:rPr>
                <w:rFonts w:hint="cs"/>
                <w:rtl/>
              </w:rPr>
              <w:t>6.</w:t>
            </w:r>
          </w:p>
        </w:tc>
        <w:tc>
          <w:tcPr>
            <w:tcW w:w="7150" w:type="dxa"/>
            <w:gridSpan w:val="7"/>
          </w:tcPr>
          <w:p w:rsidR="00C23F68" w:rsidRPr="00293D12" w:rsidRDefault="00C23F68" w:rsidP="00205BE9">
            <w:pPr>
              <w:pStyle w:val="TableBlock"/>
              <w:rPr>
                <w:rtl/>
              </w:rPr>
            </w:pPr>
            <w:r>
              <w:rPr>
                <w:rFonts w:hint="cs"/>
                <w:rtl/>
              </w:rPr>
              <w:t>בחוק החשמל, התשי"ד-1954</w:t>
            </w:r>
            <w:r>
              <w:rPr>
                <w:rStyle w:val="a5"/>
                <w:rtl/>
              </w:rPr>
              <w:footnoteReference w:id="4"/>
            </w:r>
            <w:r>
              <w:rPr>
                <w:rFonts w:hint="cs"/>
                <w:rtl/>
              </w:rPr>
              <w:t>, בסעיף 3ד(ג)</w:t>
            </w:r>
            <w:r w:rsidRPr="00293D12">
              <w:rPr>
                <w:rtl/>
              </w:rPr>
              <w:t xml:space="preserve"> במקום "חופשת לידה"</w:t>
            </w:r>
            <w:r>
              <w:rPr>
                <w:rFonts w:hint="cs"/>
                <w:rtl/>
              </w:rPr>
              <w:t xml:space="preserve"> יבוא </w:t>
            </w:r>
            <w:r>
              <w:rPr>
                <w:rtl/>
              </w:rPr>
              <w:t>"תקופת לידה והורות"</w:t>
            </w:r>
            <w:r>
              <w:rPr>
                <w:rFonts w:hint="cs"/>
                <w:rtl/>
              </w:rPr>
              <w:t>.</w:t>
            </w:r>
          </w:p>
        </w:tc>
      </w:tr>
      <w:tr w:rsidR="00C23F68" w:rsidRPr="00293D12" w:rsidTr="00205BE9">
        <w:trPr>
          <w:cantSplit/>
          <w:trHeight w:val="60"/>
        </w:trPr>
        <w:tc>
          <w:tcPr>
            <w:tcW w:w="1873" w:type="dxa"/>
          </w:tcPr>
          <w:p w:rsidR="00C23F68" w:rsidRDefault="00C23F68" w:rsidP="00205BE9">
            <w:pPr>
              <w:pStyle w:val="TableSideHeading"/>
              <w:keepLines w:val="0"/>
              <w:rPr>
                <w:rtl/>
              </w:rPr>
            </w:pPr>
            <w:r>
              <w:rPr>
                <w:rFonts w:hint="cs"/>
                <w:rtl/>
              </w:rPr>
              <w:t>תיקון חוק הביטוח הלאומי</w:t>
            </w:r>
          </w:p>
        </w:tc>
        <w:tc>
          <w:tcPr>
            <w:tcW w:w="624" w:type="dxa"/>
          </w:tcPr>
          <w:p w:rsidR="00C23F68" w:rsidRDefault="00C23F68" w:rsidP="00205BE9">
            <w:pPr>
              <w:pStyle w:val="TableText"/>
              <w:rPr>
                <w:rtl/>
              </w:rPr>
            </w:pPr>
            <w:r>
              <w:rPr>
                <w:rFonts w:hint="cs"/>
                <w:rtl/>
              </w:rPr>
              <w:t>7.</w:t>
            </w:r>
          </w:p>
        </w:tc>
        <w:tc>
          <w:tcPr>
            <w:tcW w:w="7150" w:type="dxa"/>
            <w:gridSpan w:val="7"/>
          </w:tcPr>
          <w:p w:rsidR="00C23F68" w:rsidRPr="00293D12" w:rsidRDefault="00C23F68" w:rsidP="00205BE9">
            <w:pPr>
              <w:pStyle w:val="TableBlock"/>
              <w:rPr>
                <w:rtl/>
              </w:rPr>
            </w:pPr>
            <w:r>
              <w:rPr>
                <w:rFonts w:hint="cs"/>
                <w:rtl/>
              </w:rPr>
              <w:t xml:space="preserve">בחוק הביטוח הלאומי [נוסח משולב], </w:t>
            </w:r>
            <w:proofErr w:type="spellStart"/>
            <w:r>
              <w:rPr>
                <w:rFonts w:hint="cs"/>
                <w:rtl/>
              </w:rPr>
              <w:t>התשנ"ה</w:t>
            </w:r>
            <w:proofErr w:type="spellEnd"/>
            <w:r>
              <w:rPr>
                <w:rFonts w:hint="eastAsia"/>
                <w:rtl/>
              </w:rPr>
              <w:t>–</w:t>
            </w:r>
            <w:r>
              <w:rPr>
                <w:rFonts w:hint="cs"/>
                <w:rtl/>
              </w:rPr>
              <w:t>1995</w:t>
            </w:r>
            <w:r>
              <w:rPr>
                <w:rStyle w:val="a5"/>
                <w:rtl/>
              </w:rPr>
              <w:footnoteReference w:id="5"/>
            </w:r>
            <w:r>
              <w:rPr>
                <w:rFonts w:hint="cs"/>
                <w:rtl/>
              </w:rPr>
              <w:t xml:space="preserve">, </w:t>
            </w:r>
            <w:r w:rsidRPr="00293D12">
              <w:rPr>
                <w:rtl/>
              </w:rPr>
              <w:t>בכל מקום, במקום "חופשת לידה"</w:t>
            </w:r>
            <w:r>
              <w:rPr>
                <w:rFonts w:hint="cs"/>
                <w:rtl/>
              </w:rPr>
              <w:t xml:space="preserve"> יבוא </w:t>
            </w:r>
            <w:r>
              <w:rPr>
                <w:rtl/>
              </w:rPr>
              <w:t>"תקופת לידה והורות"</w:t>
            </w:r>
            <w:r>
              <w:rPr>
                <w:rFonts w:hint="cs"/>
                <w:rtl/>
              </w:rPr>
              <w:t>.</w:t>
            </w:r>
          </w:p>
        </w:tc>
      </w:tr>
      <w:tr w:rsidR="00C23F68" w:rsidRPr="00293D12" w:rsidTr="00205BE9">
        <w:trPr>
          <w:cantSplit/>
          <w:trHeight w:val="60"/>
        </w:trPr>
        <w:tc>
          <w:tcPr>
            <w:tcW w:w="1873" w:type="dxa"/>
          </w:tcPr>
          <w:p w:rsidR="00C23F68" w:rsidRDefault="00C23F68" w:rsidP="00205BE9">
            <w:pPr>
              <w:pStyle w:val="TableSideHeading"/>
              <w:keepLines w:val="0"/>
              <w:rPr>
                <w:rtl/>
              </w:rPr>
            </w:pPr>
            <w:r>
              <w:rPr>
                <w:rFonts w:hint="cs"/>
                <w:rtl/>
              </w:rPr>
              <w:t>תיקון חוק להגדלת שיעור ההשתתפות בכוח העבודה ולצמצום פערים חברתיים (מס הכנסה שלילי)</w:t>
            </w:r>
          </w:p>
        </w:tc>
        <w:tc>
          <w:tcPr>
            <w:tcW w:w="624" w:type="dxa"/>
          </w:tcPr>
          <w:p w:rsidR="00C23F68" w:rsidRDefault="00C23F68" w:rsidP="00205BE9">
            <w:pPr>
              <w:pStyle w:val="TableText"/>
              <w:rPr>
                <w:rtl/>
              </w:rPr>
            </w:pPr>
            <w:r>
              <w:rPr>
                <w:rFonts w:hint="cs"/>
                <w:rtl/>
              </w:rPr>
              <w:t>8.</w:t>
            </w:r>
          </w:p>
        </w:tc>
        <w:tc>
          <w:tcPr>
            <w:tcW w:w="7150" w:type="dxa"/>
            <w:gridSpan w:val="7"/>
          </w:tcPr>
          <w:p w:rsidR="00C23F68" w:rsidRPr="00293D12" w:rsidRDefault="00C23F68" w:rsidP="00205BE9">
            <w:pPr>
              <w:pStyle w:val="TableBlock"/>
              <w:rPr>
                <w:rtl/>
              </w:rPr>
            </w:pPr>
            <w:r>
              <w:rPr>
                <w:rFonts w:hint="cs"/>
                <w:rtl/>
              </w:rPr>
              <w:t>בחוק להגדלת שיעור ההשתתפות בכוח העבודה ולצמצום פערים חברתיים (מס הכנסה שלילי), התשס"ח-2007</w:t>
            </w:r>
            <w:r>
              <w:rPr>
                <w:rStyle w:val="a5"/>
                <w:rtl/>
              </w:rPr>
              <w:footnoteReference w:id="6"/>
            </w:r>
            <w:r>
              <w:rPr>
                <w:rFonts w:hint="cs"/>
                <w:rtl/>
              </w:rPr>
              <w:t xml:space="preserve">, בסעיף 1 בהגדרה "חודש עבודה בפועל" המובאת בו, </w:t>
            </w:r>
            <w:r w:rsidRPr="00293D12">
              <w:rPr>
                <w:rtl/>
              </w:rPr>
              <w:t>במקום "</w:t>
            </w:r>
            <w:r>
              <w:rPr>
                <w:rFonts w:hint="cs"/>
                <w:rtl/>
              </w:rPr>
              <w:t xml:space="preserve">תקופת </w:t>
            </w:r>
            <w:r w:rsidRPr="00293D12">
              <w:rPr>
                <w:rtl/>
              </w:rPr>
              <w:t>חופשת לידה"</w:t>
            </w:r>
            <w:r>
              <w:rPr>
                <w:rFonts w:hint="cs"/>
                <w:rtl/>
              </w:rPr>
              <w:t xml:space="preserve"> יבוא </w:t>
            </w:r>
            <w:r>
              <w:rPr>
                <w:rtl/>
              </w:rPr>
              <w:t>"תקופת לידה והורות"</w:t>
            </w:r>
            <w:r>
              <w:rPr>
                <w:rFonts w:hint="cs"/>
                <w:rtl/>
              </w:rPr>
              <w:t>.</w:t>
            </w:r>
          </w:p>
        </w:tc>
      </w:tr>
      <w:tr w:rsidR="00C23F68" w:rsidTr="00205BE9">
        <w:trPr>
          <w:gridAfter w:val="1"/>
          <w:wAfter w:w="9" w:type="dxa"/>
          <w:cantSplit/>
          <w:trHeight w:val="60"/>
        </w:trPr>
        <w:tc>
          <w:tcPr>
            <w:tcW w:w="1873" w:type="dxa"/>
          </w:tcPr>
          <w:p w:rsidR="00C23F68" w:rsidRDefault="00C23F68" w:rsidP="00205BE9">
            <w:pPr>
              <w:pStyle w:val="TableSideHeading"/>
              <w:ind w:right="0"/>
              <w:rPr>
                <w:rtl/>
              </w:rPr>
            </w:pPr>
            <w:r>
              <w:rPr>
                <w:rFonts w:hint="cs"/>
                <w:rtl/>
              </w:rPr>
              <w:t>תיקון חוק להגברת האכיפה של דיני העבודה</w:t>
            </w:r>
          </w:p>
        </w:tc>
        <w:tc>
          <w:tcPr>
            <w:tcW w:w="624" w:type="dxa"/>
          </w:tcPr>
          <w:p w:rsidR="00C23F68" w:rsidRDefault="00C23F68" w:rsidP="00205BE9">
            <w:pPr>
              <w:pStyle w:val="TableText"/>
            </w:pPr>
            <w:r>
              <w:rPr>
                <w:rFonts w:hint="cs"/>
                <w:rtl/>
              </w:rPr>
              <w:t>9.</w:t>
            </w:r>
          </w:p>
        </w:tc>
        <w:tc>
          <w:tcPr>
            <w:tcW w:w="7141" w:type="dxa"/>
            <w:gridSpan w:val="6"/>
          </w:tcPr>
          <w:p w:rsidR="00C23F68" w:rsidDel="00934E2F" w:rsidRDefault="00C23F68" w:rsidP="00205BE9">
            <w:pPr>
              <w:pStyle w:val="TableBlock"/>
              <w:rPr>
                <w:rtl/>
              </w:rPr>
            </w:pPr>
            <w:r>
              <w:rPr>
                <w:rFonts w:hint="cs"/>
                <w:rtl/>
              </w:rPr>
              <w:t>בחוק להגברת האכיפה של דיני העבודה, התשע"ב-2011</w:t>
            </w:r>
            <w:r>
              <w:rPr>
                <w:rStyle w:val="a5"/>
                <w:rtl/>
              </w:rPr>
              <w:footnoteReference w:id="7"/>
            </w:r>
            <w:r>
              <w:rPr>
                <w:rFonts w:hint="cs"/>
                <w:rtl/>
              </w:rPr>
              <w:t xml:space="preserve">, בתוספת השנייה בכל </w:t>
            </w:r>
            <w:r w:rsidRPr="00293D12">
              <w:rPr>
                <w:rtl/>
              </w:rPr>
              <w:t>מקום</w:t>
            </w:r>
            <w:r>
              <w:rPr>
                <w:rFonts w:hint="cs"/>
                <w:rtl/>
              </w:rPr>
              <w:t xml:space="preserve"> במקום</w:t>
            </w:r>
            <w:r w:rsidRPr="00293D12">
              <w:rPr>
                <w:rtl/>
              </w:rPr>
              <w:t xml:space="preserve"> "חופשת לידה"</w:t>
            </w:r>
            <w:r>
              <w:rPr>
                <w:rFonts w:hint="cs"/>
                <w:rtl/>
              </w:rPr>
              <w:t xml:space="preserve"> יבוא </w:t>
            </w:r>
            <w:r>
              <w:rPr>
                <w:rtl/>
              </w:rPr>
              <w:t>"תקופת לידה והורות"</w:t>
            </w:r>
            <w:r>
              <w:rPr>
                <w:rFonts w:hint="cs"/>
                <w:rtl/>
              </w:rPr>
              <w:t>.</w:t>
            </w:r>
          </w:p>
        </w:tc>
      </w:tr>
      <w:tr w:rsidR="00C23F68" w:rsidTr="00205BE9">
        <w:trPr>
          <w:gridAfter w:val="1"/>
          <w:wAfter w:w="9" w:type="dxa"/>
          <w:cantSplit/>
          <w:trHeight w:val="60"/>
        </w:trPr>
        <w:tc>
          <w:tcPr>
            <w:tcW w:w="1873" w:type="dxa"/>
          </w:tcPr>
          <w:p w:rsidR="00C23F68" w:rsidRDefault="00C23F68" w:rsidP="00205BE9">
            <w:pPr>
              <w:pStyle w:val="TableSideHeading"/>
              <w:ind w:right="0"/>
              <w:rPr>
                <w:rtl/>
              </w:rPr>
            </w:pPr>
            <w:r>
              <w:rPr>
                <w:rFonts w:hint="cs"/>
                <w:rtl/>
              </w:rPr>
              <w:t>תיקון חוק ההנדסאים והטכנאים המוסמכים</w:t>
            </w:r>
          </w:p>
        </w:tc>
        <w:tc>
          <w:tcPr>
            <w:tcW w:w="624" w:type="dxa"/>
          </w:tcPr>
          <w:p w:rsidR="00C23F68" w:rsidRDefault="00C23F68" w:rsidP="00205BE9">
            <w:pPr>
              <w:pStyle w:val="TableText"/>
            </w:pPr>
            <w:r>
              <w:rPr>
                <w:rFonts w:hint="cs"/>
                <w:rtl/>
              </w:rPr>
              <w:t>10.</w:t>
            </w:r>
          </w:p>
        </w:tc>
        <w:tc>
          <w:tcPr>
            <w:tcW w:w="7141" w:type="dxa"/>
            <w:gridSpan w:val="6"/>
          </w:tcPr>
          <w:p w:rsidR="00C23F68" w:rsidDel="00934E2F" w:rsidRDefault="00C23F68" w:rsidP="00205BE9">
            <w:pPr>
              <w:pStyle w:val="TableBlock"/>
              <w:rPr>
                <w:rtl/>
              </w:rPr>
            </w:pPr>
            <w:r>
              <w:rPr>
                <w:rFonts w:hint="cs"/>
                <w:rtl/>
              </w:rPr>
              <w:t>בחוק ההנדסאים והטכנאים המוסמכים, התשע"ג-2012</w:t>
            </w:r>
            <w:r>
              <w:rPr>
                <w:rStyle w:val="a5"/>
                <w:rtl/>
              </w:rPr>
              <w:footnoteReference w:id="8"/>
            </w:r>
            <w:r>
              <w:rPr>
                <w:rFonts w:hint="cs"/>
                <w:rtl/>
              </w:rPr>
              <w:t>, בסעיף 6(ג) במקום "חופשת לידה" יבוא "תקופת לידה והורות".</w:t>
            </w:r>
          </w:p>
        </w:tc>
      </w:tr>
      <w:tr w:rsidR="00C23F68" w:rsidDel="00F251EC" w:rsidTr="00205BE9">
        <w:trPr>
          <w:cantSplit/>
          <w:trHeight w:val="60"/>
        </w:trPr>
        <w:tc>
          <w:tcPr>
            <w:tcW w:w="1873" w:type="dxa"/>
          </w:tcPr>
          <w:p w:rsidR="00C23F68" w:rsidDel="00F251EC" w:rsidRDefault="00C23F68" w:rsidP="00205BE9">
            <w:pPr>
              <w:pStyle w:val="TableSideHeading"/>
              <w:keepLines w:val="0"/>
              <w:rPr>
                <w:rtl/>
              </w:rPr>
            </w:pPr>
            <w:r>
              <w:rPr>
                <w:rFonts w:hint="cs"/>
                <w:rtl/>
              </w:rPr>
              <w:t>תחולה</w:t>
            </w:r>
          </w:p>
        </w:tc>
        <w:tc>
          <w:tcPr>
            <w:tcW w:w="624" w:type="dxa"/>
          </w:tcPr>
          <w:p w:rsidR="00C23F68" w:rsidDel="00F251EC" w:rsidRDefault="00C23F68" w:rsidP="00205BE9">
            <w:pPr>
              <w:pStyle w:val="TableText"/>
              <w:rPr>
                <w:rtl/>
              </w:rPr>
            </w:pPr>
            <w:r>
              <w:rPr>
                <w:rFonts w:hint="cs"/>
                <w:rtl/>
              </w:rPr>
              <w:t>11.</w:t>
            </w:r>
          </w:p>
        </w:tc>
        <w:tc>
          <w:tcPr>
            <w:tcW w:w="7150" w:type="dxa"/>
            <w:gridSpan w:val="7"/>
          </w:tcPr>
          <w:p w:rsidR="00C23F68" w:rsidDel="00F251EC" w:rsidRDefault="00C23F68" w:rsidP="00205BE9">
            <w:pPr>
              <w:pStyle w:val="TableBlock"/>
              <w:rPr>
                <w:rtl/>
              </w:rPr>
            </w:pPr>
            <w:r>
              <w:rPr>
                <w:rFonts w:hint="cs"/>
                <w:rtl/>
              </w:rPr>
              <w:t>חוק זה יחול גם על עובד ועובדת שזכאים לשעת הורות לפי סעיף 7ב לחוק העיקרי ערב תחילתו של חוק זה, ובלבד שמסרו הודעה על בחירתם לממש את זכותם לפי הסעיף האמור, כנוסחו בחוק זה.</w:t>
            </w:r>
          </w:p>
        </w:tc>
      </w:tr>
    </w:tbl>
    <w:p w:rsidR="00C23F68" w:rsidRPr="005B1B37" w:rsidRDefault="00C23F68" w:rsidP="00C23F68"/>
    <w:p w:rsidR="00C23F68" w:rsidRPr="00934E2F" w:rsidRDefault="00C23F68" w:rsidP="00C23F68"/>
    <w:p w:rsidR="0072262F" w:rsidRPr="00C23F68" w:rsidRDefault="0072262F"/>
    <w:sectPr w:rsidR="0072262F" w:rsidRPr="00C23F68">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4E3" w:rsidRDefault="004644E3" w:rsidP="00C23F68">
      <w:pPr>
        <w:spacing w:before="0" w:line="240" w:lineRule="auto"/>
      </w:pPr>
      <w:r>
        <w:separator/>
      </w:r>
    </w:p>
  </w:endnote>
  <w:endnote w:type="continuationSeparator" w:id="0">
    <w:p w:rsidR="004644E3" w:rsidRDefault="004644E3" w:rsidP="00C23F6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4E3" w:rsidRDefault="004644E3" w:rsidP="00C23F68">
      <w:pPr>
        <w:spacing w:before="0" w:line="240" w:lineRule="auto"/>
      </w:pPr>
      <w:r>
        <w:separator/>
      </w:r>
    </w:p>
  </w:footnote>
  <w:footnote w:type="continuationSeparator" w:id="0">
    <w:p w:rsidR="004644E3" w:rsidRDefault="004644E3" w:rsidP="00C23F68">
      <w:pPr>
        <w:spacing w:before="0" w:line="240" w:lineRule="auto"/>
      </w:pPr>
      <w:r>
        <w:continuationSeparator/>
      </w:r>
    </w:p>
  </w:footnote>
  <w:footnote w:id="1">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התשי"ד</w:t>
      </w:r>
      <w:proofErr w:type="spellEnd"/>
      <w:r>
        <w:rPr>
          <w:rFonts w:hint="cs"/>
          <w:rtl/>
        </w:rPr>
        <w:t>, עמ' 154.</w:t>
      </w:r>
    </w:p>
  </w:footnote>
  <w:footnote w:id="2">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התש"ט</w:t>
      </w:r>
      <w:proofErr w:type="spellEnd"/>
      <w:r>
        <w:rPr>
          <w:rFonts w:hint="cs"/>
          <w:rtl/>
        </w:rPr>
        <w:t>, עמ' 13.</w:t>
      </w:r>
    </w:p>
  </w:footnote>
  <w:footnote w:id="3">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התשי"א</w:t>
      </w:r>
      <w:proofErr w:type="spellEnd"/>
      <w:r>
        <w:rPr>
          <w:rFonts w:hint="cs"/>
          <w:rtl/>
        </w:rPr>
        <w:t>, עמ' 234.</w:t>
      </w:r>
    </w:p>
  </w:footnote>
  <w:footnote w:id="4">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התשי"ד</w:t>
      </w:r>
      <w:proofErr w:type="spellEnd"/>
      <w:r>
        <w:rPr>
          <w:rFonts w:hint="cs"/>
          <w:rtl/>
        </w:rPr>
        <w:t>, עמ' 190.</w:t>
      </w:r>
    </w:p>
  </w:footnote>
  <w:footnote w:id="5">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6">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התשס"ח</w:t>
      </w:r>
      <w:proofErr w:type="spellEnd"/>
      <w:r>
        <w:rPr>
          <w:rFonts w:hint="cs"/>
          <w:rtl/>
        </w:rPr>
        <w:t>, עמ' 84.</w:t>
      </w:r>
    </w:p>
  </w:footnote>
  <w:footnote w:id="7">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התשע"ב</w:t>
      </w:r>
      <w:proofErr w:type="spellEnd"/>
      <w:r>
        <w:rPr>
          <w:rFonts w:hint="cs"/>
          <w:rtl/>
        </w:rPr>
        <w:t>, עמ' 62.</w:t>
      </w:r>
    </w:p>
  </w:footnote>
  <w:footnote w:id="8">
    <w:p w:rsidR="00C23F68" w:rsidRDefault="00C23F68" w:rsidP="00C23F68">
      <w:pPr>
        <w:pStyle w:val="a3"/>
        <w:rPr>
          <w:rtl/>
        </w:rPr>
      </w:pPr>
      <w:r>
        <w:rPr>
          <w:rStyle w:val="a5"/>
        </w:rPr>
        <w:footnoteRef/>
      </w:r>
      <w:r>
        <w:rPr>
          <w:rtl/>
        </w:rPr>
        <w:t xml:space="preserve"> </w:t>
      </w:r>
      <w:r>
        <w:rPr>
          <w:rFonts w:hint="cs"/>
          <w:rtl/>
        </w:rPr>
        <w:t xml:space="preserve">ס"ח </w:t>
      </w:r>
      <w:proofErr w:type="spellStart"/>
      <w:r>
        <w:rPr>
          <w:rFonts w:hint="cs"/>
          <w:rtl/>
        </w:rPr>
        <w:t>התשע"ג</w:t>
      </w:r>
      <w:proofErr w:type="spellEnd"/>
      <w:r>
        <w:rPr>
          <w:rFonts w:hint="cs"/>
          <w:rtl/>
        </w:rPr>
        <w:t>, עמ' 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68"/>
    <w:rsid w:val="00254033"/>
    <w:rsid w:val="004644E3"/>
    <w:rsid w:val="00535F32"/>
    <w:rsid w:val="0072262F"/>
    <w:rsid w:val="00810302"/>
    <w:rsid w:val="0088665B"/>
    <w:rsid w:val="00C23F68"/>
    <w:rsid w:val="00CF3A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9E82C1-78D6-4EF8-9166-BBEDBF122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3F6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C23F6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C23F6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23F68"/>
  </w:style>
  <w:style w:type="paragraph" w:customStyle="1" w:styleId="TableBlock">
    <w:name w:val="Table Block"/>
    <w:basedOn w:val="TableText"/>
    <w:rsid w:val="00C23F68"/>
    <w:pPr>
      <w:ind w:right="0"/>
      <w:jc w:val="both"/>
    </w:pPr>
  </w:style>
  <w:style w:type="paragraph" w:styleId="a3">
    <w:name w:val="footnote text"/>
    <w:basedOn w:val="a"/>
    <w:link w:val="a4"/>
    <w:autoRedefine/>
    <w:semiHidden/>
    <w:rsid w:val="00C23F68"/>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C23F68"/>
    <w:rPr>
      <w:rFonts w:ascii="Arial" w:eastAsia="Arial Unicode MS" w:hAnsi="Arial" w:cs="David"/>
      <w:snapToGrid w:val="0"/>
      <w:color w:val="000000"/>
      <w:sz w:val="14"/>
      <w:szCs w:val="20"/>
      <w:lang w:eastAsia="ja-JP"/>
    </w:rPr>
  </w:style>
  <w:style w:type="character" w:styleId="a5">
    <w:name w:val="footnote reference"/>
    <w:basedOn w:val="a0"/>
    <w:semiHidden/>
    <w:rsid w:val="00C23F68"/>
    <w:rPr>
      <w:vertAlign w:val="superscript"/>
    </w:rPr>
  </w:style>
  <w:style w:type="paragraph" w:customStyle="1" w:styleId="TableInnerSideHeading">
    <w:name w:val="Table InnerSideHeading"/>
    <w:basedOn w:val="TableSideHeading"/>
    <w:rsid w:val="00C23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http://doccenter/sites/LegalDepartment/Sanhedrin/Form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A9DBA00-38C9-48AE-8B60-23F6ADE38572}"/>
</file>

<file path=customXml/itemProps2.xml><?xml version="1.0" encoding="utf-8"?>
<ds:datastoreItem xmlns:ds="http://schemas.openxmlformats.org/officeDocument/2006/customXml" ds:itemID="{AA490FD7-074E-4EB5-B4C6-3B270260F843}"/>
</file>

<file path=customXml/itemProps3.xml><?xml version="1.0" encoding="utf-8"?>
<ds:datastoreItem xmlns:ds="http://schemas.openxmlformats.org/officeDocument/2006/customXml" ds:itemID="{567D60AE-6D95-466B-B550-8A8E9724AF60}"/>
</file>

<file path=customXml/itemProps4.xml><?xml version="1.0" encoding="utf-8"?>
<ds:datastoreItem xmlns:ds="http://schemas.openxmlformats.org/officeDocument/2006/customXml" ds:itemID="{44E9E3E2-403A-4FC3-B0A3-FA7BC73B408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template</Template>
  <TotalTime>45</TotalTime>
  <Pages>1</Pages>
  <Words>559</Words>
  <Characters>2797</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ענת מימון</dc:creator>
  <cp:keywords/>
  <dc:description/>
  <cp:lastModifiedBy>ענת מימון</cp:lastModifiedBy>
  <cp:revision>3</cp:revision>
  <dcterms:created xsi:type="dcterms:W3CDTF">2016-03-17T09:41:00Z</dcterms:created>
  <dcterms:modified xsi:type="dcterms:W3CDTF">2016-03-17T13:08:00Z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