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i="http://schemas.microsoft.com/office/word/2010/wordprocessingInk" xmlns:w14="http://schemas.microsoft.com/office/word/2010/wordml" xmlns:wp14="http://schemas.microsoft.com/office/word/2010/wordprocessingDrawing" xmlns:r="http://schemas.openxmlformats.org/officeDocument/2006/relationships" xmlns:mc="http://schemas.openxmlformats.org/markup-compatibility/2006" xmlns:w="http://schemas.openxmlformats.org/wordprocessingml/2006/main" mc:Ignorable="w14 wp14">
  <w:body>
    <w:p w:rsidRPr="0000131B" w:rsidR="002C2E29" w:rsidP="00A443CF" w:rsidRDefault="004033D8" w14:paraId="7F6961A1" w14:textId="77777777">
      <w:pPr>
        <w:pStyle w:val="HeadHatzaotHok"/>
        <w:jc w:val="right"/>
        <w:rPr>
          <w:b w:val="0"/>
          <w:bCs w:val="0"/>
          <w:szCs w:val="20"/>
        </w:rPr>
      </w:pPr>
      <w:r w:rsidRPr="0000131B">
        <w:rPr>
          <w:rFonts w:hint="cs"/>
          <w:b w:val="0"/>
          <w:bCs w:val="0"/>
          <w:szCs w:val="20"/>
          <w:rtl/>
        </w:rPr>
        <w:t xml:space="preserve">מספר פנימי: </w:t>
      </w:r>
      <w:bookmarkStart w:name="LGS_Internal_ID" w:id="0"/>
      <w:r>
        <w:rPr>
          <w:rFonts w:hint="cs"/>
          <w:b w:val="0"/>
          <w:bCs w:val="0"/>
          <w:szCs w:val="20"/>
          <w:rtl/>
        </w:rPr>
        <w:t>576497</w:t>
      </w:r>
      <w:bookmarkEnd w:id="0"/>
    </w:p>
    <w:p w:rsidRPr="00DB7060" w:rsidR="00E13C27" w:rsidP="00A443CF" w:rsidRDefault="00E13C27" w14:paraId="7F6961A2" w14:textId="53D639AE">
      <w:pPr>
        <w:pStyle w:val="HeadHatzaotHok"/>
        <w:rPr>
          <w:sz w:val="28"/>
          <w:szCs w:val="28"/>
          <w:rtl/>
        </w:rPr>
      </w:pPr>
      <w:r w:rsidRPr="00DB7060">
        <w:rPr>
          <w:rFonts w:hint="cs"/>
          <w:sz w:val="28"/>
          <w:szCs w:val="28"/>
          <w:rtl/>
        </w:rPr>
        <w:t xml:space="preserve">הכנסת </w:t>
      </w:r>
      <w:bookmarkStart w:name="LGS_Knesset_Num" w:id="1"/>
      <w:r>
        <w:rPr>
          <w:rFonts w:hint="cs"/>
          <w:sz w:val="28"/>
          <w:szCs w:val="28"/>
          <w:rtl/>
        </w:rPr>
        <w:t>העשרים</w:t>
      </w:r>
      <w:bookmarkEnd w:id="1"/>
    </w:p>
    <w:p w:rsidRPr="00F67051" w:rsidR="00E13C27" w:rsidP="00E13C27" w:rsidRDefault="00E13C27" w14:paraId="7F6961A3" w14:textId="77777777">
      <w:pPr>
        <w:rPr>
          <w:rFonts w:cs="David"/>
          <w:b/>
          <w:bCs/>
          <w:sz w:val="26"/>
          <w:szCs w:val="26"/>
          <w:rtl/>
        </w:rPr>
      </w:pPr>
    </w:p>
    <w:p w:rsidR="00E13C27" w:rsidP="00930EFE" w:rsidRDefault="008F6665" w14:paraId="7F6961A6" w14:textId="77777777">
      <w:pPr>
        <w:pStyle w:val="David"/>
        <w:spacing w:line="360" w:lineRule="auto"/>
        <w:ind w:left="3544"/>
        <w:rPr>
          <w:b/>
          <w:bCs/>
          <w:rtl/>
        </w:rPr>
      </w:pPr>
      <w:bookmarkStart w:name="LGS_Initiators_List" w:id="2"/>
      <w:r>
        <w:rPr>
          <w:b/>
          <w:bCs/>
          <w:rtl/>
        </w:rPr>
        <w:t xml:space="preserve">יוזמות:      חברות הכנסת</w:t>
      </w:r>
      <w:bookmarkEnd w:id="2"/>
      <w:r w:rsidRPr="00F67051" w:rsidR="00B35784">
        <w:rPr>
          <w:b/>
          <w:bCs/>
        </w:rPr>
        <w:tab/>
      </w:r>
      <w:bookmarkStart w:name="LGS_PM_Names" w:id="3"/>
      <w:r>
        <w:rPr>
          <w:rFonts w:hint="cs"/>
          <w:b/>
          <w:bCs/>
          <w:rtl/>
        </w:rPr>
        <w:t xml:space="preserve">איילת נחמיאס ורבין</w:t>
      </w:r>
      <w:r>
        <w:br/>
      </w:r>
      <w:r>
        <w:rPr>
          <w:rFonts w:hint="cs"/>
          <w:b/>
          <w:bCs/>
          <w:rtl/>
        </w:rPr>
        <w:t xml:space="preserve">
</w:t>
      </w:r>
      <w:r>
        <w:tab/>
      </w:r>
      <w:r>
        <w:rPr>
          <w:rFonts w:hint="cs"/>
          <w:b/>
          <w:bCs/>
          <w:rtl/>
        </w:rPr>
        <w:t xml:space="preserve"/>
      </w:r>
      <w:r>
        <w:tab/>
      </w:r>
      <w:r>
        <w:rPr>
          <w:rFonts w:hint="cs"/>
          <w:b/>
          <w:bCs/>
          <w:rtl/>
        </w:rPr>
        <w:t xml:space="preserve"/>
      </w:r>
      <w:r>
        <w:tab/>
      </w:r>
      <w:r>
        <w:rPr>
          <w:rFonts w:hint="cs"/>
          <w:b/>
          <w:bCs/>
          <w:rtl/>
        </w:rPr>
        <w:t xml:space="preserve"/>
      </w:r>
      <w:r>
        <w:tab/>
      </w:r>
      <w:r>
        <w:rPr>
          <w:rFonts w:hint="cs"/>
          <w:b/>
          <w:bCs/>
          <w:rtl/>
        </w:rPr>
        <w:t xml:space="preserve">שולי מועלם-רפאלי</w:t>
      </w:r>
      <w:bookmarkEnd w:id="3"/>
    </w:p>
    <w:p w:rsidRPr="00CF1AA2" w:rsidR="00E13C27" w:rsidP="0036422C" w:rsidRDefault="007D585A" w14:paraId="7F6961AA" w14:textId="39F9D96B">
      <w:pPr>
        <w:pStyle w:val="David"/>
        <w:spacing w:before="0" w:line="360" w:lineRule="auto"/>
        <w:ind w:left="3544"/>
        <w:rPr>
          <w:b/>
          <w:bCs/>
          <w:sz w:val="16"/>
          <w:szCs w:val="16"/>
          <w:rtl/>
        </w:rPr>
      </w:pPr>
      <w:bookmarkStart w:name="LGS_Join_List" w:id="4"/>
      <w:r>
        <w:rPr>
          <w:rtl/>
        </w:rPr>
        <w:t xml:space="preserve"> </w:t>
      </w:r>
      <w:bookmarkEnd w:id="4"/>
      <w:r w:rsidRPr="00CF1AA2" w:rsidR="002200A1">
        <w:rPr>
          <w:rFonts w:hint="cs"/>
          <w:rtl/>
        </w:rPr>
        <w:tab/>
      </w:r>
      <w:bookmarkStart w:name="LGS_PM_NamesJoin" w:id="5"/>
      <w:r>
        <w:rPr>
          <w:rFonts w:hint="cs"/>
          <w:rtl/>
        </w:rPr>
        <w:t xml:space="preserve"> </w:t>
      </w:r>
      <w:bookmarkEnd w:id="5"/>
    </w:p>
    <w:p w:rsidRPr="00904591" w:rsidR="00904591" w:rsidP="0036422C" w:rsidRDefault="00266D86" w14:paraId="34DB4103" w14:textId="77777777">
      <w:pPr>
        <w:pStyle w:val="David"/>
        <w:spacing w:before="0" w:line="360" w:lineRule="auto"/>
        <w:ind w:left="3544"/>
        <w:rPr>
          <w:sz w:val="4"/>
          <w:szCs w:val="4"/>
          <w:rtl/>
        </w:rPr>
      </w:pPr>
      <w:r>
        <w:t>____</w:t>
      </w:r>
      <w:r w:rsidR="00E374F2">
        <w:t>__</w:t>
      </w:r>
      <w:r>
        <w:t>________________________________________</w:t>
      </w:r>
      <w:r w:rsidRPr="00E06736" w:rsidR="00E06736">
        <w:tab/>
      </w:r>
      <w:r w:rsidRPr="00E06736" w:rsidR="00E13C27">
        <w:rPr>
          <w:rFonts w:hint="cs"/>
          <w:rtl/>
        </w:rPr>
        <w:tab/>
      </w:r>
      <w:r w:rsidRPr="00E06736" w:rsidR="00E13C27">
        <w:rPr>
          <w:rFonts w:hint="cs"/>
          <w:rtl/>
        </w:rPr>
        <w:tab/>
      </w:r>
      <w:r w:rsidRPr="00E06736" w:rsidR="00E13C27">
        <w:rPr>
          <w:rFonts w:hint="cs"/>
          <w:rtl/>
        </w:rPr>
        <w:tab/>
      </w:r>
      <w:r w:rsidR="00904591">
        <w:t xml:space="preserve">           </w:t>
      </w:r>
    </w:p>
    <w:p w:rsidRPr="00E06736" w:rsidR="00E13C27" w:rsidP="00904591" w:rsidRDefault="00904591" w14:paraId="7F6961AB" w14:textId="256138AA">
      <w:pPr>
        <w:pStyle w:val="David"/>
        <w:spacing w:before="0" w:line="240" w:lineRule="auto"/>
        <w:ind w:left="3544"/>
        <w:rPr>
          <w:rtl/>
        </w:rPr>
      </w:pPr>
      <w:r>
        <w:t xml:space="preserve">                                            </w:t>
      </w:r>
      <w:r w:rsidR="008F1308">
        <w:t xml:space="preserve"> </w:t>
      </w:r>
      <w:bookmarkStart w:name="Private_Number" w:id="6"/>
      <w:r>
        <w:rPr>
          <w:rFonts w:hint="cs"/>
          <w:rtl/>
        </w:rPr>
        <w:t xml:space="preserve"> </w:t>
      </w:r>
      <w:bookmarkEnd w:id="6"/>
    </w:p>
    <w:p w:rsidR="00E13C27" w:rsidP="00E13C27" w:rsidRDefault="00E13C27" w14:paraId="7F6961AC" w14:textId="77777777">
      <w:pPr>
        <w:spacing w:before="0" w:line="360" w:lineRule="auto"/>
        <w:ind w:left="2880" w:firstLine="720"/>
        <w:rPr>
          <w:rFonts w:cs="David"/>
          <w:sz w:val="26"/>
          <w:szCs w:val="26"/>
          <w:rtl/>
        </w:rPr>
      </w:pPr>
    </w:p>
    <w:p w:rsidRPr="00DE3E63" w:rsidR="00E13C27" w:rsidP="005875B0" w:rsidRDefault="00A443CF" w14:paraId="7F6961AD" w14:textId="61D2BF3E">
      <w:pPr>
        <w:pStyle w:val="HeadHatzaotHok"/>
        <w:rPr>
          <w:b w:val="0"/>
          <w:bCs w:val="0"/>
          <w:rtl/>
        </w:rPr>
      </w:pPr>
      <w:bookmarkStart w:name="LGS_Subject" w:id="7"/>
      <w:r w:rsidRPr="00DE3E63">
        <w:rPr>
          <w:rFonts w:hint="cs"/>
          <w:b w:val="0"/>
          <w:bCs w:val="0"/>
          <w:rtl/>
        </w:rPr>
        <w:t>הצעת חוק הביטוח הלאומי (תיקון מס'...), התשע"</w:t>
      </w:r>
      <w:r w:rsidR="005875B0">
        <w:rPr>
          <w:rFonts w:hint="cs"/>
          <w:b w:val="0"/>
          <w:bCs w:val="0"/>
          <w:rtl/>
        </w:rPr>
        <w:t>ו</w:t>
      </w:r>
      <w:r w:rsidRPr="00DE3E63">
        <w:rPr>
          <w:rFonts w:hint="cs"/>
          <w:b w:val="0"/>
          <w:bCs w:val="0"/>
          <w:rtl/>
        </w:rPr>
        <w:t>-201</w:t>
      </w:r>
      <w:bookmarkEnd w:id="7"/>
      <w:r w:rsidR="005875B0">
        <w:rPr>
          <w:rFonts w:hint="cs"/>
          <w:b w:val="0"/>
          <w:bCs w:val="0"/>
          <w:rtl/>
        </w:rPr>
        <w:t>6</w:t>
      </w:r>
    </w:p>
    <w:p w:rsidRPr="00DE3E63" w:rsidR="00E13C27" w:rsidP="0021633A" w:rsidRDefault="00E13C27" w14:paraId="7F6961AE" w14:textId="77777777">
      <w:pPr>
        <w:pStyle w:val="HeadDivreiHesber"/>
        <w:spacing w:before="0" w:after="0"/>
        <w:rPr>
          <w:b w:val="0"/>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Pr="00DE3E63" w:rsidR="002F1D80" w:rsidTr="002C3041" w14:paraId="035EEF3D" w14:textId="77777777">
        <w:trPr>
          <w:cantSplit/>
          <w:trHeight w:val="60"/>
        </w:trPr>
        <w:tc>
          <w:tcPr>
            <w:tcW w:w="1871" w:type="dxa"/>
          </w:tcPr>
          <w:p w:rsidRPr="00DE3E63" w:rsidR="002F1D80" w:rsidP="002C3041" w:rsidRDefault="00DE3E63" w14:paraId="3863FF98" w14:textId="7F947542">
            <w:pPr>
              <w:pStyle w:val="TableSideHeading"/>
              <w:keepLines w:val="0"/>
            </w:pPr>
            <w:r w:rsidRPr="00DE3E63">
              <w:rPr>
                <w:rFonts w:hint="cs"/>
                <w:sz w:val="26"/>
                <w:rtl/>
              </w:rPr>
              <w:t>תיקון סעיף 310</w:t>
            </w:r>
          </w:p>
        </w:tc>
        <w:tc>
          <w:tcPr>
            <w:tcW w:w="624" w:type="dxa"/>
          </w:tcPr>
          <w:p w:rsidRPr="00DE3E63" w:rsidR="002F1D80" w:rsidP="002C3041" w:rsidRDefault="00DE3E63" w14:paraId="6F513EF6" w14:textId="0DD2F0FE">
            <w:pPr>
              <w:pStyle w:val="TableText"/>
              <w:keepLines w:val="0"/>
            </w:pPr>
            <w:r w:rsidRPr="00DE3E63">
              <w:rPr>
                <w:rFonts w:hint="cs"/>
                <w:rtl/>
              </w:rPr>
              <w:t>1.</w:t>
            </w:r>
          </w:p>
        </w:tc>
        <w:tc>
          <w:tcPr>
            <w:tcW w:w="7146" w:type="dxa"/>
          </w:tcPr>
          <w:p w:rsidRPr="00DE3E63" w:rsidR="002F1D80" w:rsidP="002C3041" w:rsidRDefault="00DE3E63" w14:paraId="1AE94DEB" w14:textId="190720A9">
            <w:pPr>
              <w:pStyle w:val="TableHead"/>
              <w:keepLines w:val="0"/>
              <w:rPr>
                <w:b w:val="0"/>
                <w:bCs w:val="0"/>
              </w:rPr>
            </w:pPr>
            <w:r w:rsidRPr="00DE3E63">
              <w:rPr>
                <w:rFonts w:hint="cs"/>
                <w:b w:val="0"/>
                <w:bCs w:val="0"/>
                <w:sz w:val="26"/>
                <w:rtl/>
              </w:rPr>
              <w:t xml:space="preserve">בחוק הביטוח הלאומי [נוסח משולב], התשנ"ה–1995  (להלן – החוק העיקרי), בסעיף 310, אחרי סעיף קטן (א) יבוא  -  </w:t>
            </w:r>
          </w:p>
        </w:tc>
      </w:tr>
      <w:tr w:rsidR="002F1D80" w:rsidTr="002C3041" w14:paraId="3D9B61D1" w14:textId="77777777">
        <w:trPr>
          <w:cantSplit/>
          <w:trHeight w:val="60"/>
        </w:trPr>
        <w:tc>
          <w:tcPr>
            <w:tcW w:w="1871" w:type="dxa"/>
          </w:tcPr>
          <w:p w:rsidR="002F1D80" w:rsidP="002C3041" w:rsidRDefault="002F1D80" w14:paraId="6C0CB9D8" w14:textId="77777777">
            <w:pPr>
              <w:pStyle w:val="TableSideHeading"/>
              <w:keepLines w:val="0"/>
            </w:pPr>
          </w:p>
        </w:tc>
        <w:tc>
          <w:tcPr>
            <w:tcW w:w="624" w:type="dxa"/>
          </w:tcPr>
          <w:p w:rsidR="002F1D80" w:rsidP="002C3041" w:rsidRDefault="00DE3E63" w14:paraId="3F4286A2" w14:textId="1CA1ACE9">
            <w:pPr>
              <w:pStyle w:val="TableText"/>
              <w:keepLines w:val="0"/>
            </w:pPr>
            <w:r>
              <w:rPr>
                <w:rFonts w:hint="cs"/>
                <w:rtl/>
              </w:rPr>
              <w:t>(1א).</w:t>
            </w:r>
          </w:p>
        </w:tc>
        <w:tc>
          <w:tcPr>
            <w:tcW w:w="7146" w:type="dxa"/>
          </w:tcPr>
          <w:p w:rsidRPr="00C34DE2" w:rsidR="002F1D80" w:rsidP="002C3041" w:rsidRDefault="00DE3E63" w14:paraId="7633D5BB" w14:textId="4EAF3D95">
            <w:pPr>
              <w:pStyle w:val="TableBlock"/>
              <w:keepLines w:val="0"/>
            </w:pPr>
            <w:r>
              <w:rPr>
                <w:rFonts w:hint="cs"/>
                <w:sz w:val="26"/>
                <w:rtl/>
              </w:rPr>
              <w:t>נפטר ילד נכה כהגדרתו בסעיף 221 שהייתה משולמת בעדו גמלה לפי סימן ו' לפרק י"ג, ישולם למבוטח ששולמה לו גמלה בעד הילד כאמור, מענק בסכום השווה לסכום הבסיסי</w:t>
            </w:r>
          </w:p>
        </w:tc>
      </w:tr>
      <w:tr w:rsidR="00DE3E63" w:rsidTr="002C3041" w14:paraId="529000C5" w14:textId="77777777">
        <w:trPr>
          <w:cantSplit/>
          <w:trHeight w:val="60"/>
        </w:trPr>
        <w:tc>
          <w:tcPr>
            <w:tcW w:w="1871" w:type="dxa"/>
          </w:tcPr>
          <w:p w:rsidR="00DE3E63" w:rsidP="002C3041" w:rsidRDefault="00DE3E63" w14:paraId="62916D2D" w14:textId="60F0B323">
            <w:pPr>
              <w:pStyle w:val="TableSideHeading"/>
              <w:keepLines w:val="0"/>
            </w:pPr>
            <w:r>
              <w:rPr>
                <w:rFonts w:hint="cs"/>
                <w:sz w:val="26"/>
                <w:rtl/>
              </w:rPr>
              <w:t>תחילה ותחולה</w:t>
            </w:r>
          </w:p>
        </w:tc>
        <w:tc>
          <w:tcPr>
            <w:tcW w:w="624" w:type="dxa"/>
          </w:tcPr>
          <w:p w:rsidR="00DE3E63" w:rsidP="002C3041" w:rsidRDefault="00DE3E63" w14:paraId="001639F5" w14:textId="59729A98">
            <w:pPr>
              <w:pStyle w:val="TableText"/>
              <w:keepLines w:val="0"/>
              <w:rPr>
                <w:rFonts w:hint="cs"/>
                <w:rtl/>
              </w:rPr>
            </w:pPr>
            <w:r>
              <w:rPr>
                <w:rFonts w:hint="cs"/>
                <w:rtl/>
              </w:rPr>
              <w:t>2.</w:t>
            </w:r>
          </w:p>
        </w:tc>
        <w:tc>
          <w:tcPr>
            <w:tcW w:w="7146" w:type="dxa"/>
          </w:tcPr>
          <w:p w:rsidR="00DE3E63" w:rsidP="002C3041" w:rsidRDefault="00DE3E63" w14:paraId="6FBA20FA" w14:textId="7B6DE8D8">
            <w:pPr>
              <w:pStyle w:val="TableBlock"/>
              <w:keepLines w:val="0"/>
              <w:rPr>
                <w:rFonts w:hint="cs"/>
                <w:sz w:val="26"/>
                <w:rtl/>
              </w:rPr>
            </w:pPr>
            <w:r>
              <w:rPr>
                <w:rFonts w:hint="cs"/>
                <w:sz w:val="26"/>
                <w:rtl/>
              </w:rPr>
              <w:t>תחילתו של חוק זה ב- 1 בחודש שלאחר פרסומו (להלן – יום התחילה), והוא יחול על מבוטח שהילד הנכה שבעדו שולמה לו גמלה לפי סימן ו' לפרק י"ג נפטר ביום התחילה ואילך.</w:t>
            </w:r>
          </w:p>
        </w:tc>
      </w:tr>
    </w:tbl>
    <w:p w:rsidR="002D1EE3" w:rsidP="002D1EE3" w:rsidRDefault="002D1EE3" w14:paraId="7F6961CA" w14:textId="77777777">
      <w:pPr>
        <w:pStyle w:val="HeadDivreiHesber"/>
        <w:rPr>
          <w:rtl/>
        </w:rPr>
      </w:pPr>
      <w:r w:rsidRPr="0027450A">
        <w:rPr>
          <w:rFonts w:hint="cs"/>
          <w:rtl/>
        </w:rPr>
        <w:t>דברי הסבר</w:t>
      </w:r>
    </w:p>
    <w:p w:rsidRPr="00DE3E63" w:rsidR="00DE3E63" w:rsidP="00DE3E63" w:rsidRDefault="00DE3E63" w14:paraId="155AAC6E" w14:textId="77777777">
      <w:pPr>
        <w:tabs>
          <w:tab w:val="left" w:pos="1021"/>
        </w:tabs>
        <w:spacing w:line="360" w:lineRule="auto"/>
        <w:ind w:left="1440" w:firstLine="0"/>
        <w:rPr>
          <w:rFonts w:cs="David"/>
          <w:sz w:val="24"/>
          <w:szCs w:val="24"/>
          <w:rtl/>
        </w:rPr>
      </w:pPr>
      <w:r w:rsidRPr="00DE3E63">
        <w:rPr>
          <w:rFonts w:hint="cs" w:cs="David"/>
          <w:sz w:val="24"/>
          <w:szCs w:val="24"/>
          <w:rtl/>
        </w:rPr>
        <w:t>סעיף 1  בהתאם להוראות סעיף 310 לחוק כנוסחו כיום, מענק פטירה משולם לגבי אדם שטרם פטירתו שולמה לו אחת הקצבאות הנזכרות בסעיף 310. המענק משולם לבן הזוג של הנפטר ובאין בן זוג, לילדו, כהגדרתו בסעיף 238 לחוק. תשלום מענק הפטירה, בשיעור של כ-8,600 שקלים חדשים, נועד לסייע למשפחה בתקופת ההסתגלות לשינוי בשל הפטירה, ולהשתתפות בכיסוי הוצאות הקבורה, השבעה והקמת מצבה לנפטר שבשלו</w:t>
      </w:r>
      <w:bookmarkStart w:name="_GoBack" w:id="8"/>
      <w:bookmarkEnd w:id="8"/>
      <w:r w:rsidRPr="00DE3E63">
        <w:rPr>
          <w:rFonts w:hint="cs" w:cs="David"/>
          <w:sz w:val="24"/>
          <w:szCs w:val="24"/>
          <w:rtl/>
        </w:rPr>
        <w:t xml:space="preserve"> שולמה הקצבה. כיום לא משולם מענק בשל פטירתו של "ילד נכה" כהגדרתו בסעיף 221 לחוק. מוצע לשנות מצב זה ולקבוע כי גם במקרה פטירה של ילד נכה, ישולם מענק הפטירה לפי סעיף 310 למבוטח ששולמה לו גמלה בעד הילד כאמור. </w:t>
      </w:r>
    </w:p>
    <w:p w:rsidRPr="00DE3E63" w:rsidR="00DE3E63" w:rsidP="00DE3E63" w:rsidRDefault="00DE3E63" w14:paraId="5295C42A" w14:textId="77777777">
      <w:pPr>
        <w:tabs>
          <w:tab w:val="left" w:pos="1021"/>
        </w:tabs>
        <w:spacing w:line="360" w:lineRule="auto"/>
        <w:ind w:left="1440" w:hanging="1440"/>
        <w:rPr>
          <w:rFonts w:cs="David"/>
          <w:sz w:val="24"/>
          <w:szCs w:val="24"/>
          <w:rtl/>
        </w:rPr>
      </w:pPr>
    </w:p>
    <w:p w:rsidRPr="00DE3E63" w:rsidR="00DE3E63" w:rsidP="00DE3E63" w:rsidRDefault="00DE3E63" w14:paraId="56934EAE" w14:textId="578D8D02">
      <w:pPr>
        <w:tabs>
          <w:tab w:val="left" w:pos="1021"/>
        </w:tabs>
        <w:spacing w:line="360" w:lineRule="auto"/>
        <w:ind w:left="1440" w:hanging="1440"/>
        <w:rPr>
          <w:rFonts w:cs="David"/>
          <w:sz w:val="24"/>
          <w:szCs w:val="24"/>
          <w:rtl/>
        </w:rPr>
      </w:pPr>
      <w:r>
        <w:rPr>
          <w:rFonts w:hint="cs" w:cs="David"/>
          <w:sz w:val="24"/>
          <w:szCs w:val="24"/>
          <w:rtl/>
        </w:rPr>
        <w:tab/>
      </w:r>
      <w:r>
        <w:rPr>
          <w:rFonts w:hint="cs" w:cs="David"/>
          <w:sz w:val="24"/>
          <w:szCs w:val="24"/>
          <w:rtl/>
        </w:rPr>
        <w:tab/>
      </w:r>
      <w:r w:rsidRPr="00DE3E63">
        <w:rPr>
          <w:rFonts w:hint="cs" w:cs="David"/>
          <w:sz w:val="24"/>
          <w:szCs w:val="24"/>
          <w:rtl/>
        </w:rPr>
        <w:t>סעיף 2</w:t>
      </w:r>
      <w:r w:rsidRPr="00DE3E63">
        <w:rPr>
          <w:rFonts w:hint="cs" w:cs="David"/>
          <w:sz w:val="24"/>
          <w:szCs w:val="24"/>
          <w:rtl/>
        </w:rPr>
        <w:tab/>
        <w:t xml:space="preserve">מוצע לקבוע כי תחילתו של החוק המוצע תהיה ב- 1 בחודש שלאחר פרסומו. כמו כן, מוצע לקבוע כי סעיף 310(א1) לחוק, כנוסחו בסעיף 1 לחוק המוצע, יחול על מבוטח שהילד הנכה שבעדו שולמה לו גמלה כאמור באותו סעיף נפטר ביום התחילה ואילך. </w:t>
      </w:r>
    </w:p>
    <w:p w:rsidRPr="00DE3E63" w:rsidR="00DE3E63" w:rsidP="00DE3E63" w:rsidRDefault="00DE3E63" w14:paraId="6C3E57BA" w14:textId="77777777">
      <w:pPr>
        <w:tabs>
          <w:tab w:val="left" w:pos="1021"/>
        </w:tabs>
        <w:spacing w:line="360" w:lineRule="auto"/>
        <w:ind w:left="1440" w:hanging="1440"/>
        <w:rPr>
          <w:rFonts w:cs="David"/>
          <w:sz w:val="24"/>
          <w:szCs w:val="24"/>
          <w:rtl/>
        </w:rPr>
      </w:pPr>
    </w:p>
    <w:p w:rsidR="00E13C27" w:rsidP="00E13C27" w:rsidRDefault="00E13C27" w14:paraId="7F6961CB" w14:textId="77777777">
      <w:pPr>
        <w:pStyle w:val="Hesber"/>
        <w:rPr>
          <w:rtl/>
        </w:rPr>
      </w:pPr>
    </w:p>
    <w:sectPr w:rsidR="00E13C27"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DE3E63">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0D5977"/>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875B0"/>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DE3E6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6972F6-8FF1-4605-B3DC-BBE8C4C4DF2F}"/>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837EC5D7-3695-49FD-9176-FBF441EB4087}"/>
</file>

<file path=docProps/app.xml><?xml version="1.0" encoding="utf-8"?>
<Properties xmlns="http://schemas.openxmlformats.org/officeDocument/2006/extended-properties" xmlns:vt="http://schemas.openxmlformats.org/officeDocument/2006/docPropsVTypes">
  <Template>Normal</Template>
  <TotalTime>57</TotalTime>
  <Pages>1</Pages>
  <Words>252</Words>
  <Characters>1262</Characters>
  <Application>Microsoft Office Word</Application>
  <DocSecurity>0</DocSecurity>
  <Lines>10</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רפי הוימן</cp:lastModifiedBy>
  <cp:revision>4</cp:revision>
  <cp:lastPrinted>2016-02-15T16:26:00Z</cp:lastPrinted>
  <dcterms:created xsi:type="dcterms:W3CDTF">2015-04-20T09:58:00Z</dcterms:created>
  <dcterms:modified xsi:type="dcterms:W3CDTF">2016-02-15T17:20:00Z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9</vt:r8>
  </property>
  <property fmtid="{D5CDD505-2E9C-101B-9397-08002B2CF9AE}" pid="5" name="SanhedrinItemID">
    <vt:r8>576497</vt:r8>
  </property>
</Properties>
</file>