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3EC" w:rsidRDefault="006423EC" w:rsidP="006423EC">
      <w:pPr>
        <w:pStyle w:val="HeadHatzaotHok"/>
        <w:jc w:val="left"/>
      </w:pPr>
      <w:bookmarkStart w:id="0" w:name="LGSName"/>
      <w:r>
        <w:rPr>
          <w:rFonts w:hint="cs"/>
          <w:rtl/>
        </w:rPr>
        <w:t>נוסח לדיון בוועדת העבודה הרווחה והבריאות ביום 29 בדצמבר 2015</w:t>
      </w:r>
    </w:p>
    <w:p w:rsidR="006423EC" w:rsidRDefault="006423EC" w:rsidP="006423EC">
      <w:pPr>
        <w:pStyle w:val="HeadHatzaotHok"/>
        <w:spacing w:before="120" w:line="240" w:lineRule="auto"/>
        <w:rPr>
          <w:rtl/>
        </w:rPr>
      </w:pPr>
    </w:p>
    <w:p w:rsidR="006423EC" w:rsidRDefault="006423EC" w:rsidP="006423EC">
      <w:pPr>
        <w:pStyle w:val="HeadHatzaotHok"/>
        <w:spacing w:before="120" w:line="240" w:lineRule="auto"/>
        <w:rPr>
          <w:rtl/>
        </w:rPr>
      </w:pPr>
    </w:p>
    <w:p w:rsidR="006423EC" w:rsidRDefault="006423EC" w:rsidP="006423EC">
      <w:pPr>
        <w:pStyle w:val="HeadHatzaotHok"/>
        <w:spacing w:before="120" w:line="240" w:lineRule="auto"/>
        <w:rPr>
          <w:rtl/>
        </w:rPr>
      </w:pPr>
    </w:p>
    <w:p w:rsidR="006423EC" w:rsidRDefault="006423EC" w:rsidP="006423EC">
      <w:pPr>
        <w:pStyle w:val="HeadHatzaotHok"/>
        <w:spacing w:before="120" w:line="240" w:lineRule="auto"/>
        <w:rPr>
          <w:rtl/>
        </w:rPr>
      </w:pPr>
      <w:r>
        <w:rPr>
          <w:rFonts w:hint="cs"/>
          <w:rtl/>
        </w:rPr>
        <w:t xml:space="preserve">הצעת חוק חופשה שנתית (תיקון – הארכת תקופת החופשה לכל שנת עבודה אצל מעסיק), </w:t>
      </w:r>
    </w:p>
    <w:p w:rsidR="006423EC" w:rsidRDefault="006423EC" w:rsidP="006423EC">
      <w:pPr>
        <w:pStyle w:val="HeadHatzaotHok"/>
        <w:spacing w:before="120" w:line="240" w:lineRule="auto"/>
        <w:rPr>
          <w:rtl/>
        </w:rPr>
      </w:pPr>
      <w:proofErr w:type="spellStart"/>
      <w:r>
        <w:rPr>
          <w:rFonts w:hint="cs"/>
          <w:rtl/>
        </w:rPr>
        <w:t>התשע"ה</w:t>
      </w:r>
      <w:proofErr w:type="spellEnd"/>
      <w:r>
        <w:rPr>
          <w:rFonts w:hint="cs"/>
          <w:rtl/>
        </w:rPr>
        <w:t>–2015</w:t>
      </w:r>
      <w:bookmarkEnd w:id="0"/>
      <w:r>
        <w:rPr>
          <w:rStyle w:val="a5"/>
          <w:rFonts w:hint="cs"/>
          <w:rtl/>
        </w:rPr>
        <w:footnoteReference w:customMarkFollows="1" w:id="1"/>
        <w:t>*</w:t>
      </w:r>
    </w:p>
    <w:p w:rsidR="006423EC" w:rsidRDefault="006423EC" w:rsidP="006423EC">
      <w:pPr>
        <w:pStyle w:val="HeadHatzaotHok"/>
        <w:spacing w:before="120" w:line="240" w:lineRule="auto"/>
        <w:rPr>
          <w:rtl/>
        </w:rPr>
      </w:pPr>
    </w:p>
    <w:p w:rsidR="006423EC" w:rsidRDefault="006423EC" w:rsidP="006423EC">
      <w:pPr>
        <w:pStyle w:val="HeadHatzaotHok"/>
        <w:spacing w:before="120" w:line="240" w:lineRule="auto"/>
        <w:rPr>
          <w:rtl/>
        </w:rPr>
      </w:pPr>
    </w:p>
    <w:tbl>
      <w:tblPr>
        <w:bidiVisual/>
        <w:tblW w:w="9639" w:type="dxa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4"/>
        <w:gridCol w:w="7143"/>
      </w:tblGrid>
      <w:tr w:rsidR="006423EC" w:rsidTr="006423EC">
        <w:trPr>
          <w:cantSplit/>
        </w:trPr>
        <w:tc>
          <w:tcPr>
            <w:tcW w:w="1872" w:type="dxa"/>
            <w:hideMark/>
          </w:tcPr>
          <w:p w:rsidR="006423EC" w:rsidRDefault="006423EC">
            <w:pPr>
              <w:pStyle w:val="TableSideHeading"/>
              <w:ind w:right="0"/>
              <w:rPr>
                <w:rtl/>
              </w:rPr>
            </w:pPr>
            <w:r>
              <w:rPr>
                <w:rFonts w:hint="cs"/>
                <w:sz w:val="26"/>
                <w:rtl/>
              </w:rPr>
              <w:t>תיקון סעיף 3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624" w:type="dxa"/>
            <w:hideMark/>
          </w:tcPr>
          <w:p w:rsidR="006423EC" w:rsidRDefault="006423EC">
            <w:pPr>
              <w:pStyle w:val="TableText"/>
              <w:ind w:right="0"/>
              <w:jc w:val="both"/>
            </w:pPr>
            <w:r>
              <w:rPr>
                <w:rFonts w:hint="cs"/>
                <w:sz w:val="26"/>
                <w:rtl/>
              </w:rPr>
              <w:t>1.</w:t>
            </w:r>
          </w:p>
        </w:tc>
        <w:tc>
          <w:tcPr>
            <w:tcW w:w="7143" w:type="dxa"/>
            <w:hideMark/>
          </w:tcPr>
          <w:p w:rsidR="006423EC" w:rsidRDefault="006423EC">
            <w:pPr>
              <w:pStyle w:val="TableBlock"/>
              <w:rPr>
                <w:rtl/>
              </w:rPr>
            </w:pPr>
            <w:r>
              <w:rPr>
                <w:rFonts w:hint="cs"/>
                <w:sz w:val="26"/>
                <w:rtl/>
              </w:rPr>
              <w:t xml:space="preserve">בחוק חופשה שנתית, </w:t>
            </w:r>
            <w:proofErr w:type="spellStart"/>
            <w:r>
              <w:rPr>
                <w:rFonts w:hint="cs"/>
                <w:sz w:val="26"/>
                <w:rtl/>
              </w:rPr>
              <w:t>התשי"א</w:t>
            </w:r>
            <w:proofErr w:type="spellEnd"/>
            <w:r>
              <w:rPr>
                <w:rFonts w:hint="cs"/>
                <w:sz w:val="26"/>
                <w:rtl/>
              </w:rPr>
              <w:t>–1951</w:t>
            </w:r>
            <w:r>
              <w:rPr>
                <w:rStyle w:val="a5"/>
                <w:sz w:val="26"/>
                <w:rtl/>
              </w:rPr>
              <w:footnoteReference w:id="2"/>
            </w:r>
            <w:r>
              <w:rPr>
                <w:rFonts w:hint="cs"/>
                <w:sz w:val="26"/>
                <w:rtl/>
              </w:rPr>
              <w:t xml:space="preserve"> (להלן – החוק העיקרי), בסעיף 3(א) –</w:t>
            </w:r>
            <w:r>
              <w:rPr>
                <w:rFonts w:hint="cs"/>
              </w:rPr>
              <w:t xml:space="preserve"> </w:t>
            </w:r>
          </w:p>
        </w:tc>
      </w:tr>
      <w:tr w:rsidR="006423EC" w:rsidTr="006423EC">
        <w:trPr>
          <w:cantSplit/>
        </w:trPr>
        <w:tc>
          <w:tcPr>
            <w:tcW w:w="1872" w:type="dxa"/>
          </w:tcPr>
          <w:p w:rsidR="006423EC" w:rsidRDefault="006423EC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6423EC" w:rsidRDefault="006423EC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3" w:type="dxa"/>
            <w:hideMark/>
          </w:tcPr>
          <w:p w:rsidR="006423EC" w:rsidRDefault="006423EC" w:rsidP="006423EC">
            <w:pPr>
              <w:pStyle w:val="TableBlock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"(1)</w:t>
            </w:r>
            <w:r>
              <w:rPr>
                <w:rFonts w:hint="cs"/>
                <w:sz w:val="26"/>
                <w:rtl/>
              </w:rPr>
              <w:tab/>
              <w:t xml:space="preserve"> בפסקה (1), במקום "מ-4" יבוא "מ-5" ובמקום "14" יבוא "16";</w:t>
            </w:r>
            <w:r>
              <w:rPr>
                <w:rFonts w:hint="cs"/>
                <w:sz w:val="26"/>
              </w:rPr>
              <w:t xml:space="preserve"> </w:t>
            </w:r>
          </w:p>
        </w:tc>
      </w:tr>
      <w:tr w:rsidR="006423EC" w:rsidTr="006423EC">
        <w:trPr>
          <w:cantSplit/>
        </w:trPr>
        <w:tc>
          <w:tcPr>
            <w:tcW w:w="1872" w:type="dxa"/>
          </w:tcPr>
          <w:p w:rsidR="006423EC" w:rsidRDefault="006423EC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6423EC" w:rsidRDefault="006423EC">
            <w:pPr>
              <w:pStyle w:val="TableText"/>
              <w:ind w:right="0"/>
              <w:jc w:val="both"/>
            </w:pPr>
          </w:p>
        </w:tc>
        <w:tc>
          <w:tcPr>
            <w:tcW w:w="7143" w:type="dxa"/>
            <w:hideMark/>
          </w:tcPr>
          <w:p w:rsidR="006423EC" w:rsidRDefault="006423EC" w:rsidP="006423EC">
            <w:pPr>
              <w:pStyle w:val="TableBlock"/>
            </w:pPr>
            <w:r>
              <w:rPr>
                <w:rFonts w:hint="cs"/>
                <w:rtl/>
              </w:rPr>
              <w:t>(2)</w:t>
            </w:r>
            <w:r>
              <w:rPr>
                <w:rFonts w:hint="cs"/>
                <w:rtl/>
              </w:rPr>
              <w:tab/>
              <w:t xml:space="preserve"> פסקה (2) – תימחק. </w:t>
            </w:r>
          </w:p>
        </w:tc>
      </w:tr>
      <w:tr w:rsidR="006423EC" w:rsidTr="006423EC">
        <w:trPr>
          <w:cantSplit/>
        </w:trPr>
        <w:tc>
          <w:tcPr>
            <w:tcW w:w="1872" w:type="dxa"/>
            <w:hideMark/>
          </w:tcPr>
          <w:p w:rsidR="006423EC" w:rsidRDefault="006423EC" w:rsidP="006423EC">
            <w:pPr>
              <w:pStyle w:val="TableSideHeading"/>
            </w:pPr>
            <w:r>
              <w:rPr>
                <w:rFonts w:hint="cs"/>
                <w:rtl/>
              </w:rPr>
              <w:t>תחילה והוראת שעה</w:t>
            </w:r>
          </w:p>
        </w:tc>
        <w:tc>
          <w:tcPr>
            <w:tcW w:w="624" w:type="dxa"/>
            <w:hideMark/>
          </w:tcPr>
          <w:p w:rsidR="006423EC" w:rsidRDefault="006423EC" w:rsidP="006423EC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3" w:type="dxa"/>
            <w:hideMark/>
          </w:tcPr>
          <w:p w:rsidR="006423EC" w:rsidRDefault="006423EC" w:rsidP="006423EC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Fonts w:hint="cs"/>
                <w:rtl/>
              </w:rPr>
              <w:tab/>
              <w:t xml:space="preserve">תחילתו של חוק זה ביום ג' בטבת </w:t>
            </w:r>
            <w:proofErr w:type="spellStart"/>
            <w:r>
              <w:rPr>
                <w:rFonts w:hint="cs"/>
                <w:rtl/>
              </w:rPr>
              <w:t>התשע"ז</w:t>
            </w:r>
            <w:proofErr w:type="spellEnd"/>
            <w:r>
              <w:rPr>
                <w:rFonts w:hint="cs"/>
                <w:rtl/>
              </w:rPr>
              <w:t xml:space="preserve"> (1 בינואר 2017) (להלן – יום התחילה).</w:t>
            </w:r>
          </w:p>
        </w:tc>
      </w:tr>
      <w:tr w:rsidR="006423EC" w:rsidTr="006423EC">
        <w:trPr>
          <w:cantSplit/>
        </w:trPr>
        <w:tc>
          <w:tcPr>
            <w:tcW w:w="1872" w:type="dxa"/>
          </w:tcPr>
          <w:p w:rsidR="006423EC" w:rsidRDefault="006423EC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6423EC" w:rsidRDefault="006423EC" w:rsidP="006423EC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hideMark/>
          </w:tcPr>
          <w:p w:rsidR="006423EC" w:rsidRDefault="006423EC" w:rsidP="00E940AB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r>
              <w:rPr>
                <w:rFonts w:hint="cs"/>
                <w:rtl/>
              </w:rPr>
              <w:tab/>
              <w:t xml:space="preserve">בתקופה שמיום י"ד בתמוז </w:t>
            </w:r>
            <w:proofErr w:type="spellStart"/>
            <w:r>
              <w:rPr>
                <w:rFonts w:hint="cs"/>
                <w:rtl/>
              </w:rPr>
              <w:t>התשע"ה</w:t>
            </w:r>
            <w:proofErr w:type="spellEnd"/>
            <w:r>
              <w:rPr>
                <w:rFonts w:hint="cs"/>
                <w:rtl/>
              </w:rPr>
              <w:t xml:space="preserve"> (1 ביולי 2016) ועד ליום התחילה יקראו את סעיף 3(א) לחוק העיקרי כך שבמקום "14" יבוא "15".</w:t>
            </w:r>
          </w:p>
        </w:tc>
      </w:tr>
    </w:tbl>
    <w:p w:rsidR="006423EC" w:rsidRDefault="006423EC" w:rsidP="006423EC">
      <w:pPr>
        <w:pStyle w:val="HesberWriters"/>
        <w:spacing w:after="0"/>
        <w:rPr>
          <w:b w:val="0"/>
          <w:bCs w:val="0"/>
          <w:szCs w:val="20"/>
          <w:rtl/>
        </w:rPr>
      </w:pPr>
      <w:bookmarkStart w:id="1" w:name="LGSSugestions"/>
      <w:r>
        <w:rPr>
          <w:rFonts w:hint="cs"/>
          <w:b w:val="0"/>
          <w:bCs w:val="0"/>
          <w:rtl/>
        </w:rPr>
        <w:t xml:space="preserve"> </w:t>
      </w:r>
      <w:bookmarkEnd w:id="1"/>
      <w:r>
        <w:rPr>
          <w:rFonts w:hint="cs"/>
          <w:b w:val="0"/>
          <w:bCs w:val="0"/>
          <w:szCs w:val="20"/>
          <w:rtl/>
        </w:rPr>
        <w:t xml:space="preserve"> </w:t>
      </w:r>
    </w:p>
    <w:p w:rsidR="006423EC" w:rsidRDefault="006423EC" w:rsidP="006423EC">
      <w:pPr>
        <w:rPr>
          <w:rtl/>
        </w:rPr>
      </w:pPr>
    </w:p>
    <w:p w:rsidR="006423EC" w:rsidRDefault="006423EC" w:rsidP="006423EC">
      <w:pPr>
        <w:rPr>
          <w:rtl/>
        </w:rPr>
      </w:pPr>
    </w:p>
    <w:p w:rsidR="006423EC" w:rsidRDefault="006423EC" w:rsidP="006423EC">
      <w:pPr>
        <w:pStyle w:val="HeadHatzaotHok"/>
        <w:jc w:val="left"/>
        <w:rPr>
          <w:rtl/>
        </w:rPr>
      </w:pPr>
    </w:p>
    <w:p w:rsidR="0060213C" w:rsidRDefault="0060213C"/>
    <w:sectPr w:rsidR="0060213C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76E" w:rsidRDefault="0053576E" w:rsidP="006423EC">
      <w:r>
        <w:separator/>
      </w:r>
    </w:p>
  </w:endnote>
  <w:endnote w:type="continuationSeparator" w:id="0">
    <w:p w:rsidR="0053576E" w:rsidRDefault="0053576E" w:rsidP="00642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76E" w:rsidRDefault="0053576E" w:rsidP="006423EC">
      <w:r>
        <w:separator/>
      </w:r>
    </w:p>
  </w:footnote>
  <w:footnote w:type="continuationSeparator" w:id="0">
    <w:p w:rsidR="0053576E" w:rsidRDefault="0053576E" w:rsidP="006423EC">
      <w:r>
        <w:continuationSeparator/>
      </w:r>
    </w:p>
  </w:footnote>
  <w:footnote w:id="1">
    <w:p w:rsidR="006423EC" w:rsidRDefault="006423EC" w:rsidP="006423EC">
      <w:pPr>
        <w:pStyle w:val="a3"/>
        <w:rPr>
          <w:rtl/>
        </w:rPr>
      </w:pPr>
    </w:p>
  </w:footnote>
  <w:footnote w:id="2">
    <w:p w:rsidR="006423EC" w:rsidRDefault="006423EC" w:rsidP="006423EC">
      <w:pPr>
        <w:pStyle w:val="a3"/>
        <w:rPr>
          <w:rtl/>
        </w:rPr>
      </w:pPr>
      <w:r>
        <w:rPr>
          <w:rStyle w:val="a5"/>
        </w:rPr>
        <w:footnoteRef/>
      </w:r>
      <w:r>
        <w:rPr>
          <w:rFonts w:hint="cs"/>
          <w:rtl/>
        </w:rPr>
        <w:t xml:space="preserve"> ס"ח </w:t>
      </w:r>
      <w:proofErr w:type="spellStart"/>
      <w:r>
        <w:rPr>
          <w:rFonts w:hint="cs"/>
          <w:rtl/>
        </w:rPr>
        <w:t>התשי"א</w:t>
      </w:r>
      <w:proofErr w:type="spellEnd"/>
      <w:r>
        <w:rPr>
          <w:rFonts w:hint="cs"/>
          <w:rtl/>
        </w:rPr>
        <w:t>, עמ' 234.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BA4"/>
    <w:rsid w:val="00062D57"/>
    <w:rsid w:val="002E2BA4"/>
    <w:rsid w:val="0053576E"/>
    <w:rsid w:val="0060213C"/>
    <w:rsid w:val="006423EC"/>
    <w:rsid w:val="00A25F05"/>
    <w:rsid w:val="00AE538F"/>
    <w:rsid w:val="00E94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3EC"/>
    <w:pPr>
      <w:bidi/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autoRedefine/>
    <w:semiHidden/>
    <w:unhideWhenUsed/>
    <w:rsid w:val="006423EC"/>
    <w:pPr>
      <w:widowControl w:val="0"/>
      <w:autoSpaceDE w:val="0"/>
      <w:autoSpaceDN w:val="0"/>
      <w:adjustRightInd w:val="0"/>
      <w:snapToGrid w:val="0"/>
      <w:ind w:left="227" w:hanging="227"/>
    </w:pPr>
    <w:rPr>
      <w:rFonts w:ascii="Arial" w:eastAsia="Arial Unicode MS" w:hAnsi="Arial" w:cs="David"/>
      <w:color w:val="000000"/>
      <w:sz w:val="14"/>
      <w:szCs w:val="20"/>
      <w:lang w:eastAsia="ja-JP"/>
    </w:rPr>
  </w:style>
  <w:style w:type="character" w:customStyle="1" w:styleId="a4">
    <w:name w:val="טקסט הערת שוליים תו"/>
    <w:basedOn w:val="a0"/>
    <w:link w:val="a3"/>
    <w:semiHidden/>
    <w:rsid w:val="006423EC"/>
    <w:rPr>
      <w:rFonts w:ascii="Arial" w:eastAsia="Arial Unicode MS" w:hAnsi="Arial" w:cs="David"/>
      <w:color w:val="000000"/>
      <w:sz w:val="14"/>
      <w:szCs w:val="20"/>
      <w:lang w:eastAsia="ja-JP"/>
    </w:rPr>
  </w:style>
  <w:style w:type="paragraph" w:customStyle="1" w:styleId="HeadHatzaotHok">
    <w:name w:val="Head HatzaotHok"/>
    <w:basedOn w:val="a"/>
    <w:rsid w:val="006423EC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</w:pPr>
    <w:rPr>
      <w:rFonts w:ascii="Arial" w:eastAsia="Arial Unicode MS" w:hAnsi="Arial" w:cs="David"/>
      <w:b/>
      <w:bCs/>
      <w:color w:val="000000"/>
      <w:sz w:val="20"/>
      <w:szCs w:val="26"/>
      <w:lang w:eastAsia="ja-JP"/>
    </w:rPr>
  </w:style>
  <w:style w:type="paragraph" w:customStyle="1" w:styleId="HesberWriters">
    <w:name w:val="Hesber Writers"/>
    <w:basedOn w:val="a"/>
    <w:rsid w:val="006423EC"/>
    <w:pPr>
      <w:widowControl w:val="0"/>
      <w:autoSpaceDE w:val="0"/>
      <w:autoSpaceDN w:val="0"/>
      <w:adjustRightInd w:val="0"/>
      <w:snapToGrid w:val="0"/>
      <w:spacing w:before="120" w:after="6000" w:line="360" w:lineRule="auto"/>
      <w:ind w:left="1418"/>
      <w:jc w:val="right"/>
    </w:pPr>
    <w:rPr>
      <w:rFonts w:ascii="Arial" w:eastAsia="Arial Unicode MS" w:hAnsi="Arial" w:cs="David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6423EC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/>
    </w:pPr>
    <w:rPr>
      <w:rFonts w:ascii="Arial" w:eastAsia="Arial Unicode MS" w:hAnsi="Arial" w:cs="David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6423EC"/>
    <w:pPr>
      <w:ind w:right="0"/>
      <w:jc w:val="both"/>
    </w:pPr>
  </w:style>
  <w:style w:type="paragraph" w:customStyle="1" w:styleId="TableSideHeading">
    <w:name w:val="Table SideHeading"/>
    <w:basedOn w:val="TableText"/>
    <w:rsid w:val="006423EC"/>
  </w:style>
  <w:style w:type="character" w:styleId="a5">
    <w:name w:val="footnote reference"/>
    <w:aliases w:val="Footnote Reference"/>
    <w:semiHidden/>
    <w:unhideWhenUsed/>
    <w:rsid w:val="006423E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3EC"/>
    <w:pPr>
      <w:bidi/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autoRedefine/>
    <w:semiHidden/>
    <w:unhideWhenUsed/>
    <w:rsid w:val="006423EC"/>
    <w:pPr>
      <w:widowControl w:val="0"/>
      <w:autoSpaceDE w:val="0"/>
      <w:autoSpaceDN w:val="0"/>
      <w:adjustRightInd w:val="0"/>
      <w:snapToGrid w:val="0"/>
      <w:ind w:left="227" w:hanging="227"/>
    </w:pPr>
    <w:rPr>
      <w:rFonts w:ascii="Arial" w:eastAsia="Arial Unicode MS" w:hAnsi="Arial" w:cs="David"/>
      <w:color w:val="000000"/>
      <w:sz w:val="14"/>
      <w:szCs w:val="20"/>
      <w:lang w:eastAsia="ja-JP"/>
    </w:rPr>
  </w:style>
  <w:style w:type="character" w:customStyle="1" w:styleId="a4">
    <w:name w:val="טקסט הערת שוליים תו"/>
    <w:basedOn w:val="a0"/>
    <w:link w:val="a3"/>
    <w:semiHidden/>
    <w:rsid w:val="006423EC"/>
    <w:rPr>
      <w:rFonts w:ascii="Arial" w:eastAsia="Arial Unicode MS" w:hAnsi="Arial" w:cs="David"/>
      <w:color w:val="000000"/>
      <w:sz w:val="14"/>
      <w:szCs w:val="20"/>
      <w:lang w:eastAsia="ja-JP"/>
    </w:rPr>
  </w:style>
  <w:style w:type="paragraph" w:customStyle="1" w:styleId="HeadHatzaotHok">
    <w:name w:val="Head HatzaotHok"/>
    <w:basedOn w:val="a"/>
    <w:rsid w:val="006423EC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</w:pPr>
    <w:rPr>
      <w:rFonts w:ascii="Arial" w:eastAsia="Arial Unicode MS" w:hAnsi="Arial" w:cs="David"/>
      <w:b/>
      <w:bCs/>
      <w:color w:val="000000"/>
      <w:sz w:val="20"/>
      <w:szCs w:val="26"/>
      <w:lang w:eastAsia="ja-JP"/>
    </w:rPr>
  </w:style>
  <w:style w:type="paragraph" w:customStyle="1" w:styleId="HesberWriters">
    <w:name w:val="Hesber Writers"/>
    <w:basedOn w:val="a"/>
    <w:rsid w:val="006423EC"/>
    <w:pPr>
      <w:widowControl w:val="0"/>
      <w:autoSpaceDE w:val="0"/>
      <w:autoSpaceDN w:val="0"/>
      <w:adjustRightInd w:val="0"/>
      <w:snapToGrid w:val="0"/>
      <w:spacing w:before="120" w:after="6000" w:line="360" w:lineRule="auto"/>
      <w:ind w:left="1418"/>
      <w:jc w:val="right"/>
    </w:pPr>
    <w:rPr>
      <w:rFonts w:ascii="Arial" w:eastAsia="Arial Unicode MS" w:hAnsi="Arial" w:cs="David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6423EC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/>
    </w:pPr>
    <w:rPr>
      <w:rFonts w:ascii="Arial" w:eastAsia="Arial Unicode MS" w:hAnsi="Arial" w:cs="David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6423EC"/>
    <w:pPr>
      <w:ind w:right="0"/>
      <w:jc w:val="both"/>
    </w:pPr>
  </w:style>
  <w:style w:type="paragraph" w:customStyle="1" w:styleId="TableSideHeading">
    <w:name w:val="Table SideHeading"/>
    <w:basedOn w:val="TableText"/>
    <w:rsid w:val="006423EC"/>
  </w:style>
  <w:style w:type="character" w:styleId="a5">
    <w:name w:val="footnote reference"/>
    <w:aliases w:val="Footnote Reference"/>
    <w:semiHidden/>
    <w:unhideWhenUsed/>
    <w:rsid w:val="006423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8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022BE89-9E6C-41AE-BE95-646036E61445}"/>
</file>

<file path=customXml/itemProps2.xml><?xml version="1.0" encoding="utf-8"?>
<ds:datastoreItem xmlns:ds="http://schemas.openxmlformats.org/officeDocument/2006/customXml" ds:itemID="{567D60AE-6D95-466B-B550-8A8E9724AF60}"/>
</file>

<file path=customXml/itemProps3.xml><?xml version="1.0" encoding="utf-8"?>
<ds:datastoreItem xmlns:ds="http://schemas.openxmlformats.org/officeDocument/2006/customXml" ds:itemID="{AA490FD7-074E-4EB5-B4C6-3B270260F843}"/>
</file>

<file path=customXml/itemProps4.xml><?xml version="1.0" encoding="utf-8"?>
<ds:datastoreItem xmlns:ds="http://schemas.openxmlformats.org/officeDocument/2006/customXml" ds:itemID="{44E9E3E2-403A-4FC3-B0A3-FA7BC73B408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94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ענת מימון</dc:creator>
  <cp:keywords/>
  <dc:description/>
  <cp:lastModifiedBy>ענת מימון</cp:lastModifiedBy>
  <cp:revision>2</cp:revision>
  <dcterms:created xsi:type="dcterms:W3CDTF">2015-12-28T09:23:00Z</dcterms:created>
  <dcterms:modified xsi:type="dcterms:W3CDTF">2015-12-28T09:23:00Z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